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0715" w14:textId="77777777" w:rsidR="00030A36" w:rsidRDefault="00030A36" w:rsidP="00030A36">
      <w:pPr>
        <w:kinsoku/>
        <w:spacing w:line="560" w:lineRule="exact"/>
        <w:jc w:val="center"/>
        <w:rPr>
          <w:rFonts w:ascii="方正小标宋_GBK" w:eastAsia="方正小标宋_GBK" w:hAnsi="宋体" w:cs="宋体"/>
          <w:sz w:val="44"/>
          <w:szCs w:val="44"/>
        </w:rPr>
      </w:pPr>
      <w:r w:rsidRPr="00EE65BE">
        <w:rPr>
          <w:rFonts w:ascii="方正小标宋_GBK" w:eastAsia="方正小标宋_GBK" w:hAnsi="宋体" w:cs="宋体" w:hint="eastAsia"/>
          <w:spacing w:val="5"/>
          <w:sz w:val="44"/>
          <w:szCs w:val="44"/>
        </w:rPr>
        <w:t>温岭市人民政府关于</w:t>
      </w:r>
      <w:r>
        <w:rPr>
          <w:rFonts w:ascii="方正小标宋_GBK" w:eastAsia="方正小标宋_GBK" w:hAnsi="宋体" w:cs="宋体" w:hint="eastAsia"/>
          <w:spacing w:val="5"/>
          <w:sz w:val="44"/>
          <w:szCs w:val="44"/>
        </w:rPr>
        <w:t>温岭市创建“浙江</w:t>
      </w:r>
      <w:r>
        <w:rPr>
          <w:rFonts w:ascii="方正小标宋_GBK" w:eastAsia="方正小标宋_GBK" w:hAnsi="宋体" w:cs="宋体" w:hint="eastAsia"/>
          <w:spacing w:val="3"/>
          <w:sz w:val="44"/>
          <w:szCs w:val="44"/>
        </w:rPr>
        <w:t>省</w:t>
      </w:r>
    </w:p>
    <w:p w14:paraId="3B03AEE2" w14:textId="77777777" w:rsidR="00030A36" w:rsidRDefault="00030A36" w:rsidP="00030A36">
      <w:pPr>
        <w:kinsoku/>
        <w:spacing w:line="560" w:lineRule="exact"/>
        <w:jc w:val="center"/>
        <w:outlineLvl w:val="0"/>
        <w:rPr>
          <w:rFonts w:ascii="方正小标宋_GBK" w:eastAsia="方正小标宋_GBK" w:hAnsi="宋体" w:cs="宋体"/>
          <w:sz w:val="44"/>
          <w:szCs w:val="44"/>
        </w:rPr>
      </w:pPr>
      <w:r>
        <w:rPr>
          <w:rFonts w:ascii="方正小标宋_GBK" w:eastAsia="方正小标宋_GBK" w:hAnsi="宋体" w:cs="宋体" w:hint="eastAsia"/>
          <w:spacing w:val="6"/>
          <w:sz w:val="44"/>
          <w:szCs w:val="44"/>
        </w:rPr>
        <w:t>中</w:t>
      </w:r>
      <w:r>
        <w:rPr>
          <w:rFonts w:ascii="方正小标宋_GBK" w:eastAsia="方正小标宋_GBK" w:hAnsi="宋体" w:cs="宋体" w:hint="eastAsia"/>
          <w:spacing w:val="5"/>
          <w:sz w:val="44"/>
          <w:szCs w:val="44"/>
        </w:rPr>
        <w:t>医</w:t>
      </w:r>
      <w:r>
        <w:rPr>
          <w:rFonts w:ascii="方正小标宋_GBK" w:eastAsia="方正小标宋_GBK" w:hAnsi="宋体" w:cs="宋体" w:hint="eastAsia"/>
          <w:spacing w:val="3"/>
          <w:sz w:val="44"/>
          <w:szCs w:val="44"/>
        </w:rPr>
        <w:t>药综合改革先行区</w:t>
      </w:r>
      <w:proofErr w:type="gramStart"/>
      <w:r>
        <w:rPr>
          <w:rFonts w:ascii="方正小标宋_GBK" w:eastAsia="方正小标宋_GBK" w:hAnsi="宋体" w:cs="宋体" w:hint="eastAsia"/>
          <w:spacing w:val="3"/>
          <w:sz w:val="44"/>
          <w:szCs w:val="44"/>
        </w:rPr>
        <w:t>”</w:t>
      </w:r>
      <w:proofErr w:type="gramEnd"/>
      <w:r>
        <w:rPr>
          <w:rFonts w:ascii="方正小标宋_GBK" w:eastAsia="方正小标宋_GBK" w:hAnsi="宋体" w:cs="宋体" w:hint="eastAsia"/>
          <w:spacing w:val="3"/>
          <w:sz w:val="44"/>
          <w:szCs w:val="44"/>
        </w:rPr>
        <w:t>建设方案</w:t>
      </w:r>
    </w:p>
    <w:p w14:paraId="1758F07E" w14:textId="77777777" w:rsidR="00030A36" w:rsidRDefault="00030A36" w:rsidP="00030A36">
      <w:pPr>
        <w:widowControl w:val="0"/>
        <w:kinsoku/>
        <w:spacing w:line="560" w:lineRule="exact"/>
        <w:jc w:val="center"/>
        <w:rPr>
          <w:rFonts w:ascii="仿宋_GB2312" w:eastAsia="仿宋_GB2312" w:hAnsi="仿宋_GB2312" w:cs="仿宋_GB2312"/>
          <w:spacing w:val="-7"/>
          <w:sz w:val="32"/>
          <w:szCs w:val="32"/>
        </w:rPr>
      </w:pPr>
      <w:r>
        <w:rPr>
          <w:rFonts w:ascii="楷体_GB2312" w:eastAsia="楷体_GB2312" w:hAnsi="宋体" w:cs="宋体" w:hint="eastAsia"/>
          <w:sz w:val="32"/>
          <w:szCs w:val="32"/>
        </w:rPr>
        <w:t>（征求意见稿）</w:t>
      </w:r>
    </w:p>
    <w:p w14:paraId="4A0EC3D3" w14:textId="77777777" w:rsidR="00030A36" w:rsidRDefault="00030A36" w:rsidP="00030A36">
      <w:pPr>
        <w:widowControl w:val="0"/>
        <w:kinsoku/>
        <w:spacing w:line="560" w:lineRule="exact"/>
        <w:ind w:firstLine="647"/>
        <w:jc w:val="both"/>
        <w:rPr>
          <w:rFonts w:ascii="仿宋_GB2312" w:eastAsia="仿宋_GB2312" w:hAnsi="仿宋_GB2312" w:cs="仿宋_GB2312"/>
          <w:spacing w:val="-7"/>
          <w:sz w:val="32"/>
          <w:szCs w:val="32"/>
        </w:rPr>
      </w:pPr>
    </w:p>
    <w:p w14:paraId="337B5C61" w14:textId="77777777" w:rsidR="00030A36" w:rsidRDefault="00030A36" w:rsidP="00030A36">
      <w:pPr>
        <w:widowControl w:val="0"/>
        <w:kinsoku/>
        <w:spacing w:line="560" w:lineRule="exact"/>
        <w:ind w:firstLine="647"/>
        <w:jc w:val="both"/>
        <w:rPr>
          <w:rFonts w:ascii="仿宋_GB2312" w:eastAsia="仿宋_GB2312" w:hAnsi="仿宋_GB2312" w:cs="仿宋_GB2312"/>
          <w:sz w:val="32"/>
          <w:szCs w:val="32"/>
        </w:rPr>
      </w:pPr>
      <w:r>
        <w:rPr>
          <w:rFonts w:ascii="仿宋_GB2312" w:eastAsia="仿宋_GB2312" w:hAnsi="仿宋_GB2312" w:cs="仿宋_GB2312" w:hint="eastAsia"/>
          <w:spacing w:val="-7"/>
          <w:sz w:val="32"/>
          <w:szCs w:val="32"/>
        </w:rPr>
        <w:t>为深入贯彻党的二十大精神</w:t>
      </w:r>
      <w:r>
        <w:rPr>
          <w:rFonts w:ascii="仿宋_GB2312" w:eastAsia="仿宋_GB2312" w:hAnsi="仿宋_GB2312" w:cs="仿宋_GB2312" w:hint="eastAsia"/>
          <w:spacing w:val="-6"/>
          <w:sz w:val="32"/>
          <w:szCs w:val="32"/>
        </w:rPr>
        <w:t>、习近平总书记关于中医药工作的重要论述和国家、浙江省、台州市</w:t>
      </w:r>
      <w:r>
        <w:rPr>
          <w:rFonts w:ascii="仿宋_GB2312" w:eastAsia="仿宋_GB2312" w:hAnsi="仿宋_GB2312" w:cs="仿宋_GB2312" w:hint="eastAsia"/>
          <w:spacing w:val="-9"/>
          <w:sz w:val="32"/>
          <w:szCs w:val="32"/>
        </w:rPr>
        <w:t>关</w:t>
      </w:r>
      <w:r>
        <w:rPr>
          <w:rFonts w:ascii="仿宋_GB2312" w:eastAsia="仿宋_GB2312" w:hAnsi="仿宋_GB2312" w:cs="仿宋_GB2312" w:hint="eastAsia"/>
          <w:spacing w:val="-6"/>
          <w:sz w:val="32"/>
          <w:szCs w:val="32"/>
        </w:rPr>
        <w:t>于促进中医药传承创新发展的意见，传承精华发挥中医药特色优势，守</w:t>
      </w:r>
      <w:proofErr w:type="gramStart"/>
      <w:r>
        <w:rPr>
          <w:rFonts w:ascii="仿宋_GB2312" w:eastAsia="仿宋_GB2312" w:hAnsi="仿宋_GB2312" w:cs="仿宋_GB2312" w:hint="eastAsia"/>
          <w:spacing w:val="-6"/>
          <w:sz w:val="32"/>
          <w:szCs w:val="32"/>
        </w:rPr>
        <w:t>正创新</w:t>
      </w:r>
      <w:proofErr w:type="gramEnd"/>
      <w:r>
        <w:rPr>
          <w:rFonts w:ascii="仿宋_GB2312" w:eastAsia="仿宋_GB2312" w:hAnsi="仿宋_GB2312" w:cs="仿宋_GB2312" w:hint="eastAsia"/>
          <w:spacing w:val="-6"/>
          <w:sz w:val="32"/>
          <w:szCs w:val="32"/>
        </w:rPr>
        <w:t>提高中医药服务能力，加速推进建设省中医药综合</w:t>
      </w:r>
      <w:r>
        <w:rPr>
          <w:rFonts w:ascii="仿宋_GB2312" w:eastAsia="仿宋_GB2312" w:hAnsi="仿宋_GB2312" w:cs="仿宋_GB2312" w:hint="eastAsia"/>
          <w:spacing w:val="-9"/>
          <w:sz w:val="32"/>
          <w:szCs w:val="32"/>
        </w:rPr>
        <w:t>改</w:t>
      </w:r>
      <w:r>
        <w:rPr>
          <w:rFonts w:ascii="仿宋_GB2312" w:eastAsia="仿宋_GB2312" w:hAnsi="仿宋_GB2312" w:cs="仿宋_GB2312" w:hint="eastAsia"/>
          <w:spacing w:val="-6"/>
          <w:sz w:val="32"/>
          <w:szCs w:val="32"/>
        </w:rPr>
        <w:t>革先行区，根据《浙江省人民政府办公厅关于印发浙江省</w:t>
      </w:r>
      <w:r>
        <w:rPr>
          <w:rFonts w:ascii="仿宋_GB2312" w:eastAsia="仿宋_GB2312" w:hAnsi="仿宋_GB2312" w:cs="仿宋_GB2312" w:hint="eastAsia"/>
          <w:spacing w:val="-14"/>
          <w:sz w:val="32"/>
          <w:szCs w:val="32"/>
        </w:rPr>
        <w:t>国家</w:t>
      </w:r>
      <w:r>
        <w:rPr>
          <w:rFonts w:ascii="仿宋_GB2312" w:eastAsia="仿宋_GB2312" w:hAnsi="仿宋_GB2312" w:cs="仿宋_GB2312" w:hint="eastAsia"/>
          <w:spacing w:val="-7"/>
          <w:sz w:val="32"/>
          <w:szCs w:val="32"/>
        </w:rPr>
        <w:t>中医药综合改革示范区建设方案的通知》(浙政办发〔2022〕</w:t>
      </w:r>
      <w:r>
        <w:rPr>
          <w:rFonts w:ascii="仿宋_GB2312" w:eastAsia="仿宋_GB2312" w:hAnsi="仿宋_GB2312" w:cs="仿宋_GB2312" w:hint="eastAsia"/>
          <w:spacing w:val="-16"/>
          <w:sz w:val="32"/>
          <w:szCs w:val="32"/>
        </w:rPr>
        <w:t>61</w:t>
      </w:r>
      <w:r>
        <w:rPr>
          <w:rFonts w:ascii="仿宋_GB2312" w:eastAsia="仿宋_GB2312" w:hAnsi="仿宋_GB2312" w:cs="仿宋_GB2312" w:hint="eastAsia"/>
          <w:spacing w:val="-8"/>
          <w:sz w:val="32"/>
          <w:szCs w:val="32"/>
        </w:rPr>
        <w:t>号)文件精神，结合温岭实际，制定本方案。</w:t>
      </w:r>
    </w:p>
    <w:p w14:paraId="1E93D034" w14:textId="77777777" w:rsidR="00030A36" w:rsidRDefault="00030A36" w:rsidP="00030A36">
      <w:pPr>
        <w:widowControl w:val="0"/>
        <w:kinsoku/>
        <w:spacing w:line="560" w:lineRule="exact"/>
        <w:ind w:firstLineChars="200" w:firstLine="616"/>
        <w:jc w:val="both"/>
        <w:rPr>
          <w:rFonts w:ascii="黑体" w:eastAsia="黑体" w:hAnsi="黑体" w:cs="黑体"/>
          <w:spacing w:val="-6"/>
          <w:position w:val="2"/>
          <w:sz w:val="32"/>
          <w:szCs w:val="32"/>
        </w:rPr>
      </w:pPr>
      <w:r>
        <w:rPr>
          <w:rFonts w:ascii="黑体" w:eastAsia="黑体" w:hAnsi="黑体" w:cs="黑体" w:hint="eastAsia"/>
          <w:spacing w:val="-6"/>
          <w:position w:val="2"/>
          <w:sz w:val="32"/>
          <w:szCs w:val="32"/>
        </w:rPr>
        <w:t>一、总体目标</w:t>
      </w:r>
    </w:p>
    <w:p w14:paraId="27A72200" w14:textId="77777777" w:rsidR="00030A36" w:rsidRDefault="00030A36" w:rsidP="00030A36">
      <w:pPr>
        <w:widowControl w:val="0"/>
        <w:kinsoku/>
        <w:spacing w:line="560" w:lineRule="exact"/>
        <w:ind w:firstLine="647"/>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以建设“中医药强市”为总体目标，引领创建省中医药综合改革示范区，以“2+4”为主线，围绕治理体系和</w:t>
      </w:r>
      <w:proofErr w:type="gramStart"/>
      <w:r>
        <w:rPr>
          <w:rFonts w:ascii="仿宋_GB2312" w:eastAsia="仿宋_GB2312" w:hAnsi="仿宋_GB2312" w:cs="仿宋_GB2312" w:hint="eastAsia"/>
          <w:spacing w:val="-7"/>
          <w:sz w:val="32"/>
          <w:szCs w:val="32"/>
        </w:rPr>
        <w:t>医保</w:t>
      </w:r>
      <w:proofErr w:type="gramEnd"/>
      <w:r>
        <w:rPr>
          <w:rFonts w:ascii="仿宋_GB2312" w:eastAsia="仿宋_GB2312" w:hAnsi="仿宋_GB2312" w:cs="仿宋_GB2312" w:hint="eastAsia"/>
          <w:spacing w:val="-7"/>
          <w:sz w:val="32"/>
          <w:szCs w:val="32"/>
        </w:rPr>
        <w:t>政策两大改革举措，系统推进中医药服务提质增效、中医药人才学科培优、中医药产业强基赋能、中医药文化弘扬</w:t>
      </w:r>
      <w:proofErr w:type="gramStart"/>
      <w:r>
        <w:rPr>
          <w:rFonts w:ascii="仿宋_GB2312" w:eastAsia="仿宋_GB2312" w:hAnsi="仿宋_GB2312" w:cs="仿宋_GB2312" w:hint="eastAsia"/>
          <w:spacing w:val="-7"/>
          <w:sz w:val="32"/>
          <w:szCs w:val="32"/>
        </w:rPr>
        <w:t>振兴四</w:t>
      </w:r>
      <w:proofErr w:type="gramEnd"/>
      <w:r>
        <w:rPr>
          <w:rFonts w:ascii="仿宋_GB2312" w:eastAsia="仿宋_GB2312" w:hAnsi="仿宋_GB2312" w:cs="仿宋_GB2312" w:hint="eastAsia"/>
          <w:spacing w:val="-7"/>
          <w:sz w:val="32"/>
          <w:szCs w:val="32"/>
        </w:rPr>
        <w:t>大攻坚行动，促进我市中医药事业传承创新发展，形成一批可复制、可推广的标志性改革创新成果。</w:t>
      </w:r>
    </w:p>
    <w:p w14:paraId="51D01BF0" w14:textId="77777777" w:rsidR="00030A36" w:rsidRDefault="00030A36" w:rsidP="00030A36">
      <w:pPr>
        <w:widowControl w:val="0"/>
        <w:kinsoku/>
        <w:spacing w:line="560" w:lineRule="exact"/>
        <w:ind w:firstLine="647"/>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到2025年末，中医药服务体系更加健全、中医药服务能力显著提升、中医药产业持续健康发展、中医药文化影响力明显提高。全市医疗机构中医药诊疗服务人次占总诊疗人次比例达</w:t>
      </w:r>
      <w:r>
        <w:rPr>
          <w:rFonts w:ascii="仿宋_GB2312" w:eastAsia="仿宋_GB2312" w:hAnsi="仿宋_GB2312" w:cs="仿宋_GB2312"/>
          <w:spacing w:val="-7"/>
          <w:sz w:val="32"/>
          <w:szCs w:val="32"/>
        </w:rPr>
        <w:t>3</w:t>
      </w:r>
      <w:r>
        <w:rPr>
          <w:rFonts w:ascii="仿宋_GB2312" w:eastAsia="仿宋_GB2312" w:hAnsi="仿宋_GB2312" w:cs="仿宋_GB2312" w:hint="eastAsia"/>
          <w:spacing w:val="-7"/>
          <w:sz w:val="32"/>
          <w:szCs w:val="32"/>
        </w:rPr>
        <w:t>0%以上。温岭市中医院、台州市中西医结合医院国家绩效考核成绩达到A级。新增省级中医药重点学科1个、省级中医药重点专科3个、省</w:t>
      </w:r>
      <w:r>
        <w:rPr>
          <w:rFonts w:ascii="仿宋_GB2312" w:eastAsia="仿宋_GB2312" w:hAnsi="仿宋_GB2312" w:cs="仿宋_GB2312" w:hint="eastAsia"/>
          <w:spacing w:val="-7"/>
          <w:sz w:val="32"/>
          <w:szCs w:val="32"/>
        </w:rPr>
        <w:lastRenderedPageBreak/>
        <w:t>级名中医1名，全市省级中医药重点学科达到2个、省级中医药重点专科达到7个、省级名中医达到4名，中医药文化素养水平提升至2</w:t>
      </w:r>
      <w:r>
        <w:rPr>
          <w:rFonts w:ascii="仿宋_GB2312" w:eastAsia="仿宋_GB2312" w:hAnsi="仿宋_GB2312" w:cs="仿宋_GB2312"/>
          <w:spacing w:val="-7"/>
          <w:sz w:val="32"/>
          <w:szCs w:val="32"/>
        </w:rPr>
        <w:t>8%</w:t>
      </w:r>
      <w:r>
        <w:rPr>
          <w:rFonts w:ascii="仿宋_GB2312" w:eastAsia="仿宋_GB2312" w:hAnsi="仿宋_GB2312" w:cs="仿宋_GB2312" w:hint="eastAsia"/>
          <w:spacing w:val="-7"/>
          <w:sz w:val="32"/>
          <w:szCs w:val="32"/>
        </w:rPr>
        <w:t>以上。中药材产业种植规模达</w:t>
      </w:r>
      <w:r>
        <w:rPr>
          <w:rFonts w:ascii="仿宋_GB2312" w:eastAsia="仿宋_GB2312" w:hAnsi="仿宋_GB2312" w:cs="仿宋_GB2312"/>
          <w:spacing w:val="-7"/>
          <w:sz w:val="32"/>
          <w:szCs w:val="32"/>
        </w:rPr>
        <w:t>3500</w:t>
      </w:r>
      <w:r>
        <w:rPr>
          <w:rFonts w:ascii="仿宋_GB2312" w:eastAsia="仿宋_GB2312" w:hAnsi="仿宋_GB2312" w:cs="仿宋_GB2312" w:hint="eastAsia"/>
          <w:spacing w:val="-7"/>
          <w:sz w:val="32"/>
          <w:szCs w:val="32"/>
        </w:rPr>
        <w:t>亩以上，年产值达</w:t>
      </w:r>
      <w:r>
        <w:rPr>
          <w:rFonts w:ascii="仿宋_GB2312" w:eastAsia="仿宋_GB2312" w:hAnsi="仿宋_GB2312" w:cs="仿宋_GB2312"/>
          <w:spacing w:val="-7"/>
          <w:sz w:val="32"/>
          <w:szCs w:val="32"/>
        </w:rPr>
        <w:t>1</w:t>
      </w:r>
      <w:r>
        <w:rPr>
          <w:rFonts w:ascii="仿宋_GB2312" w:eastAsia="仿宋_GB2312" w:hAnsi="仿宋_GB2312" w:cs="仿宋_GB2312" w:hint="eastAsia"/>
          <w:spacing w:val="-7"/>
          <w:sz w:val="32"/>
          <w:szCs w:val="32"/>
        </w:rPr>
        <w:t>亿元。</w:t>
      </w:r>
    </w:p>
    <w:p w14:paraId="37CC9A08" w14:textId="77777777" w:rsidR="00030A36" w:rsidRDefault="00030A36" w:rsidP="00030A36">
      <w:pPr>
        <w:widowControl w:val="0"/>
        <w:kinsoku/>
        <w:spacing w:line="560" w:lineRule="exact"/>
        <w:ind w:firstLineChars="200" w:firstLine="604"/>
        <w:jc w:val="both"/>
        <w:rPr>
          <w:rFonts w:ascii="黑体" w:eastAsia="黑体" w:hAnsi="黑体" w:cs="黑体"/>
          <w:spacing w:val="-9"/>
          <w:position w:val="2"/>
          <w:sz w:val="32"/>
          <w:szCs w:val="32"/>
        </w:rPr>
      </w:pPr>
      <w:r>
        <w:rPr>
          <w:rFonts w:ascii="黑体" w:eastAsia="黑体" w:hAnsi="黑体" w:cs="黑体" w:hint="eastAsia"/>
          <w:spacing w:val="-9"/>
          <w:position w:val="2"/>
          <w:sz w:val="32"/>
          <w:szCs w:val="32"/>
        </w:rPr>
        <w:t>二、重点任务</w:t>
      </w:r>
    </w:p>
    <w:p w14:paraId="3F3E0890" w14:textId="77777777" w:rsidR="00030A36" w:rsidRDefault="00030A36" w:rsidP="00030A36">
      <w:pPr>
        <w:widowControl w:val="0"/>
        <w:kinsoku/>
        <w:spacing w:line="560" w:lineRule="exact"/>
        <w:ind w:firstLineChars="200" w:firstLine="643"/>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t>（一）深化中医药治理体系改革</w:t>
      </w:r>
    </w:p>
    <w:p w14:paraId="49DB461E" w14:textId="77777777" w:rsidR="00030A36" w:rsidRDefault="00030A36" w:rsidP="00030A36">
      <w:pPr>
        <w:widowControl w:val="0"/>
        <w:kinsoku/>
        <w:spacing w:line="560" w:lineRule="exact"/>
        <w:ind w:firstLineChars="200" w:firstLine="643"/>
        <w:jc w:val="both"/>
        <w:rPr>
          <w:rFonts w:ascii="仿宋_GB2312" w:eastAsia="仿宋_GB2312" w:hAnsi="仿宋_GB2312" w:cs="仿宋_GB2312"/>
          <w:spacing w:val="-7"/>
          <w:sz w:val="32"/>
          <w:szCs w:val="32"/>
        </w:rPr>
      </w:pPr>
      <w:r>
        <w:rPr>
          <w:rFonts w:ascii="仿宋_GB2312" w:eastAsia="仿宋_GB2312" w:hAnsi="仿宋_GB2312" w:cs="仿宋_GB2312" w:hint="eastAsia"/>
          <w:b/>
          <w:bCs/>
          <w:kern w:val="2"/>
          <w:sz w:val="32"/>
          <w:szCs w:val="32"/>
          <w:lang w:bidi="ar"/>
        </w:rPr>
        <w:t>1.健全中医药治理体制机制。</w:t>
      </w:r>
      <w:r>
        <w:rPr>
          <w:rFonts w:ascii="仿宋_GB2312" w:eastAsia="仿宋_GB2312" w:hAnsi="仿宋_GB2312" w:cs="仿宋_GB2312" w:hint="eastAsia"/>
          <w:spacing w:val="-7"/>
          <w:sz w:val="32"/>
          <w:szCs w:val="32"/>
        </w:rPr>
        <w:t>建立健全温岭市建设省中医药综合改革先行区领导小组，由市政府主要领导任组长、各相关部门主要负责人任成员，领导小组办公室设在市卫生健康局，每年召开1次以上全体会议。市卫生健康局独立设置中医管理科并增加人员编制；市卫生监督所配置中医药执法队伍，构建中医药管理监督执法体系。建设温岭市中医药发展高端智库，充分发挥中医药专家在中医药管理工作中的咨询参谋作用。公立中医医院全面落实党委领导下的院长负责制，强化医院党的组织建设，扎实推进“党建入章”“清廉医院建设”等工作。全面构建领导有力、层次分明、衔接畅通的中医药综合治理体系。（责任单位：市府办、市卫生健康局、市委编办、</w:t>
      </w:r>
      <w:r>
        <w:rPr>
          <w:rFonts w:ascii="仿宋_GB2312" w:eastAsia="仿宋_GB2312" w:hAnsi="仿宋_GB2312" w:cs="仿宋_GB2312"/>
          <w:spacing w:val="-7"/>
          <w:sz w:val="32"/>
          <w:szCs w:val="32"/>
        </w:rPr>
        <w:t>市委组织部（</w:t>
      </w:r>
      <w:r>
        <w:rPr>
          <w:rFonts w:ascii="仿宋_GB2312" w:eastAsia="仿宋_GB2312" w:hAnsi="仿宋_GB2312" w:cs="仿宋_GB2312" w:hint="eastAsia"/>
          <w:spacing w:val="-7"/>
          <w:sz w:val="32"/>
          <w:szCs w:val="32"/>
        </w:rPr>
        <w:t>市委人才办）</w:t>
      </w:r>
      <w:r>
        <w:rPr>
          <w:rFonts w:ascii="仿宋_GB2312" w:eastAsia="仿宋_GB2312" w:hAnsi="仿宋_GB2312" w:cs="仿宋_GB2312"/>
          <w:spacing w:val="-7"/>
          <w:sz w:val="32"/>
          <w:szCs w:val="32"/>
        </w:rPr>
        <w:t>）</w:t>
      </w:r>
    </w:p>
    <w:p w14:paraId="7C1DC383" w14:textId="77777777" w:rsidR="00030A36" w:rsidRDefault="00030A36" w:rsidP="00030A36">
      <w:pPr>
        <w:widowControl w:val="0"/>
        <w:kinsoku/>
        <w:spacing w:line="560" w:lineRule="exact"/>
        <w:ind w:firstLineChars="200" w:firstLine="643"/>
        <w:jc w:val="both"/>
        <w:rPr>
          <w:rFonts w:ascii="仿宋_GB2312" w:eastAsia="仿宋_GB2312" w:hAnsi="仿宋_GB2312" w:cs="仿宋_GB2312"/>
          <w:spacing w:val="-7"/>
          <w:sz w:val="32"/>
          <w:szCs w:val="32"/>
        </w:rPr>
      </w:pPr>
      <w:r>
        <w:rPr>
          <w:rFonts w:ascii="仿宋_GB2312" w:eastAsia="仿宋_GB2312" w:hAnsi="仿宋_GB2312" w:cs="仿宋_GB2312" w:hint="eastAsia"/>
          <w:b/>
          <w:bCs/>
          <w:kern w:val="2"/>
          <w:sz w:val="32"/>
          <w:szCs w:val="32"/>
          <w:lang w:bidi="ar"/>
        </w:rPr>
        <w:t>2.加大中医药财政投入力度。</w:t>
      </w:r>
      <w:r>
        <w:rPr>
          <w:rFonts w:ascii="仿宋_GB2312" w:eastAsia="仿宋_GB2312" w:hAnsi="仿宋_GB2312" w:cs="仿宋_GB2312" w:hint="eastAsia"/>
          <w:spacing w:val="-7"/>
          <w:sz w:val="32"/>
          <w:szCs w:val="32"/>
        </w:rPr>
        <w:t>落实中医药投入倾斜政策，在卫生健康事业投入中统筹安排中医药事业发展经费，中医药事业发展经费投入增长比例高于同期卫生健康事业投入增长比例，且投入保持逐年增长。建立符合中医医院发展规律的投入机制，对中医医院、基层卫生院基础建设、人才培养等投入适当倾斜。建立中医专科工作量补助制度，自2</w:t>
      </w:r>
      <w:r>
        <w:rPr>
          <w:rFonts w:ascii="仿宋_GB2312" w:eastAsia="仿宋_GB2312" w:hAnsi="仿宋_GB2312" w:cs="仿宋_GB2312"/>
          <w:spacing w:val="-7"/>
          <w:sz w:val="32"/>
          <w:szCs w:val="32"/>
        </w:rPr>
        <w:t>024</w:t>
      </w:r>
      <w:r>
        <w:rPr>
          <w:rFonts w:ascii="仿宋_GB2312" w:eastAsia="仿宋_GB2312" w:hAnsi="仿宋_GB2312" w:cs="仿宋_GB2312" w:hint="eastAsia"/>
          <w:spacing w:val="-7"/>
          <w:sz w:val="32"/>
          <w:szCs w:val="32"/>
        </w:rPr>
        <w:t>年开始，对公立医疗机构中医医疗服务按每张中医门诊处方、中医病区或病床按每床</w:t>
      </w:r>
      <w:proofErr w:type="gramStart"/>
      <w:r>
        <w:rPr>
          <w:rFonts w:ascii="仿宋_GB2312" w:eastAsia="仿宋_GB2312" w:hAnsi="仿宋_GB2312" w:cs="仿宋_GB2312" w:hint="eastAsia"/>
          <w:spacing w:val="-7"/>
          <w:sz w:val="32"/>
          <w:szCs w:val="32"/>
        </w:rPr>
        <w:t>日根</w:t>
      </w:r>
      <w:r>
        <w:rPr>
          <w:rFonts w:ascii="仿宋_GB2312" w:eastAsia="仿宋_GB2312" w:hAnsi="仿宋_GB2312" w:cs="仿宋_GB2312" w:hint="eastAsia"/>
          <w:spacing w:val="-7"/>
          <w:sz w:val="32"/>
          <w:szCs w:val="32"/>
        </w:rPr>
        <w:lastRenderedPageBreak/>
        <w:t>据</w:t>
      </w:r>
      <w:proofErr w:type="gramEnd"/>
      <w:r>
        <w:rPr>
          <w:rFonts w:ascii="仿宋_GB2312" w:eastAsia="仿宋_GB2312" w:hAnsi="仿宋_GB2312" w:cs="仿宋_GB2312" w:hint="eastAsia"/>
          <w:spacing w:val="-7"/>
          <w:sz w:val="32"/>
          <w:szCs w:val="32"/>
        </w:rPr>
        <w:t>绩效点数给予补助，且补助经费逐年提高。探索设立中医药产业发展基金，采取市财政、社会资本（医药公司）等联合出资方式，用于加强中医药重点学（专）科建设、</w:t>
      </w:r>
      <w:proofErr w:type="gramStart"/>
      <w:r>
        <w:rPr>
          <w:rFonts w:ascii="仿宋_GB2312" w:eastAsia="仿宋_GB2312" w:hAnsi="仿宋_GB2312" w:cs="仿宋_GB2312" w:hint="eastAsia"/>
          <w:spacing w:val="-7"/>
          <w:sz w:val="32"/>
          <w:szCs w:val="32"/>
        </w:rPr>
        <w:t>中医专硕补助</w:t>
      </w:r>
      <w:proofErr w:type="gramEnd"/>
      <w:r>
        <w:rPr>
          <w:rFonts w:ascii="仿宋_GB2312" w:eastAsia="仿宋_GB2312" w:hAnsi="仿宋_GB2312" w:cs="仿宋_GB2312" w:hint="eastAsia"/>
          <w:spacing w:val="-7"/>
          <w:sz w:val="32"/>
          <w:szCs w:val="32"/>
        </w:rPr>
        <w:t>、人才引育、科研创新成果转化、中药材种植等。（责任单位：市财政局、市卫生健康局）</w:t>
      </w:r>
    </w:p>
    <w:p w14:paraId="1CE277E5" w14:textId="77777777" w:rsidR="00030A36" w:rsidRDefault="00030A36" w:rsidP="00030A36">
      <w:pPr>
        <w:widowControl w:val="0"/>
        <w:kinsoku/>
        <w:spacing w:line="560" w:lineRule="exact"/>
        <w:ind w:firstLineChars="200" w:firstLine="643"/>
        <w:jc w:val="both"/>
        <w:rPr>
          <w:rFonts w:ascii="仿宋_GB2312" w:eastAsia="仿宋_GB2312" w:hAnsi="仿宋_GB2312" w:cs="仿宋_GB2312"/>
          <w:spacing w:val="-7"/>
          <w:sz w:val="32"/>
          <w:szCs w:val="32"/>
        </w:rPr>
      </w:pPr>
      <w:r>
        <w:rPr>
          <w:rFonts w:ascii="仿宋_GB2312" w:eastAsia="仿宋_GB2312" w:hAnsi="仿宋_GB2312" w:cs="仿宋_GB2312" w:hint="eastAsia"/>
          <w:b/>
          <w:bCs/>
          <w:kern w:val="2"/>
          <w:sz w:val="32"/>
          <w:szCs w:val="32"/>
          <w:lang w:bidi="ar"/>
        </w:rPr>
        <w:t>3.推广中医治未病长效机制。</w:t>
      </w:r>
      <w:r>
        <w:rPr>
          <w:rFonts w:ascii="仿宋_GB2312" w:eastAsia="仿宋_GB2312" w:hAnsi="仿宋_GB2312" w:cs="仿宋_GB2312" w:hint="eastAsia"/>
          <w:spacing w:val="-7"/>
          <w:sz w:val="32"/>
          <w:szCs w:val="32"/>
        </w:rPr>
        <w:t>构建市、镇（街道）、村三级中医预防保健网络体系，成立温岭市中医养生中心（中医治未病中心），负责统筹推进全市“治未病”工程落地。</w:t>
      </w:r>
      <w:proofErr w:type="gramStart"/>
      <w:r>
        <w:rPr>
          <w:rFonts w:ascii="仿宋_GB2312" w:eastAsia="仿宋_GB2312" w:hAnsi="仿宋_GB2312" w:cs="仿宋_GB2312" w:hint="eastAsia"/>
          <w:spacing w:val="-7"/>
          <w:sz w:val="32"/>
          <w:szCs w:val="32"/>
        </w:rPr>
        <w:t>市疾控中心</w:t>
      </w:r>
      <w:proofErr w:type="gramEnd"/>
      <w:r>
        <w:rPr>
          <w:rFonts w:ascii="仿宋_GB2312" w:eastAsia="仿宋_GB2312" w:hAnsi="仿宋_GB2312" w:cs="仿宋_GB2312" w:hint="eastAsia"/>
          <w:spacing w:val="-7"/>
          <w:sz w:val="32"/>
          <w:szCs w:val="32"/>
        </w:rPr>
        <w:t>成立中医预防保健科，负责指导全市应用中医药开展重大传染病、慢性病等疾病预防控制工作，并开展相关健康教育和人员培训。各二级及以上医院、各卫生院、社区卫生服务中心成立中医养生科（中医治未病科），为群众提供“治未病”服务。各村卫生室落实中医预防保健员，采取多种形式推广中医治未病理念和生活方式。（责任单位：市卫生健康局）</w:t>
      </w:r>
    </w:p>
    <w:p w14:paraId="371E570C" w14:textId="77777777" w:rsidR="00030A36" w:rsidRDefault="00030A36" w:rsidP="00030A36">
      <w:pPr>
        <w:widowControl w:val="0"/>
        <w:kinsoku/>
        <w:spacing w:line="560" w:lineRule="exact"/>
        <w:ind w:firstLineChars="200" w:firstLine="643"/>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t>（二）深化中医药</w:t>
      </w:r>
      <w:proofErr w:type="gramStart"/>
      <w:r>
        <w:rPr>
          <w:rFonts w:ascii="楷体_GB2312" w:eastAsia="楷体_GB2312" w:hAnsi="楷体_GB2312" w:cs="楷体_GB2312" w:hint="eastAsia"/>
          <w:b/>
          <w:bCs/>
          <w:kern w:val="2"/>
          <w:sz w:val="32"/>
          <w:szCs w:val="32"/>
          <w:lang w:bidi="ar"/>
        </w:rPr>
        <w:t>医</w:t>
      </w:r>
      <w:proofErr w:type="gramEnd"/>
      <w:r>
        <w:rPr>
          <w:rFonts w:ascii="楷体_GB2312" w:eastAsia="楷体_GB2312" w:hAnsi="楷体_GB2312" w:cs="楷体_GB2312" w:hint="eastAsia"/>
          <w:b/>
          <w:bCs/>
          <w:kern w:val="2"/>
          <w:sz w:val="32"/>
          <w:szCs w:val="32"/>
          <w:lang w:bidi="ar"/>
        </w:rPr>
        <w:t>保政策改革</w:t>
      </w:r>
    </w:p>
    <w:p w14:paraId="21FE2C72" w14:textId="70DF2401" w:rsidR="00030A36" w:rsidRDefault="00030A36" w:rsidP="00030A36">
      <w:pPr>
        <w:kinsoku/>
        <w:spacing w:line="560" w:lineRule="exact"/>
        <w:ind w:firstLineChars="200" w:firstLine="643"/>
        <w:jc w:val="both"/>
        <w:rPr>
          <w:rFonts w:ascii="仿宋_GB2312" w:eastAsia="仿宋_GB2312" w:hAnsi="仿宋_GB2312" w:cs="仿宋_GB2312"/>
          <w:spacing w:val="-7"/>
          <w:sz w:val="32"/>
          <w:szCs w:val="32"/>
        </w:rPr>
      </w:pPr>
      <w:r>
        <w:rPr>
          <w:rFonts w:ascii="仿宋_GB2312" w:eastAsia="仿宋_GB2312" w:hAnsi="仿宋_GB2312" w:cs="仿宋_GB2312" w:hint="eastAsia"/>
          <w:b/>
          <w:bCs/>
          <w:kern w:val="2"/>
          <w:sz w:val="32"/>
          <w:szCs w:val="32"/>
          <w:lang w:bidi="ar"/>
        </w:rPr>
        <w:t>1.建立</w:t>
      </w:r>
      <w:proofErr w:type="gramStart"/>
      <w:r>
        <w:rPr>
          <w:rFonts w:ascii="仿宋_GB2312" w:eastAsia="仿宋_GB2312" w:hAnsi="仿宋_GB2312" w:cs="仿宋_GB2312" w:hint="eastAsia"/>
          <w:b/>
          <w:bCs/>
          <w:kern w:val="2"/>
          <w:sz w:val="32"/>
          <w:szCs w:val="32"/>
          <w:lang w:bidi="ar"/>
        </w:rPr>
        <w:t>医</w:t>
      </w:r>
      <w:proofErr w:type="gramEnd"/>
      <w:r>
        <w:rPr>
          <w:rFonts w:ascii="仿宋_GB2312" w:eastAsia="仿宋_GB2312" w:hAnsi="仿宋_GB2312" w:cs="仿宋_GB2312" w:hint="eastAsia"/>
          <w:b/>
          <w:bCs/>
          <w:kern w:val="2"/>
          <w:sz w:val="32"/>
          <w:szCs w:val="32"/>
          <w:lang w:bidi="ar"/>
        </w:rPr>
        <w:t>保倾斜政策</w:t>
      </w:r>
      <w:r w:rsidR="009C39E4">
        <w:rPr>
          <w:rFonts w:ascii="仿宋_GB2312" w:eastAsia="仿宋_GB2312" w:hAnsi="仿宋_GB2312" w:cs="仿宋_GB2312" w:hint="eastAsia"/>
          <w:b/>
          <w:bCs/>
          <w:kern w:val="2"/>
          <w:sz w:val="32"/>
          <w:szCs w:val="32"/>
          <w:lang w:bidi="ar"/>
        </w:rPr>
        <w:t>体系</w:t>
      </w:r>
      <w:r>
        <w:rPr>
          <w:rFonts w:ascii="仿宋_GB2312" w:eastAsia="仿宋_GB2312" w:hAnsi="仿宋_GB2312" w:cs="仿宋_GB2312" w:hint="eastAsia"/>
          <w:b/>
          <w:bCs/>
          <w:kern w:val="2"/>
          <w:sz w:val="32"/>
          <w:szCs w:val="32"/>
          <w:lang w:bidi="ar"/>
        </w:rPr>
        <w:t>。</w:t>
      </w:r>
      <w:r>
        <w:rPr>
          <w:rFonts w:ascii="仿宋_GB2312" w:eastAsia="仿宋_GB2312" w:hAnsi="仿宋_GB2312" w:cs="仿宋_GB2312" w:hint="eastAsia"/>
          <w:spacing w:val="-7"/>
          <w:sz w:val="32"/>
          <w:szCs w:val="32"/>
        </w:rPr>
        <w:t>推行住院DRGs支付中医激励政策，中医类医疗机构中医激励系数以“中治率”为衡量标准，综合考虑群众负担减轻、优质中药饮片使用等因素，合理设置分档。建立中医激励系数与中药饮片帖</w:t>
      </w:r>
      <w:proofErr w:type="gramStart"/>
      <w:r>
        <w:rPr>
          <w:rFonts w:ascii="仿宋_GB2312" w:eastAsia="仿宋_GB2312" w:hAnsi="仿宋_GB2312" w:cs="仿宋_GB2312" w:hint="eastAsia"/>
          <w:spacing w:val="-7"/>
          <w:sz w:val="32"/>
          <w:szCs w:val="32"/>
        </w:rPr>
        <w:t>均费用</w:t>
      </w:r>
      <w:proofErr w:type="gramEnd"/>
      <w:r>
        <w:rPr>
          <w:rFonts w:ascii="仿宋_GB2312" w:eastAsia="仿宋_GB2312" w:hAnsi="仿宋_GB2312" w:cs="仿宋_GB2312" w:hint="eastAsia"/>
          <w:spacing w:val="-7"/>
          <w:sz w:val="32"/>
          <w:szCs w:val="32"/>
        </w:rPr>
        <w:t>挂钩机制，根据帖</w:t>
      </w:r>
      <w:proofErr w:type="gramStart"/>
      <w:r>
        <w:rPr>
          <w:rFonts w:ascii="仿宋_GB2312" w:eastAsia="仿宋_GB2312" w:hAnsi="仿宋_GB2312" w:cs="仿宋_GB2312" w:hint="eastAsia"/>
          <w:spacing w:val="-7"/>
          <w:sz w:val="32"/>
          <w:szCs w:val="32"/>
        </w:rPr>
        <w:t>均费用</w:t>
      </w:r>
      <w:proofErr w:type="gramEnd"/>
      <w:r>
        <w:rPr>
          <w:rFonts w:ascii="仿宋_GB2312" w:eastAsia="仿宋_GB2312" w:hAnsi="仿宋_GB2312" w:cs="仿宋_GB2312" w:hint="eastAsia"/>
          <w:spacing w:val="-7"/>
          <w:sz w:val="32"/>
          <w:szCs w:val="32"/>
        </w:rPr>
        <w:t>浮动动态设置差异化激励系数，上限不超过15%。医疗机构区域规划布局向中医医疗机构倾斜，对符合条件的医疗机构及时纳入</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保定</w:t>
      </w:r>
      <w:proofErr w:type="gramStart"/>
      <w:r>
        <w:rPr>
          <w:rFonts w:ascii="仿宋_GB2312" w:eastAsia="仿宋_GB2312" w:hAnsi="仿宋_GB2312" w:cs="仿宋_GB2312" w:hint="eastAsia"/>
          <w:spacing w:val="-7"/>
          <w:sz w:val="32"/>
          <w:szCs w:val="32"/>
        </w:rPr>
        <w:t>点协议</w:t>
      </w:r>
      <w:proofErr w:type="gramEnd"/>
      <w:r>
        <w:rPr>
          <w:rFonts w:ascii="仿宋_GB2312" w:eastAsia="仿宋_GB2312" w:hAnsi="仿宋_GB2312" w:cs="仿宋_GB2312" w:hint="eastAsia"/>
          <w:spacing w:val="-7"/>
          <w:sz w:val="32"/>
          <w:szCs w:val="32"/>
        </w:rPr>
        <w:t>管理和异地就医直接结算定点范围。适当提高中医医疗机构门诊人头基数。扩大中医非药物疗法报销范围。鼓励基层</w:t>
      </w:r>
      <w:r>
        <w:rPr>
          <w:rFonts w:ascii="仿宋_GB2312" w:eastAsia="仿宋_GB2312" w:hAnsi="仿宋_GB2312" w:cs="仿宋_GB2312" w:hint="eastAsia"/>
          <w:spacing w:val="-7"/>
          <w:sz w:val="32"/>
          <w:szCs w:val="32"/>
        </w:rPr>
        <w:lastRenderedPageBreak/>
        <w:t>医疗机构推广使用中医适宜技术，参保患者在乡镇卫生院和社区卫生服务中心住院使用中医药治疗，合</w:t>
      </w:r>
      <w:proofErr w:type="gramStart"/>
      <w:r>
        <w:rPr>
          <w:rFonts w:ascii="仿宋_GB2312" w:eastAsia="仿宋_GB2312" w:hAnsi="仿宋_GB2312" w:cs="仿宋_GB2312" w:hint="eastAsia"/>
          <w:spacing w:val="-7"/>
          <w:sz w:val="32"/>
          <w:szCs w:val="32"/>
        </w:rPr>
        <w:t>规</w:t>
      </w:r>
      <w:proofErr w:type="gramEnd"/>
      <w:r>
        <w:rPr>
          <w:rFonts w:ascii="仿宋_GB2312" w:eastAsia="仿宋_GB2312" w:hAnsi="仿宋_GB2312" w:cs="仿宋_GB2312" w:hint="eastAsia"/>
          <w:spacing w:val="-7"/>
          <w:sz w:val="32"/>
          <w:szCs w:val="32"/>
        </w:rPr>
        <w:t>医疗费用</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保报销比例不低于85%。（责任单位：市医疗保障局、市卫生健康局）</w:t>
      </w:r>
    </w:p>
    <w:p w14:paraId="2EFBD706" w14:textId="77777777" w:rsidR="00030A36" w:rsidRDefault="00030A36" w:rsidP="00030A36">
      <w:pPr>
        <w:kinsoku/>
        <w:spacing w:line="560" w:lineRule="exact"/>
        <w:ind w:firstLineChars="200" w:firstLine="643"/>
        <w:jc w:val="both"/>
        <w:rPr>
          <w:rFonts w:ascii="仿宋_GB2312" w:eastAsia="仿宋_GB2312" w:hAnsi="仿宋_GB2312" w:cs="仿宋_GB2312"/>
          <w:spacing w:val="-7"/>
          <w:sz w:val="32"/>
          <w:szCs w:val="32"/>
        </w:rPr>
      </w:pPr>
      <w:r>
        <w:rPr>
          <w:rFonts w:ascii="仿宋_GB2312" w:eastAsia="仿宋_GB2312" w:hAnsi="仿宋_GB2312" w:cs="仿宋_GB2312" w:hint="eastAsia"/>
          <w:b/>
          <w:bCs/>
          <w:kern w:val="2"/>
          <w:sz w:val="32"/>
          <w:szCs w:val="32"/>
          <w:lang w:bidi="ar"/>
        </w:rPr>
        <w:t>2.</w:t>
      </w:r>
      <w:bookmarkStart w:id="0" w:name="_Hlk148437054"/>
      <w:r>
        <w:rPr>
          <w:rFonts w:ascii="仿宋_GB2312" w:eastAsia="仿宋_GB2312" w:hAnsi="仿宋_GB2312" w:cs="仿宋_GB2312" w:hint="eastAsia"/>
          <w:b/>
          <w:bCs/>
          <w:kern w:val="2"/>
          <w:sz w:val="32"/>
          <w:szCs w:val="32"/>
          <w:lang w:bidi="ar"/>
        </w:rPr>
        <w:t>优化中医药服务价格体系</w:t>
      </w:r>
      <w:bookmarkEnd w:id="0"/>
      <w:r>
        <w:rPr>
          <w:rFonts w:ascii="仿宋_GB2312" w:eastAsia="仿宋_GB2312" w:hAnsi="仿宋_GB2312" w:cs="仿宋_GB2312" w:hint="eastAsia"/>
          <w:b/>
          <w:bCs/>
          <w:kern w:val="2"/>
          <w:sz w:val="32"/>
          <w:szCs w:val="32"/>
          <w:lang w:bidi="ar"/>
        </w:rPr>
        <w:t>。</w:t>
      </w:r>
      <w:r>
        <w:rPr>
          <w:rFonts w:ascii="仿宋_GB2312" w:eastAsia="仿宋_GB2312" w:hAnsi="仿宋_GB2312" w:cs="仿宋_GB2312" w:hint="eastAsia"/>
          <w:spacing w:val="-7"/>
          <w:sz w:val="32"/>
          <w:szCs w:val="32"/>
        </w:rPr>
        <w:t>加大中医医疗服务价格调整支持力度，建立体现中医药服务人员技术劳务价值的中医医疗服务价格形成和动态调整机制。健全中医药服务价格体系，合理确定中医辨证论治、中药院内制剂、中医药适宜技术等中医医疗服务项目和价格标准，发挥中医药“简便效廉”的特色优势。（责任单位：市医疗保障局、市市场监管局、市卫生健康局）</w:t>
      </w:r>
    </w:p>
    <w:p w14:paraId="0E74D135" w14:textId="77777777" w:rsidR="00030A36" w:rsidRDefault="00030A36" w:rsidP="00030A36">
      <w:pPr>
        <w:widowControl w:val="0"/>
        <w:kinsoku/>
        <w:spacing w:line="560" w:lineRule="exact"/>
        <w:ind w:firstLineChars="200" w:firstLine="643"/>
        <w:jc w:val="both"/>
        <w:rPr>
          <w:rFonts w:ascii="仿宋_GB2312" w:eastAsia="仿宋_GB2312" w:hAnsi="仿宋_GB2312" w:cs="仿宋_GB2312"/>
          <w:spacing w:val="-7"/>
          <w:sz w:val="32"/>
          <w:szCs w:val="32"/>
        </w:rPr>
      </w:pPr>
      <w:r>
        <w:rPr>
          <w:rFonts w:ascii="仿宋_GB2312" w:eastAsia="仿宋_GB2312" w:hAnsi="仿宋_GB2312" w:cs="仿宋_GB2312" w:hint="eastAsia"/>
          <w:b/>
          <w:bCs/>
          <w:kern w:val="2"/>
          <w:sz w:val="32"/>
          <w:szCs w:val="32"/>
          <w:lang w:bidi="ar"/>
        </w:rPr>
        <w:t>3.</w:t>
      </w:r>
      <w:bookmarkStart w:id="1" w:name="_Hlk148437060"/>
      <w:r>
        <w:rPr>
          <w:rFonts w:ascii="仿宋_GB2312" w:eastAsia="仿宋_GB2312" w:hAnsi="仿宋_GB2312" w:cs="仿宋_GB2312" w:hint="eastAsia"/>
          <w:b/>
          <w:bCs/>
          <w:kern w:val="2"/>
          <w:sz w:val="32"/>
          <w:szCs w:val="32"/>
          <w:lang w:bidi="ar"/>
        </w:rPr>
        <w:t>探索中医药特色的</w:t>
      </w:r>
      <w:proofErr w:type="gramStart"/>
      <w:r>
        <w:rPr>
          <w:rFonts w:ascii="仿宋_GB2312" w:eastAsia="仿宋_GB2312" w:hAnsi="仿宋_GB2312" w:cs="仿宋_GB2312" w:hint="eastAsia"/>
          <w:b/>
          <w:bCs/>
          <w:kern w:val="2"/>
          <w:sz w:val="32"/>
          <w:szCs w:val="32"/>
          <w:lang w:bidi="ar"/>
        </w:rPr>
        <w:t>医</w:t>
      </w:r>
      <w:proofErr w:type="gramEnd"/>
      <w:r>
        <w:rPr>
          <w:rFonts w:ascii="仿宋_GB2312" w:eastAsia="仿宋_GB2312" w:hAnsi="仿宋_GB2312" w:cs="仿宋_GB2312" w:hint="eastAsia"/>
          <w:b/>
          <w:bCs/>
          <w:kern w:val="2"/>
          <w:sz w:val="32"/>
          <w:szCs w:val="32"/>
          <w:lang w:bidi="ar"/>
        </w:rPr>
        <w:t>保支付方式</w:t>
      </w:r>
      <w:bookmarkEnd w:id="1"/>
      <w:r>
        <w:rPr>
          <w:rFonts w:ascii="仿宋_GB2312" w:eastAsia="仿宋_GB2312" w:hAnsi="仿宋_GB2312" w:cs="仿宋_GB2312" w:hint="eastAsia"/>
          <w:b/>
          <w:bCs/>
          <w:kern w:val="2"/>
          <w:sz w:val="32"/>
          <w:szCs w:val="32"/>
          <w:lang w:bidi="ar"/>
        </w:rPr>
        <w:t>。</w:t>
      </w:r>
      <w:r>
        <w:rPr>
          <w:rFonts w:ascii="仿宋_GB2312" w:eastAsia="仿宋_GB2312" w:hAnsi="仿宋_GB2312" w:cs="仿宋_GB2312" w:hint="eastAsia"/>
          <w:spacing w:val="-7"/>
          <w:sz w:val="32"/>
          <w:szCs w:val="32"/>
        </w:rPr>
        <w:t>以多元</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保支付方式改革体现中医药特色治疗价值，推进住院中医优势病种按病种收付费试点，支持</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保支付方式改革适当向中医倾斜，遴选有手术指征但可采用中医保守治疗的适宜病种实行中西医同病同效同价。在</w:t>
      </w:r>
      <w:proofErr w:type="gramStart"/>
      <w:r>
        <w:rPr>
          <w:rFonts w:ascii="仿宋_GB2312" w:eastAsia="仿宋_GB2312" w:hAnsi="仿宋_GB2312" w:cs="仿宋_GB2312" w:hint="eastAsia"/>
          <w:spacing w:val="-7"/>
          <w:sz w:val="32"/>
          <w:szCs w:val="32"/>
        </w:rPr>
        <w:t>康复病组按</w:t>
      </w:r>
      <w:proofErr w:type="gramEnd"/>
      <w:r>
        <w:rPr>
          <w:rFonts w:ascii="仿宋_GB2312" w:eastAsia="仿宋_GB2312" w:hAnsi="仿宋_GB2312" w:cs="仿宋_GB2312" w:hint="eastAsia"/>
          <w:spacing w:val="-7"/>
          <w:sz w:val="32"/>
          <w:szCs w:val="32"/>
        </w:rPr>
        <w:t>价值付费</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保支付方式改革中，康复慢性期中增加中医</w:t>
      </w:r>
      <w:proofErr w:type="gramStart"/>
      <w:r>
        <w:rPr>
          <w:rFonts w:ascii="仿宋_GB2312" w:eastAsia="仿宋_GB2312" w:hAnsi="仿宋_GB2312" w:cs="仿宋_GB2312" w:hint="eastAsia"/>
          <w:spacing w:val="-7"/>
          <w:sz w:val="32"/>
          <w:szCs w:val="32"/>
        </w:rPr>
        <w:t>康复按床日</w:t>
      </w:r>
      <w:proofErr w:type="gramEnd"/>
      <w:r>
        <w:rPr>
          <w:rFonts w:ascii="仿宋_GB2312" w:eastAsia="仿宋_GB2312" w:hAnsi="仿宋_GB2312" w:cs="仿宋_GB2312" w:hint="eastAsia"/>
          <w:spacing w:val="-7"/>
          <w:sz w:val="32"/>
          <w:szCs w:val="32"/>
        </w:rPr>
        <w:t>付费类别。探索中医推拿日间病房</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保结算制度，按病种实行限额管理。（责任单位：市医疗保障局、市卫生健康局）</w:t>
      </w:r>
    </w:p>
    <w:p w14:paraId="328A916E" w14:textId="77777777" w:rsidR="00030A36" w:rsidRDefault="00030A36" w:rsidP="00030A36">
      <w:pPr>
        <w:pStyle w:val="2"/>
        <w:kinsoku/>
        <w:spacing w:after="0" w:line="560" w:lineRule="exact"/>
        <w:ind w:leftChars="0" w:firstLine="612"/>
        <w:jc w:val="both"/>
        <w:rPr>
          <w:rFonts w:ascii="楷体_GB2312" w:eastAsia="楷体_GB2312" w:hAnsi="楷体_GB2312" w:cs="楷体_GB2312"/>
          <w:spacing w:val="-7"/>
          <w:sz w:val="32"/>
          <w:szCs w:val="32"/>
        </w:rPr>
      </w:pPr>
      <w:r>
        <w:rPr>
          <w:rFonts w:ascii="楷体_GB2312" w:eastAsia="楷体_GB2312" w:hAnsi="楷体_GB2312" w:cs="楷体_GB2312" w:hint="eastAsia"/>
          <w:spacing w:val="-7"/>
          <w:sz w:val="32"/>
          <w:szCs w:val="32"/>
        </w:rPr>
        <w:t>（三）开展中医药服务提质增效行动</w:t>
      </w:r>
    </w:p>
    <w:p w14:paraId="08FA0520" w14:textId="77777777" w:rsidR="00030A36" w:rsidRDefault="00030A36" w:rsidP="00030A36">
      <w:pPr>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hint="eastAsia"/>
          <w:b/>
          <w:bCs/>
          <w:spacing w:val="-7"/>
          <w:sz w:val="32"/>
          <w:szCs w:val="32"/>
        </w:rPr>
        <w:t>1.推进高水平中医医院建设。</w:t>
      </w:r>
      <w:r>
        <w:rPr>
          <w:rFonts w:ascii="仿宋_GB2312" w:eastAsia="仿宋_GB2312" w:hAnsi="仿宋_GB2312" w:cs="仿宋_GB2312" w:hint="eastAsia"/>
          <w:spacing w:val="-7"/>
          <w:sz w:val="32"/>
          <w:szCs w:val="32"/>
        </w:rPr>
        <w:t>以我市两家三甲中医（专科）医院为龙头，推进县级中医强院建设。进一步深化温岭市中医院与上海中医药大学附属龙华医院、台州市中西医结合医院与浙江省中医院的全方位合作，以人才交流、医疗协作、技术支持等载体提升医疗服务能级。进一步提升中医系统管理能力，依托市中</w:t>
      </w:r>
      <w:r>
        <w:rPr>
          <w:rFonts w:ascii="仿宋_GB2312" w:eastAsia="仿宋_GB2312" w:hAnsi="仿宋_GB2312" w:cs="仿宋_GB2312" w:hint="eastAsia"/>
          <w:spacing w:val="-7"/>
          <w:sz w:val="32"/>
          <w:szCs w:val="32"/>
        </w:rPr>
        <w:lastRenderedPageBreak/>
        <w:t>医院建设品牌化、专业化、规模化的区域中医医院卓越绩效培训基地，构建中医医院高质量发展信息化、精细化管理新模式。进一步支持社会办医疗机构台州骨伤医院做</w:t>
      </w:r>
      <w:proofErr w:type="gramStart"/>
      <w:r>
        <w:rPr>
          <w:rFonts w:ascii="仿宋_GB2312" w:eastAsia="仿宋_GB2312" w:hAnsi="仿宋_GB2312" w:cs="仿宋_GB2312" w:hint="eastAsia"/>
          <w:spacing w:val="-7"/>
          <w:sz w:val="32"/>
          <w:szCs w:val="32"/>
        </w:rPr>
        <w:t>强做</w:t>
      </w:r>
      <w:proofErr w:type="gramEnd"/>
      <w:r>
        <w:rPr>
          <w:rFonts w:ascii="仿宋_GB2312" w:eastAsia="仿宋_GB2312" w:hAnsi="仿宋_GB2312" w:cs="仿宋_GB2312" w:hint="eastAsia"/>
          <w:spacing w:val="-7"/>
          <w:sz w:val="32"/>
          <w:szCs w:val="32"/>
        </w:rPr>
        <w:t>大，推动中医药优势技术辐射全国，探索打造医疗卫生领域“地瓜经济”，成为中医骨伤专科医院龙头。（责任单位：市卫生健康局）</w:t>
      </w:r>
    </w:p>
    <w:p w14:paraId="7AA36022" w14:textId="77777777" w:rsidR="00030A36" w:rsidRDefault="00030A36" w:rsidP="00030A36">
      <w:pPr>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hint="eastAsia"/>
          <w:b/>
          <w:bCs/>
          <w:spacing w:val="-7"/>
          <w:sz w:val="32"/>
          <w:szCs w:val="32"/>
        </w:rPr>
        <w:t>2.筑牢中医药基层服务网底。</w:t>
      </w:r>
      <w:r>
        <w:rPr>
          <w:rFonts w:ascii="仿宋_GB2312" w:eastAsia="仿宋_GB2312" w:hAnsi="仿宋_GB2312" w:cs="仿宋_GB2312" w:hint="eastAsia"/>
          <w:spacing w:val="-7"/>
          <w:sz w:val="32"/>
          <w:szCs w:val="32"/>
        </w:rPr>
        <w:t>实行优质中医药服务“基层行”工程，畅通医疗资源下沉渠道，允许公立医院中医（中西医）医师在全市范围内下沉基层开展中医药服务，形成中医医疗资源协同共享、优势互补的立体化区域中医药服务网络。开展社区卫生服务中心和卫生院“示范性中医馆”、社区卫生服务站和村卫生室“中医阁”建设。全市每个卫生院、社区卫生服务中心均至少有1个中医特色专科，遴选30个左右中医药特色村卫生室、社区卫生服务站，发挥示范带动作用，促进基层中医药服务能力提升。（责任单位：市卫生健康局）</w:t>
      </w:r>
    </w:p>
    <w:p w14:paraId="68ABEB70" w14:textId="77777777" w:rsidR="00030A36" w:rsidRDefault="00030A36" w:rsidP="00030A36">
      <w:pPr>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hint="eastAsia"/>
          <w:b/>
          <w:bCs/>
          <w:spacing w:val="-7"/>
          <w:sz w:val="32"/>
          <w:szCs w:val="32"/>
        </w:rPr>
        <w:t>3.打造全程中医药服务模式。</w:t>
      </w:r>
      <w:r>
        <w:rPr>
          <w:rFonts w:ascii="仿宋_GB2312" w:eastAsia="仿宋_GB2312" w:hAnsi="仿宋_GB2312" w:cs="仿宋_GB2312" w:hint="eastAsia"/>
          <w:spacing w:val="-7"/>
          <w:sz w:val="32"/>
          <w:szCs w:val="32"/>
        </w:rPr>
        <w:t>完善慢性病综合防治网络和工作机制，发挥中医药在全人群全生命周期健康管理中的优势与作用。探索防治康</w:t>
      </w:r>
      <w:proofErr w:type="gramStart"/>
      <w:r>
        <w:rPr>
          <w:rFonts w:ascii="仿宋_GB2312" w:eastAsia="仿宋_GB2312" w:hAnsi="仿宋_GB2312" w:cs="仿宋_GB2312" w:hint="eastAsia"/>
          <w:spacing w:val="-7"/>
          <w:sz w:val="32"/>
          <w:szCs w:val="32"/>
        </w:rPr>
        <w:t>一体化治未病体</w:t>
      </w:r>
      <w:proofErr w:type="gramEnd"/>
      <w:r>
        <w:rPr>
          <w:rFonts w:ascii="仿宋_GB2312" w:eastAsia="仿宋_GB2312" w:hAnsi="仿宋_GB2312" w:cs="仿宋_GB2312" w:hint="eastAsia"/>
          <w:spacing w:val="-7"/>
          <w:sz w:val="32"/>
          <w:szCs w:val="32"/>
        </w:rPr>
        <w:t>系，建设治未病创新基地。支持中医医疗和健康服务机构与养老机构合作，遴选优质养老机构开展试点工作，满足多层次多样化的健康养老服务需求。依托市妇幼保健院建设具有鲜明中医药特色和优势的市级妇女儿童中医保健中心，开展养生调理、健康咨询、药膳食疗等特色服务。（责任单位：市卫生健康局）</w:t>
      </w:r>
    </w:p>
    <w:p w14:paraId="267427E4" w14:textId="77777777" w:rsidR="00030A36" w:rsidRDefault="00030A36" w:rsidP="00030A36">
      <w:pPr>
        <w:widowControl w:val="0"/>
        <w:kinsoku/>
        <w:spacing w:line="560" w:lineRule="exact"/>
        <w:ind w:firstLineChars="200" w:firstLine="612"/>
        <w:jc w:val="both"/>
        <w:rPr>
          <w:rFonts w:ascii="楷体_GB2312" w:eastAsia="楷体_GB2312" w:hAnsi="仿宋_GB2312" w:cs="仿宋_GB2312"/>
          <w:spacing w:val="-7"/>
          <w:sz w:val="32"/>
          <w:szCs w:val="32"/>
        </w:rPr>
      </w:pPr>
      <w:r>
        <w:rPr>
          <w:rFonts w:ascii="楷体_GB2312" w:eastAsia="楷体_GB2312" w:hAnsi="仿宋_GB2312" w:cs="仿宋_GB2312" w:hint="eastAsia"/>
          <w:spacing w:val="-7"/>
          <w:sz w:val="32"/>
          <w:szCs w:val="32"/>
        </w:rPr>
        <w:t>（四）开展中医药人才学科培优行动</w:t>
      </w:r>
    </w:p>
    <w:p w14:paraId="512B2780" w14:textId="77777777" w:rsidR="00030A36" w:rsidRDefault="00030A36" w:rsidP="00030A36">
      <w:pPr>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hint="eastAsia"/>
          <w:b/>
          <w:bCs/>
          <w:spacing w:val="-7"/>
          <w:sz w:val="32"/>
          <w:szCs w:val="32"/>
        </w:rPr>
        <w:lastRenderedPageBreak/>
        <w:t>1.强化中医药人才队伍体系建设。</w:t>
      </w:r>
      <w:r>
        <w:rPr>
          <w:rFonts w:ascii="仿宋_GB2312" w:eastAsia="仿宋_GB2312" w:hAnsi="仿宋_GB2312" w:cs="仿宋_GB2312" w:hint="eastAsia"/>
          <w:spacing w:val="-7"/>
          <w:sz w:val="32"/>
          <w:szCs w:val="32"/>
        </w:rPr>
        <w:t>创新高层次、骨干中坚、基层业务人才</w:t>
      </w:r>
      <w:proofErr w:type="gramStart"/>
      <w:r>
        <w:rPr>
          <w:rFonts w:ascii="仿宋_GB2312" w:eastAsia="仿宋_GB2312" w:hAnsi="仿宋_GB2312" w:cs="仿宋_GB2312" w:hint="eastAsia"/>
          <w:spacing w:val="-7"/>
          <w:sz w:val="32"/>
          <w:szCs w:val="32"/>
        </w:rPr>
        <w:t>引育培养</w:t>
      </w:r>
      <w:proofErr w:type="gramEnd"/>
      <w:r>
        <w:rPr>
          <w:rFonts w:ascii="仿宋_GB2312" w:eastAsia="仿宋_GB2312" w:hAnsi="仿宋_GB2312" w:cs="仿宋_GB2312" w:hint="eastAsia"/>
          <w:spacing w:val="-7"/>
          <w:sz w:val="32"/>
          <w:szCs w:val="32"/>
        </w:rPr>
        <w:t>新模式，建立符合中医特点的人才体系。积极引进两院院士、全国名中医、岐黄学者等高端人才。市级层面深化“师带徒”师承教育模式，增加多层次师承教育项目，扩大带徒范围和数量，倡导各级名中医每周期带教2-3名学术经验继承人。组织“西学中”培训班，健全“西学中”人员培养机制。探索三级及以上公立医院中医类医务人员实行自主招聘，通过降低开考比例等方式，吸引中医药</w:t>
      </w:r>
      <w:proofErr w:type="gramStart"/>
      <w:r>
        <w:rPr>
          <w:rFonts w:ascii="仿宋_GB2312" w:eastAsia="仿宋_GB2312" w:hAnsi="仿宋_GB2312" w:cs="仿宋_GB2312" w:hint="eastAsia"/>
          <w:spacing w:val="-7"/>
          <w:sz w:val="32"/>
          <w:szCs w:val="32"/>
        </w:rPr>
        <w:t>人才来温就业</w:t>
      </w:r>
      <w:proofErr w:type="gramEnd"/>
      <w:r>
        <w:rPr>
          <w:rFonts w:ascii="仿宋_GB2312" w:eastAsia="仿宋_GB2312" w:hAnsi="仿宋_GB2312" w:cs="仿宋_GB2312" w:hint="eastAsia"/>
          <w:spacing w:val="-7"/>
          <w:sz w:val="32"/>
          <w:szCs w:val="32"/>
        </w:rPr>
        <w:t>。核</w:t>
      </w:r>
      <w:proofErr w:type="gramStart"/>
      <w:r>
        <w:rPr>
          <w:rFonts w:ascii="仿宋_GB2312" w:eastAsia="仿宋_GB2312" w:hAnsi="仿宋_GB2312" w:cs="仿宋_GB2312" w:hint="eastAsia"/>
          <w:spacing w:val="-7"/>
          <w:sz w:val="32"/>
          <w:szCs w:val="32"/>
        </w:rPr>
        <w:t>增基层</w:t>
      </w:r>
      <w:proofErr w:type="gramEnd"/>
      <w:r>
        <w:rPr>
          <w:rFonts w:ascii="仿宋_GB2312" w:eastAsia="仿宋_GB2312" w:hAnsi="仿宋_GB2312" w:cs="仿宋_GB2312" w:hint="eastAsia"/>
          <w:spacing w:val="-7"/>
          <w:sz w:val="32"/>
          <w:szCs w:val="32"/>
        </w:rPr>
        <w:t>医疗机构中医医务人员专项编制，探索设立基层卫生院中医人才池，联合院校定向培养中医师、中医护士等专业人才，编制由市级统筹，不占基层医疗机构编制名额。鼓励与支持护理人员学习中医知识，提升中医护理人才占比。（责任单位：</w:t>
      </w:r>
      <w:r>
        <w:rPr>
          <w:rFonts w:ascii="仿宋_GB2312" w:eastAsia="仿宋_GB2312" w:hAnsi="仿宋_GB2312" w:cs="仿宋_GB2312"/>
          <w:spacing w:val="-7"/>
          <w:sz w:val="32"/>
          <w:szCs w:val="32"/>
        </w:rPr>
        <w:t>市委组织部（</w:t>
      </w:r>
      <w:r>
        <w:rPr>
          <w:rFonts w:ascii="仿宋_GB2312" w:eastAsia="仿宋_GB2312" w:hAnsi="仿宋_GB2312" w:cs="仿宋_GB2312" w:hint="eastAsia"/>
          <w:spacing w:val="-7"/>
          <w:sz w:val="32"/>
          <w:szCs w:val="32"/>
        </w:rPr>
        <w:t>市委人才办</w:t>
      </w:r>
      <w:r>
        <w:rPr>
          <w:rFonts w:ascii="仿宋_GB2312" w:eastAsia="仿宋_GB2312" w:hAnsi="仿宋_GB2312" w:cs="仿宋_GB2312"/>
          <w:spacing w:val="-7"/>
          <w:sz w:val="32"/>
          <w:szCs w:val="32"/>
        </w:rPr>
        <w:t>）</w:t>
      </w:r>
      <w:r>
        <w:rPr>
          <w:rFonts w:ascii="仿宋_GB2312" w:eastAsia="仿宋_GB2312" w:hAnsi="仿宋_GB2312" w:cs="仿宋_GB2312" w:hint="eastAsia"/>
          <w:spacing w:val="-7"/>
          <w:sz w:val="32"/>
          <w:szCs w:val="32"/>
        </w:rPr>
        <w:t>、市委编办、市人力社保局、市卫生健康局）</w:t>
      </w:r>
    </w:p>
    <w:p w14:paraId="7F9732E3" w14:textId="77777777" w:rsidR="00030A36" w:rsidRDefault="00030A36" w:rsidP="00030A36">
      <w:pPr>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b/>
          <w:bCs/>
          <w:spacing w:val="-7"/>
          <w:sz w:val="32"/>
          <w:szCs w:val="32"/>
        </w:rPr>
        <w:t>2</w:t>
      </w:r>
      <w:r>
        <w:rPr>
          <w:rFonts w:ascii="仿宋_GB2312" w:eastAsia="仿宋_GB2312" w:hAnsi="仿宋_GB2312" w:cs="仿宋_GB2312" w:hint="eastAsia"/>
          <w:b/>
          <w:bCs/>
          <w:spacing w:val="-7"/>
          <w:sz w:val="32"/>
          <w:szCs w:val="32"/>
        </w:rPr>
        <w:t>.健全中医药人才评价激励机制。</w:t>
      </w:r>
      <w:r>
        <w:rPr>
          <w:rFonts w:ascii="仿宋_GB2312" w:eastAsia="仿宋_GB2312" w:hAnsi="仿宋_GB2312" w:cs="仿宋_GB2312" w:hint="eastAsia"/>
          <w:spacing w:val="-7"/>
          <w:sz w:val="32"/>
          <w:szCs w:val="32"/>
        </w:rPr>
        <w:t>实施人才关爱激励工程。畅通中医药人才职业发展渠道，定期开展温岭市级名中医、基层名中医、中青年名中医等人才以及最美中医师等选树活动，做好国医、名师等人才的推荐工作。基层医疗机构台州市级及以上名中医、中医重点学（专）科带头人；公立医院省级及以上名中医、中医重点学（专）科带头人不占医院高级职称指标。鼓励中医药医务人员在基层一线开展服务，将在基层服务满10年的中医药中级专业技术人员纳入副高级职称人员考核认定范围，评定指标向业务量、群众口碑等适当倾斜。开展多种形式、多岗位的中医药</w:t>
      </w:r>
      <w:r>
        <w:rPr>
          <w:rFonts w:ascii="仿宋_GB2312" w:eastAsia="仿宋_GB2312" w:hAnsi="仿宋_GB2312" w:cs="仿宋_GB2312" w:hint="eastAsia"/>
          <w:spacing w:val="-7"/>
          <w:sz w:val="32"/>
          <w:szCs w:val="32"/>
        </w:rPr>
        <w:lastRenderedPageBreak/>
        <w:t>技能人才比赛，努力提升中医药人才的职业成就感和获得感。（责任单位：市人力社保局、市卫生健康局）</w:t>
      </w:r>
    </w:p>
    <w:p w14:paraId="6688230D" w14:textId="77777777" w:rsidR="00030A36" w:rsidRDefault="00030A36" w:rsidP="00030A36">
      <w:pPr>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b/>
          <w:bCs/>
          <w:spacing w:val="-7"/>
          <w:sz w:val="32"/>
          <w:szCs w:val="32"/>
        </w:rPr>
        <w:t>3</w:t>
      </w:r>
      <w:r>
        <w:rPr>
          <w:rFonts w:ascii="仿宋_GB2312" w:eastAsia="仿宋_GB2312" w:hAnsi="仿宋_GB2312" w:cs="仿宋_GB2312" w:hint="eastAsia"/>
          <w:b/>
          <w:bCs/>
          <w:spacing w:val="-7"/>
          <w:sz w:val="32"/>
          <w:szCs w:val="32"/>
        </w:rPr>
        <w:t>.开展高水平中医药学专科建设。</w:t>
      </w:r>
      <w:r>
        <w:rPr>
          <w:rFonts w:ascii="仿宋_GB2312" w:eastAsia="仿宋_GB2312" w:hAnsi="仿宋_GB2312" w:cs="仿宋_GB2312" w:hint="eastAsia"/>
          <w:spacing w:val="-7"/>
          <w:sz w:val="32"/>
          <w:szCs w:val="32"/>
        </w:rPr>
        <w:t>加强中医重点学（专）科建设，坚持优中选优，兼顾学科分布，鼓励交叉创新，加大政策倾斜和财政保障，争创一批国家级、省级、台州市级中医药（中西医结合）重点学（专）科、重点实验室、创新团队等，推动构建高水平中医药重点学专科体系，市中医院神经内科（脑病科）、肛肠科、针灸科，台州市中西医结合医院呼吸内科要争创省级中医药重点学（专）科。（责任单位：市卫生健康局、市财政局）</w:t>
      </w:r>
    </w:p>
    <w:p w14:paraId="0FB59BD7" w14:textId="77777777" w:rsidR="00030A36" w:rsidRDefault="00030A36" w:rsidP="00030A36">
      <w:pPr>
        <w:widowControl w:val="0"/>
        <w:kinsoku/>
        <w:spacing w:line="560" w:lineRule="exact"/>
        <w:ind w:firstLineChars="200" w:firstLine="640"/>
        <w:jc w:val="both"/>
        <w:rPr>
          <w:rFonts w:ascii="楷体_GB2312" w:eastAsia="楷体_GB2312" w:hAnsi="楷体_GB2312" w:cs="楷体_GB2312"/>
          <w:kern w:val="2"/>
          <w:sz w:val="32"/>
          <w:szCs w:val="32"/>
          <w:lang w:bidi="ar"/>
        </w:rPr>
      </w:pPr>
      <w:r>
        <w:rPr>
          <w:rFonts w:ascii="楷体_GB2312" w:eastAsia="楷体_GB2312" w:hAnsi="楷体_GB2312" w:cs="楷体_GB2312" w:hint="eastAsia"/>
          <w:kern w:val="2"/>
          <w:sz w:val="32"/>
          <w:szCs w:val="32"/>
          <w:lang w:bidi="ar"/>
        </w:rPr>
        <w:t>（五）开展中医药产业强基赋能行动。</w:t>
      </w:r>
    </w:p>
    <w:p w14:paraId="45285315" w14:textId="77777777" w:rsidR="00030A36" w:rsidRDefault="00030A36" w:rsidP="00030A36">
      <w:pPr>
        <w:widowControl w:val="0"/>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b/>
          <w:bCs/>
          <w:spacing w:val="-7"/>
          <w:sz w:val="32"/>
          <w:szCs w:val="32"/>
        </w:rPr>
        <w:t>1.</w:t>
      </w:r>
      <w:r>
        <w:rPr>
          <w:rFonts w:ascii="仿宋_GB2312" w:eastAsia="仿宋_GB2312" w:hAnsi="仿宋_GB2312" w:cs="仿宋_GB2312" w:hint="eastAsia"/>
          <w:b/>
          <w:bCs/>
          <w:spacing w:val="-7"/>
          <w:sz w:val="32"/>
          <w:szCs w:val="32"/>
        </w:rPr>
        <w:t>构建中医药产业发展新格局。</w:t>
      </w:r>
      <w:r>
        <w:rPr>
          <w:rFonts w:ascii="仿宋_GB2312" w:eastAsia="仿宋_GB2312" w:hAnsi="仿宋_GB2312" w:cs="仿宋_GB2312" w:hint="eastAsia"/>
          <w:spacing w:val="-7"/>
          <w:sz w:val="32"/>
          <w:szCs w:val="32"/>
        </w:rPr>
        <w:t>适当扩大中药种植养殖规模，开展三叶青等中药材种植研究，建设中药材种植基地、育苗基地，大力发展林下中药材种植。</w:t>
      </w:r>
      <w:r>
        <w:rPr>
          <w:rFonts w:ascii="仿宋_GB2312" w:eastAsia="仿宋_GB2312" w:hAnsi="宋体" w:cs="宋体" w:hint="eastAsia"/>
          <w:spacing w:val="-7"/>
          <w:sz w:val="32"/>
          <w:szCs w:val="32"/>
        </w:rPr>
        <w:t>建设中医药生命大健康产业园区，大力扶持本土中医药相关企业</w:t>
      </w:r>
      <w:proofErr w:type="gramStart"/>
      <w:r>
        <w:rPr>
          <w:rFonts w:ascii="仿宋_GB2312" w:eastAsia="仿宋_GB2312" w:hAnsi="宋体" w:cs="宋体" w:hint="eastAsia"/>
          <w:spacing w:val="-7"/>
          <w:sz w:val="32"/>
          <w:szCs w:val="32"/>
        </w:rPr>
        <w:t>做优做</w:t>
      </w:r>
      <w:proofErr w:type="gramEnd"/>
      <w:r>
        <w:rPr>
          <w:rFonts w:ascii="仿宋_GB2312" w:eastAsia="仿宋_GB2312" w:hAnsi="宋体" w:cs="宋体" w:hint="eastAsia"/>
          <w:spacing w:val="-7"/>
          <w:sz w:val="32"/>
          <w:szCs w:val="32"/>
        </w:rPr>
        <w:t>强。引进一批药食同源、中成药、中药保健品和现代中医药关键技术设备等生产企业。（责任单位：市农水局、市经信局、市自</w:t>
      </w:r>
      <w:proofErr w:type="gramStart"/>
      <w:r>
        <w:rPr>
          <w:rFonts w:ascii="仿宋_GB2312" w:eastAsia="仿宋_GB2312" w:hAnsi="宋体" w:cs="宋体" w:hint="eastAsia"/>
          <w:spacing w:val="-7"/>
          <w:sz w:val="32"/>
          <w:szCs w:val="32"/>
        </w:rPr>
        <w:t>规</w:t>
      </w:r>
      <w:proofErr w:type="gramEnd"/>
      <w:r>
        <w:rPr>
          <w:rFonts w:ascii="仿宋_GB2312" w:eastAsia="仿宋_GB2312" w:hAnsi="宋体" w:cs="宋体" w:hint="eastAsia"/>
          <w:spacing w:val="-7"/>
          <w:sz w:val="32"/>
          <w:szCs w:val="32"/>
        </w:rPr>
        <w:t>局、市卫生健康局、市市场监管局）</w:t>
      </w:r>
    </w:p>
    <w:p w14:paraId="37082D83" w14:textId="77777777" w:rsidR="00030A36" w:rsidRDefault="00030A36" w:rsidP="00030A36">
      <w:pPr>
        <w:widowControl w:val="0"/>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b/>
          <w:bCs/>
          <w:spacing w:val="-7"/>
          <w:sz w:val="32"/>
          <w:szCs w:val="32"/>
        </w:rPr>
        <w:t>2.</w:t>
      </w:r>
      <w:r>
        <w:rPr>
          <w:rFonts w:ascii="仿宋_GB2312" w:eastAsia="仿宋_GB2312" w:hAnsi="仿宋_GB2312" w:cs="仿宋_GB2312" w:hint="eastAsia"/>
          <w:b/>
          <w:bCs/>
          <w:spacing w:val="-7"/>
          <w:sz w:val="32"/>
          <w:szCs w:val="32"/>
        </w:rPr>
        <w:t>搭建中医药科研转化新平台。</w:t>
      </w:r>
      <w:r>
        <w:rPr>
          <w:rFonts w:ascii="仿宋_GB2312" w:eastAsia="仿宋_GB2312" w:hAnsi="仿宋_GB2312" w:cs="仿宋_GB2312" w:hint="eastAsia"/>
          <w:spacing w:val="-7"/>
          <w:sz w:val="32"/>
          <w:szCs w:val="32"/>
        </w:rPr>
        <w:t>积极引导市内外高科技中医药企业与市级医院共建实验室，扶持建设1-2个台州市乃至省级中医药重点实验室。加大中医药科研项目扶持力度，适当增加中医药科研立项比例，支持高级别中医药科研项目立项。探索在医疗机构内实施科技成果转化考评，同时完善科技成果转化价值的市场化评价机制及市场化激励机制，激发科研人员积极性。探索</w:t>
      </w:r>
      <w:r>
        <w:rPr>
          <w:rFonts w:ascii="仿宋_GB2312" w:eastAsia="仿宋_GB2312" w:hAnsi="仿宋_GB2312" w:cs="仿宋_GB2312" w:hint="eastAsia"/>
          <w:spacing w:val="-7"/>
          <w:sz w:val="32"/>
          <w:szCs w:val="32"/>
        </w:rPr>
        <w:lastRenderedPageBreak/>
        <w:t>建立市临床研究公共服务平台，</w:t>
      </w:r>
      <w:proofErr w:type="gramStart"/>
      <w:r>
        <w:rPr>
          <w:rFonts w:ascii="仿宋_GB2312" w:eastAsia="仿宋_GB2312" w:hAnsi="仿宋_GB2312" w:cs="仿宋_GB2312" w:hint="eastAsia"/>
          <w:spacing w:val="-7"/>
          <w:sz w:val="32"/>
          <w:szCs w:val="32"/>
        </w:rPr>
        <w:t>整合全市</w:t>
      </w:r>
      <w:proofErr w:type="gramEnd"/>
      <w:r>
        <w:rPr>
          <w:rFonts w:ascii="仿宋_GB2312" w:eastAsia="仿宋_GB2312" w:hAnsi="仿宋_GB2312" w:cs="仿宋_GB2312" w:hint="eastAsia"/>
          <w:spacing w:val="-7"/>
          <w:sz w:val="32"/>
          <w:szCs w:val="32"/>
        </w:rPr>
        <w:t>临床资源，搭建生物样本信息库、数据存储分析库等，为科研项目提供数据支撑。</w:t>
      </w:r>
      <w:r>
        <w:rPr>
          <w:rFonts w:ascii="仿宋_GB2312" w:eastAsia="仿宋_GB2312" w:hAnsi="宋体" w:cs="宋体" w:hint="eastAsia"/>
          <w:spacing w:val="-7"/>
          <w:sz w:val="32"/>
          <w:szCs w:val="32"/>
        </w:rPr>
        <w:t>（责任单位：市科技局、市卫生健康局）</w:t>
      </w:r>
    </w:p>
    <w:p w14:paraId="4FC6CF1C" w14:textId="77777777" w:rsidR="00030A36" w:rsidRDefault="00030A36" w:rsidP="00030A36">
      <w:pPr>
        <w:widowControl w:val="0"/>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hint="eastAsia"/>
          <w:b/>
          <w:bCs/>
          <w:spacing w:val="-7"/>
          <w:sz w:val="32"/>
          <w:szCs w:val="32"/>
        </w:rPr>
        <w:t>3</w:t>
      </w:r>
      <w:r>
        <w:rPr>
          <w:rFonts w:ascii="仿宋_GB2312" w:eastAsia="仿宋_GB2312" w:hAnsi="仿宋_GB2312" w:cs="仿宋_GB2312"/>
          <w:b/>
          <w:bCs/>
          <w:spacing w:val="-7"/>
          <w:sz w:val="32"/>
          <w:szCs w:val="32"/>
        </w:rPr>
        <w:t>.</w:t>
      </w:r>
      <w:r>
        <w:rPr>
          <w:rFonts w:ascii="仿宋_GB2312" w:eastAsia="仿宋_GB2312" w:hAnsi="仿宋_GB2312" w:cs="仿宋_GB2312" w:hint="eastAsia"/>
          <w:b/>
          <w:bCs/>
          <w:spacing w:val="-7"/>
          <w:sz w:val="32"/>
          <w:szCs w:val="32"/>
        </w:rPr>
        <w:t>打造中医药道地药材新品牌。</w:t>
      </w:r>
      <w:r>
        <w:rPr>
          <w:rFonts w:ascii="仿宋_GB2312" w:eastAsia="仿宋_GB2312" w:hAnsi="仿宋_GB2312" w:cs="仿宋_GB2312" w:hint="eastAsia"/>
          <w:spacing w:val="-7"/>
          <w:sz w:val="32"/>
          <w:szCs w:val="32"/>
        </w:rPr>
        <w:t>深度挖掘“岭五味”（三叶青、白及、天冬、荆芥、温岭高橙）的药用价值，研发以“岭五味”为原材料的功能性饮料、保健品。大力发展铁皮石斛、</w:t>
      </w:r>
      <w:proofErr w:type="gramStart"/>
      <w:r>
        <w:rPr>
          <w:rFonts w:ascii="仿宋_GB2312" w:eastAsia="仿宋_GB2312" w:hAnsi="仿宋_GB2312" w:cs="仿宋_GB2312" w:hint="eastAsia"/>
          <w:spacing w:val="-7"/>
          <w:sz w:val="32"/>
          <w:szCs w:val="32"/>
        </w:rPr>
        <w:t>莳</w:t>
      </w:r>
      <w:proofErr w:type="gramEnd"/>
      <w:r>
        <w:rPr>
          <w:rFonts w:ascii="仿宋_GB2312" w:eastAsia="仿宋_GB2312" w:hAnsi="仿宋_GB2312" w:cs="仿宋_GB2312" w:hint="eastAsia"/>
          <w:spacing w:val="-7"/>
          <w:sz w:val="32"/>
          <w:szCs w:val="32"/>
        </w:rPr>
        <w:t>药、牡蛎、</w:t>
      </w:r>
      <w:proofErr w:type="gramStart"/>
      <w:r>
        <w:rPr>
          <w:rFonts w:ascii="仿宋_GB2312" w:eastAsia="仿宋_GB2312" w:hAnsi="仿宋_GB2312" w:cs="仿宋_GB2312" w:hint="eastAsia"/>
          <w:spacing w:val="-7"/>
          <w:sz w:val="32"/>
          <w:szCs w:val="32"/>
        </w:rPr>
        <w:t>薤</w:t>
      </w:r>
      <w:proofErr w:type="gramEnd"/>
      <w:r>
        <w:rPr>
          <w:rFonts w:ascii="仿宋_GB2312" w:eastAsia="仿宋_GB2312" w:hAnsi="仿宋_GB2312" w:cs="仿宋_GB2312" w:hint="eastAsia"/>
          <w:spacing w:val="-7"/>
          <w:sz w:val="32"/>
          <w:szCs w:val="32"/>
        </w:rPr>
        <w:t>白、羊栖菜</w:t>
      </w:r>
      <w:proofErr w:type="gramStart"/>
      <w:r>
        <w:rPr>
          <w:rFonts w:ascii="仿宋_GB2312" w:eastAsia="仿宋_GB2312" w:hAnsi="仿宋_GB2312" w:cs="仿宋_GB2312" w:hint="eastAsia"/>
          <w:spacing w:val="-7"/>
          <w:sz w:val="32"/>
          <w:szCs w:val="32"/>
        </w:rPr>
        <w:t>等温岭特色</w:t>
      </w:r>
      <w:proofErr w:type="gramEnd"/>
      <w:r>
        <w:rPr>
          <w:rFonts w:ascii="仿宋_GB2312" w:eastAsia="仿宋_GB2312" w:hAnsi="仿宋_GB2312" w:cs="仿宋_GB2312" w:hint="eastAsia"/>
          <w:spacing w:val="-7"/>
          <w:sz w:val="32"/>
          <w:szCs w:val="32"/>
        </w:rPr>
        <w:t>中药材培育品种规模。依托现有优质</w:t>
      </w:r>
      <w:proofErr w:type="gramStart"/>
      <w:r>
        <w:rPr>
          <w:rFonts w:ascii="仿宋_GB2312" w:eastAsia="仿宋_GB2312" w:hAnsi="仿宋_GB2312" w:cs="仿宋_GB2312" w:hint="eastAsia"/>
          <w:spacing w:val="-7"/>
          <w:sz w:val="32"/>
          <w:szCs w:val="32"/>
        </w:rPr>
        <w:t>药企资源</w:t>
      </w:r>
      <w:proofErr w:type="gramEnd"/>
      <w:r>
        <w:rPr>
          <w:rFonts w:ascii="仿宋_GB2312" w:eastAsia="仿宋_GB2312" w:hAnsi="仿宋_GB2312" w:cs="仿宋_GB2312" w:hint="eastAsia"/>
          <w:spacing w:val="-7"/>
          <w:sz w:val="32"/>
          <w:szCs w:val="32"/>
        </w:rPr>
        <w:t>以及成熟的产业基础设施，重点发展中成药、精品中药饮片、中药滴剂等2-3个产品，加快特色中药品牌建设步伐，新增2个以上年销售过亿元中药大品种。</w:t>
      </w:r>
      <w:r>
        <w:rPr>
          <w:rFonts w:ascii="仿宋_GB2312" w:eastAsia="仿宋_GB2312" w:hAnsi="宋体" w:cs="宋体" w:hint="eastAsia"/>
          <w:spacing w:val="-7"/>
          <w:sz w:val="32"/>
          <w:szCs w:val="32"/>
        </w:rPr>
        <w:t>（责任单位：市农水局、市经信局、市自</w:t>
      </w:r>
      <w:proofErr w:type="gramStart"/>
      <w:r>
        <w:rPr>
          <w:rFonts w:ascii="仿宋_GB2312" w:eastAsia="仿宋_GB2312" w:hAnsi="宋体" w:cs="宋体" w:hint="eastAsia"/>
          <w:spacing w:val="-7"/>
          <w:sz w:val="32"/>
          <w:szCs w:val="32"/>
        </w:rPr>
        <w:t>规</w:t>
      </w:r>
      <w:proofErr w:type="gramEnd"/>
      <w:r>
        <w:rPr>
          <w:rFonts w:ascii="仿宋_GB2312" w:eastAsia="仿宋_GB2312" w:hAnsi="宋体" w:cs="宋体" w:hint="eastAsia"/>
          <w:spacing w:val="-7"/>
          <w:sz w:val="32"/>
          <w:szCs w:val="32"/>
        </w:rPr>
        <w:t>局、市卫生健康局、市市场监管局）</w:t>
      </w:r>
    </w:p>
    <w:p w14:paraId="19043AD1" w14:textId="77777777" w:rsidR="00030A36" w:rsidRDefault="00030A36" w:rsidP="00030A36">
      <w:pPr>
        <w:widowControl w:val="0"/>
        <w:kinsoku/>
        <w:spacing w:line="560" w:lineRule="exact"/>
        <w:ind w:firstLineChars="200" w:firstLine="640"/>
        <w:jc w:val="both"/>
        <w:rPr>
          <w:rFonts w:ascii="楷体_GB2312" w:eastAsia="楷体_GB2312" w:hAnsi="楷体_GB2312" w:cs="楷体_GB2312"/>
          <w:kern w:val="2"/>
          <w:sz w:val="32"/>
          <w:szCs w:val="32"/>
          <w:lang w:bidi="ar"/>
        </w:rPr>
      </w:pPr>
      <w:r>
        <w:rPr>
          <w:rFonts w:ascii="楷体_GB2312" w:eastAsia="楷体_GB2312" w:hAnsi="楷体_GB2312" w:cs="楷体_GB2312" w:hint="eastAsia"/>
          <w:kern w:val="2"/>
          <w:sz w:val="32"/>
          <w:szCs w:val="32"/>
          <w:lang w:bidi="ar"/>
        </w:rPr>
        <w:t>（六）开展中医药文化弘扬振兴行动。</w:t>
      </w:r>
    </w:p>
    <w:p w14:paraId="52512F01" w14:textId="77777777" w:rsidR="00030A36" w:rsidRDefault="00030A36" w:rsidP="00030A36">
      <w:pPr>
        <w:widowControl w:val="0"/>
        <w:kinsoku/>
        <w:spacing w:line="560" w:lineRule="exact"/>
        <w:ind w:firstLineChars="200" w:firstLine="643"/>
        <w:jc w:val="both"/>
        <w:rPr>
          <w:rFonts w:ascii="仿宋_GB2312" w:eastAsia="仿宋_GB2312" w:hAnsi="仿宋_GB2312" w:cs="仿宋_GB2312"/>
          <w:spacing w:val="-7"/>
          <w:sz w:val="32"/>
          <w:szCs w:val="32"/>
        </w:rPr>
      </w:pPr>
      <w:r>
        <w:rPr>
          <w:rFonts w:ascii="仿宋_GB2312" w:eastAsia="仿宋_GB2312" w:hAnsi="楷体_GB2312" w:cs="楷体_GB2312" w:hint="eastAsia"/>
          <w:b/>
          <w:bCs/>
          <w:kern w:val="2"/>
          <w:sz w:val="32"/>
          <w:szCs w:val="32"/>
          <w:lang w:bidi="ar"/>
        </w:rPr>
        <w:t>1.</w:t>
      </w:r>
      <w:r>
        <w:rPr>
          <w:rFonts w:ascii="仿宋_GB2312" w:eastAsia="仿宋_GB2312" w:hAnsi="仿宋_GB2312" w:cs="仿宋_GB2312" w:hint="eastAsia"/>
          <w:b/>
          <w:bCs/>
          <w:spacing w:val="-7"/>
          <w:sz w:val="32"/>
          <w:szCs w:val="32"/>
        </w:rPr>
        <w:t>推动中医药知识科普。</w:t>
      </w:r>
      <w:r>
        <w:rPr>
          <w:rFonts w:ascii="仿宋_GB2312" w:eastAsia="仿宋_GB2312" w:hAnsi="仿宋_GB2312" w:cs="仿宋_GB2312" w:hint="eastAsia"/>
          <w:spacing w:val="-7"/>
          <w:sz w:val="32"/>
          <w:szCs w:val="32"/>
        </w:rPr>
        <w:t>打造温岭市级中医药科普基地。支持各中小学校医务室设立中医药文化角。鼓励与支持辖区内的药店开设中医角，宣传中医药文化，售卖中医药相关文创产品（药店增加经营范围）。在市政绿化中推广使用观赏类中药材（如芍药，麦冬，万年青等）。加强中医药文化宣传教育阵地建设，实现公立中医药机构中医药文化宣传教育阵地全覆盖。建成一批中医药文化知识角、文化长廊、文化街和主题公园。充分运用微信、电视、报纸等多元方式开展中医药知识科普。（责任单位：市卫生健康局、市教育局、市市场监管局、市住建局）</w:t>
      </w:r>
    </w:p>
    <w:p w14:paraId="0F85135B" w14:textId="77777777" w:rsidR="00030A36" w:rsidRDefault="00030A36" w:rsidP="00030A36">
      <w:pPr>
        <w:widowControl w:val="0"/>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hint="eastAsia"/>
          <w:b/>
          <w:bCs/>
          <w:spacing w:val="-7"/>
          <w:sz w:val="32"/>
          <w:szCs w:val="32"/>
        </w:rPr>
        <w:t>2.推动中医药文化传承。</w:t>
      </w:r>
      <w:r>
        <w:rPr>
          <w:rFonts w:ascii="仿宋_GB2312" w:eastAsia="仿宋_GB2312" w:hAnsi="仿宋_GB2312" w:cs="仿宋_GB2312" w:hint="eastAsia"/>
          <w:spacing w:val="-7"/>
          <w:sz w:val="32"/>
          <w:szCs w:val="32"/>
        </w:rPr>
        <w:t>开展中医药古籍、文献收集和整理，推广名老中医（药）专家学术经验，收集筛选民间中药单（验）</w:t>
      </w:r>
      <w:r>
        <w:rPr>
          <w:rFonts w:ascii="仿宋_GB2312" w:eastAsia="仿宋_GB2312" w:hAnsi="仿宋_GB2312" w:cs="仿宋_GB2312" w:hint="eastAsia"/>
          <w:spacing w:val="-7"/>
          <w:sz w:val="32"/>
          <w:szCs w:val="32"/>
        </w:rPr>
        <w:lastRenderedPageBreak/>
        <w:t>方和技术，编辑出版《温岭市中医验方汇编》，打造一批中医药影视作品、丛书、课程等文化精品。深入开展中医药文化普及推广，每年举办中医药文化节。（责任单位：市卫生健康局）</w:t>
      </w:r>
    </w:p>
    <w:p w14:paraId="7F44434D" w14:textId="77777777" w:rsidR="00030A36" w:rsidRDefault="00030A36" w:rsidP="00030A36">
      <w:pPr>
        <w:widowControl w:val="0"/>
        <w:kinsoku/>
        <w:spacing w:line="560" w:lineRule="exact"/>
        <w:ind w:firstLineChars="200" w:firstLine="614"/>
        <w:jc w:val="both"/>
        <w:rPr>
          <w:rFonts w:ascii="仿宋_GB2312" w:eastAsia="仿宋_GB2312" w:hAnsi="仿宋_GB2312" w:cs="仿宋_GB2312"/>
          <w:spacing w:val="-7"/>
          <w:sz w:val="32"/>
          <w:szCs w:val="32"/>
        </w:rPr>
      </w:pPr>
      <w:r>
        <w:rPr>
          <w:rFonts w:ascii="仿宋_GB2312" w:eastAsia="仿宋_GB2312" w:hAnsi="仿宋_GB2312" w:cs="仿宋_GB2312" w:hint="eastAsia"/>
          <w:b/>
          <w:bCs/>
          <w:spacing w:val="-7"/>
          <w:sz w:val="32"/>
          <w:szCs w:val="32"/>
        </w:rPr>
        <w:t>3.推动中医药文化传播。</w:t>
      </w:r>
      <w:r>
        <w:rPr>
          <w:rFonts w:ascii="仿宋_GB2312" w:eastAsia="仿宋_GB2312" w:hAnsi="仿宋_GB2312" w:cs="仿宋_GB2312" w:hint="eastAsia"/>
          <w:spacing w:val="-7"/>
          <w:sz w:val="32"/>
          <w:szCs w:val="32"/>
        </w:rPr>
        <w:t>组建“温岭市中医药养生”巡讲团，以《中国公民中医养生保健素养》《健康中国行动2019—2030》为基础全面开展巡讲，推广太极拳、八段锦、食疗等中医传统方法，逐步扩大“中医药+体育健身”的“体卫融合”试点工作，推进八段锦（体操版）进校园，推动全民健身和全民健康紧密结合。（责任单位：市卫生健康局、市教育局、市文</w:t>
      </w:r>
      <w:proofErr w:type="gramStart"/>
      <w:r>
        <w:rPr>
          <w:rFonts w:ascii="仿宋_GB2312" w:eastAsia="仿宋_GB2312" w:hAnsi="仿宋_GB2312" w:cs="仿宋_GB2312" w:hint="eastAsia"/>
          <w:spacing w:val="-7"/>
          <w:sz w:val="32"/>
          <w:szCs w:val="32"/>
        </w:rPr>
        <w:t>广旅体局</w:t>
      </w:r>
      <w:proofErr w:type="gramEnd"/>
      <w:r>
        <w:rPr>
          <w:rFonts w:ascii="仿宋_GB2312" w:eastAsia="仿宋_GB2312" w:hAnsi="仿宋_GB2312" w:cs="仿宋_GB2312" w:hint="eastAsia"/>
          <w:spacing w:val="-7"/>
          <w:sz w:val="32"/>
          <w:szCs w:val="32"/>
        </w:rPr>
        <w:t>）</w:t>
      </w:r>
    </w:p>
    <w:p w14:paraId="78D6D87B" w14:textId="77777777" w:rsidR="00030A36" w:rsidRDefault="00030A36" w:rsidP="00030A36">
      <w:pPr>
        <w:widowControl w:val="0"/>
        <w:kinsoku/>
        <w:spacing w:line="560" w:lineRule="exact"/>
        <w:ind w:firstLineChars="200" w:firstLine="604"/>
        <w:jc w:val="both"/>
        <w:rPr>
          <w:rFonts w:ascii="黑体" w:eastAsia="黑体" w:hAnsi="黑体" w:cs="黑体"/>
          <w:spacing w:val="-9"/>
          <w:position w:val="2"/>
          <w:sz w:val="32"/>
          <w:szCs w:val="32"/>
        </w:rPr>
      </w:pPr>
      <w:r>
        <w:rPr>
          <w:rFonts w:ascii="黑体" w:eastAsia="黑体" w:hAnsi="黑体" w:cs="黑体" w:hint="eastAsia"/>
          <w:spacing w:val="-9"/>
          <w:position w:val="2"/>
          <w:sz w:val="32"/>
          <w:szCs w:val="32"/>
        </w:rPr>
        <w:t>三、实施步骤</w:t>
      </w:r>
    </w:p>
    <w:p w14:paraId="653BDC18" w14:textId="77777777" w:rsidR="00030A36" w:rsidRDefault="00030A36" w:rsidP="00030A36">
      <w:pPr>
        <w:widowControl w:val="0"/>
        <w:kinsoku/>
        <w:spacing w:line="560" w:lineRule="exact"/>
        <w:ind w:firstLine="631"/>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我市创建浙江省中医药综合改革先行区分三个阶段进行。</w:t>
      </w:r>
    </w:p>
    <w:p w14:paraId="447776D6" w14:textId="2706E2EC" w:rsidR="00030A36" w:rsidRDefault="00030A36" w:rsidP="00030A36">
      <w:pPr>
        <w:widowControl w:val="0"/>
        <w:kinsoku/>
        <w:spacing w:line="560" w:lineRule="exact"/>
        <w:ind w:firstLine="631"/>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t>（一）动员部署阶段(2023年</w:t>
      </w:r>
      <w:r>
        <w:rPr>
          <w:rFonts w:ascii="楷体_GB2312" w:eastAsia="楷体_GB2312" w:hAnsi="楷体_GB2312" w:cs="楷体_GB2312"/>
          <w:b/>
          <w:bCs/>
          <w:kern w:val="2"/>
          <w:sz w:val="32"/>
          <w:szCs w:val="32"/>
          <w:lang w:bidi="ar"/>
        </w:rPr>
        <w:t>11</w:t>
      </w:r>
      <w:r>
        <w:rPr>
          <w:rFonts w:ascii="楷体_GB2312" w:eastAsia="楷体_GB2312" w:hAnsi="楷体_GB2312" w:cs="楷体_GB2312" w:hint="eastAsia"/>
          <w:b/>
          <w:bCs/>
          <w:kern w:val="2"/>
          <w:sz w:val="32"/>
          <w:szCs w:val="32"/>
          <w:lang w:bidi="ar"/>
        </w:rPr>
        <w:t>月底前)</w:t>
      </w:r>
    </w:p>
    <w:p w14:paraId="3616BBB8" w14:textId="77777777" w:rsidR="00030A36" w:rsidRDefault="00030A36" w:rsidP="00030A36">
      <w:pPr>
        <w:widowControl w:val="0"/>
        <w:kinsoku/>
        <w:spacing w:line="560" w:lineRule="exact"/>
        <w:ind w:firstLine="631"/>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成立温岭市建设省中医药综合改革先行区领导小组，建立领导小组工作例会制度，定期召开工作例会，确定建设省中医药综合改革先行区创建工作重点。加强与省、台州市中医药管理部门对接交流，进一步明确改革目标、路径和措施，启动实施先行区建设。</w:t>
      </w:r>
    </w:p>
    <w:p w14:paraId="212C62BA" w14:textId="79DBD40A" w:rsidR="00030A36" w:rsidRDefault="00030A36" w:rsidP="00030A36">
      <w:pPr>
        <w:widowControl w:val="0"/>
        <w:kinsoku/>
        <w:spacing w:line="560" w:lineRule="exact"/>
        <w:ind w:firstLine="631"/>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t>（二）全面推进阶段(2023年</w:t>
      </w:r>
      <w:r>
        <w:rPr>
          <w:rFonts w:ascii="楷体_GB2312" w:eastAsia="楷体_GB2312" w:hAnsi="楷体_GB2312" w:cs="楷体_GB2312"/>
          <w:b/>
          <w:bCs/>
          <w:kern w:val="2"/>
          <w:sz w:val="32"/>
          <w:szCs w:val="32"/>
          <w:lang w:bidi="ar"/>
        </w:rPr>
        <w:t>12</w:t>
      </w:r>
      <w:r>
        <w:rPr>
          <w:rFonts w:ascii="楷体_GB2312" w:eastAsia="楷体_GB2312" w:hAnsi="楷体_GB2312" w:cs="楷体_GB2312" w:hint="eastAsia"/>
          <w:b/>
          <w:bCs/>
          <w:kern w:val="2"/>
          <w:sz w:val="32"/>
          <w:szCs w:val="32"/>
          <w:lang w:bidi="ar"/>
        </w:rPr>
        <w:t>月-2024年12月)</w:t>
      </w:r>
    </w:p>
    <w:p w14:paraId="3ED44E17" w14:textId="77777777" w:rsidR="00030A36" w:rsidRDefault="00030A36" w:rsidP="00030A36">
      <w:pPr>
        <w:widowControl w:val="0"/>
        <w:kinsoku/>
        <w:spacing w:line="560" w:lineRule="exact"/>
        <w:ind w:firstLine="631"/>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坚持统筹规划、突出重点的原则，着力解决影响和制约中医药事业发展的突出问题和关键环节，在政策、项目、资金、机制等方面开展先行区建设，初步形成促进中医药事业和产业发展的工作机制。2024年底对建设情况进行阶段性评估，梳理问题、总结经验，推动中医药综合改革工作深入开展。</w:t>
      </w:r>
    </w:p>
    <w:p w14:paraId="71C49DFF" w14:textId="77777777" w:rsidR="00030A36" w:rsidRDefault="00030A36" w:rsidP="00030A36">
      <w:pPr>
        <w:widowControl w:val="0"/>
        <w:kinsoku/>
        <w:spacing w:line="560" w:lineRule="exact"/>
        <w:ind w:firstLine="631"/>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lastRenderedPageBreak/>
        <w:t>（三）完善提升阶段(2025年1月-2025年12月)</w:t>
      </w:r>
    </w:p>
    <w:p w14:paraId="1EEE3115" w14:textId="77777777" w:rsidR="00030A36" w:rsidRDefault="00030A36" w:rsidP="00030A36">
      <w:pPr>
        <w:widowControl w:val="0"/>
        <w:kinsoku/>
        <w:spacing w:line="560" w:lineRule="exact"/>
        <w:ind w:firstLine="631"/>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加强统筹协调和全面评估，对达到预期效果的予以总结推广，对新情况、新问题及时分析研究，进一步完善体制机制，探索形成中医药综合改革有效路径和高质量发展创新模式。2025年下半年，全面总结先行区的成功做法和主要经验，形成工作评估报告，为中医药事业发展提供可复制推广的温岭模式。</w:t>
      </w:r>
    </w:p>
    <w:p w14:paraId="32DDA668" w14:textId="77777777" w:rsidR="00030A36" w:rsidRDefault="00030A36" w:rsidP="00030A36">
      <w:pPr>
        <w:widowControl w:val="0"/>
        <w:kinsoku/>
        <w:spacing w:line="560" w:lineRule="exact"/>
        <w:ind w:firstLineChars="200" w:firstLine="604"/>
        <w:jc w:val="both"/>
        <w:rPr>
          <w:rFonts w:ascii="黑体" w:eastAsia="黑体" w:hAnsi="黑体" w:cs="黑体"/>
          <w:spacing w:val="-9"/>
          <w:position w:val="2"/>
          <w:sz w:val="32"/>
          <w:szCs w:val="32"/>
        </w:rPr>
      </w:pPr>
      <w:r>
        <w:rPr>
          <w:rFonts w:ascii="黑体" w:eastAsia="黑体" w:hAnsi="黑体" w:cs="黑体" w:hint="eastAsia"/>
          <w:spacing w:val="-9"/>
          <w:position w:val="2"/>
          <w:sz w:val="32"/>
          <w:szCs w:val="32"/>
        </w:rPr>
        <w:t>四、保障措施</w:t>
      </w:r>
    </w:p>
    <w:p w14:paraId="7C45AAF6" w14:textId="77777777" w:rsidR="00030A36" w:rsidRDefault="00030A36" w:rsidP="00030A36">
      <w:pPr>
        <w:widowControl w:val="0"/>
        <w:kinsoku/>
        <w:spacing w:line="560" w:lineRule="exact"/>
        <w:ind w:firstLine="631"/>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t>（一）加强领导，强化责任</w:t>
      </w:r>
    </w:p>
    <w:p w14:paraId="17BC8EA3" w14:textId="77777777" w:rsidR="00030A36" w:rsidRDefault="00030A36" w:rsidP="00030A36">
      <w:pPr>
        <w:widowControl w:val="0"/>
        <w:kinsoku/>
        <w:spacing w:line="560" w:lineRule="exact"/>
        <w:ind w:firstLine="631"/>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成立温岭市创建省中医药综合改革先行区领导小组，由</w:t>
      </w:r>
      <w:r>
        <w:rPr>
          <w:rFonts w:ascii="仿宋_GB2312" w:eastAsia="仿宋_GB2312" w:hAnsi="仿宋_GB2312" w:cs="仿宋_GB2312" w:hint="eastAsia"/>
          <w:color w:val="auto"/>
          <w:spacing w:val="-7"/>
          <w:sz w:val="32"/>
          <w:szCs w:val="32"/>
        </w:rPr>
        <w:t>市政府主要领导任组长，市卫健局、市委宣传部、市</w:t>
      </w:r>
      <w:proofErr w:type="gramStart"/>
      <w:r>
        <w:rPr>
          <w:rFonts w:ascii="仿宋_GB2312" w:eastAsia="仿宋_GB2312" w:hAnsi="仿宋_GB2312" w:cs="仿宋_GB2312" w:hint="eastAsia"/>
          <w:color w:val="auto"/>
          <w:spacing w:val="-7"/>
          <w:sz w:val="32"/>
          <w:szCs w:val="32"/>
        </w:rPr>
        <w:t>发改局</w:t>
      </w:r>
      <w:proofErr w:type="gramEnd"/>
      <w:r>
        <w:rPr>
          <w:rFonts w:ascii="仿宋_GB2312" w:eastAsia="仿宋_GB2312" w:hAnsi="仿宋_GB2312" w:cs="仿宋_GB2312" w:hint="eastAsia"/>
          <w:color w:val="auto"/>
          <w:spacing w:val="-7"/>
          <w:sz w:val="32"/>
          <w:szCs w:val="32"/>
        </w:rPr>
        <w:t>、市经</w:t>
      </w:r>
      <w:r>
        <w:rPr>
          <w:rFonts w:ascii="仿宋_GB2312" w:eastAsia="仿宋_GB2312" w:hAnsi="仿宋_GB2312" w:cs="仿宋_GB2312" w:hint="eastAsia"/>
          <w:spacing w:val="-7"/>
          <w:sz w:val="32"/>
          <w:szCs w:val="32"/>
        </w:rPr>
        <w:t>信局、市委编办、市教育局、市科技局、市财政局、市人力社保局、市自然资源规划局、市住建局、市农水局、市文</w:t>
      </w:r>
      <w:proofErr w:type="gramStart"/>
      <w:r>
        <w:rPr>
          <w:rFonts w:ascii="仿宋_GB2312" w:eastAsia="仿宋_GB2312" w:hAnsi="仿宋_GB2312" w:cs="仿宋_GB2312" w:hint="eastAsia"/>
          <w:spacing w:val="-7"/>
          <w:sz w:val="32"/>
          <w:szCs w:val="32"/>
        </w:rPr>
        <w:t>广旅体局</w:t>
      </w:r>
      <w:proofErr w:type="gramEnd"/>
      <w:r>
        <w:rPr>
          <w:rFonts w:ascii="仿宋_GB2312" w:eastAsia="仿宋_GB2312" w:hAnsi="仿宋_GB2312" w:cs="仿宋_GB2312" w:hint="eastAsia"/>
          <w:spacing w:val="-7"/>
          <w:sz w:val="32"/>
          <w:szCs w:val="32"/>
        </w:rPr>
        <w:t>、市市场监管局、市</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局以及各镇（街道、经济开发区）等单位主要负责人为成员，组织、指导、协调实际问题。领导小组办公室设在市卫健局，负责领导小组日常工作。制定建设省中医药综合改革先行区的工作重点，分解责任目标任务，压实工作职责，形成中医药改革发展合力。</w:t>
      </w:r>
    </w:p>
    <w:p w14:paraId="37B8D304" w14:textId="77777777" w:rsidR="00030A36" w:rsidRDefault="00030A36" w:rsidP="00030A36">
      <w:pPr>
        <w:widowControl w:val="0"/>
        <w:kinsoku/>
        <w:spacing w:line="560" w:lineRule="exact"/>
        <w:ind w:firstLine="631"/>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t>（二）加强保障，强化措施</w:t>
      </w:r>
    </w:p>
    <w:p w14:paraId="48840516" w14:textId="77777777" w:rsidR="00030A36" w:rsidRDefault="00030A36" w:rsidP="00030A36">
      <w:pPr>
        <w:widowControl w:val="0"/>
        <w:kinsoku/>
        <w:spacing w:line="560" w:lineRule="exact"/>
        <w:ind w:firstLine="631"/>
        <w:jc w:val="both"/>
        <w:rPr>
          <w:rFonts w:ascii="仿宋_GB2312" w:eastAsia="仿宋_GB2312" w:hAnsi="仿宋_GB2312" w:cs="仿宋_GB2312"/>
          <w:spacing w:val="-7"/>
          <w:sz w:val="32"/>
          <w:szCs w:val="32"/>
        </w:rPr>
      </w:pPr>
      <w:r>
        <w:rPr>
          <w:rFonts w:ascii="仿宋_GB2312" w:eastAsia="仿宋_GB2312" w:hAnsi="仿宋_GB2312" w:cs="仿宋_GB2312" w:hint="eastAsia"/>
          <w:spacing w:val="-7"/>
          <w:sz w:val="32"/>
          <w:szCs w:val="32"/>
        </w:rPr>
        <w:t>全面落实在资源配置、政策机制、制度安排等全方面向中医药倾斜。统筹规划中医医疗机构布局，加强中医医疗机构基本建设。加大对中医药文化传播、科学研究、人才引育、财政支保障、产业发展、药材种植、</w:t>
      </w:r>
      <w:proofErr w:type="gramStart"/>
      <w:r>
        <w:rPr>
          <w:rFonts w:ascii="仿宋_GB2312" w:eastAsia="仿宋_GB2312" w:hAnsi="仿宋_GB2312" w:cs="仿宋_GB2312" w:hint="eastAsia"/>
          <w:spacing w:val="-7"/>
          <w:sz w:val="32"/>
          <w:szCs w:val="32"/>
        </w:rPr>
        <w:t>医</w:t>
      </w:r>
      <w:proofErr w:type="gramEnd"/>
      <w:r>
        <w:rPr>
          <w:rFonts w:ascii="仿宋_GB2312" w:eastAsia="仿宋_GB2312" w:hAnsi="仿宋_GB2312" w:cs="仿宋_GB2312" w:hint="eastAsia"/>
          <w:spacing w:val="-7"/>
          <w:sz w:val="32"/>
          <w:szCs w:val="32"/>
        </w:rPr>
        <w:t>保报销等方面的政策支持力度，有力保障我市中医药服务及产业健康发展。加大公立中医医院的财政投</w:t>
      </w:r>
      <w:r>
        <w:rPr>
          <w:rFonts w:ascii="仿宋_GB2312" w:eastAsia="仿宋_GB2312" w:hAnsi="仿宋_GB2312" w:cs="仿宋_GB2312" w:hint="eastAsia"/>
          <w:spacing w:val="-7"/>
          <w:sz w:val="32"/>
          <w:szCs w:val="32"/>
        </w:rPr>
        <w:lastRenderedPageBreak/>
        <w:t>入，研究探索有利于发挥中医药特色优势的补助办法，进一步探索完善中医药人员薪酬激励机制。</w:t>
      </w:r>
    </w:p>
    <w:p w14:paraId="0BC40585" w14:textId="77777777" w:rsidR="00030A36" w:rsidRDefault="00030A36" w:rsidP="00030A36">
      <w:pPr>
        <w:widowControl w:val="0"/>
        <w:kinsoku/>
        <w:spacing w:line="560" w:lineRule="exact"/>
        <w:ind w:firstLine="631"/>
        <w:jc w:val="both"/>
        <w:rPr>
          <w:rFonts w:ascii="楷体_GB2312" w:eastAsia="楷体_GB2312" w:hAnsi="楷体_GB2312" w:cs="楷体_GB2312"/>
          <w:b/>
          <w:bCs/>
          <w:kern w:val="2"/>
          <w:sz w:val="32"/>
          <w:szCs w:val="32"/>
          <w:lang w:bidi="ar"/>
        </w:rPr>
      </w:pPr>
      <w:r>
        <w:rPr>
          <w:rFonts w:ascii="楷体_GB2312" w:eastAsia="楷体_GB2312" w:hAnsi="楷体_GB2312" w:cs="楷体_GB2312" w:hint="eastAsia"/>
          <w:b/>
          <w:bCs/>
          <w:kern w:val="2"/>
          <w:sz w:val="32"/>
          <w:szCs w:val="32"/>
          <w:lang w:bidi="ar"/>
        </w:rPr>
        <w:t>（三）加强宣传，强化引导</w:t>
      </w:r>
    </w:p>
    <w:p w14:paraId="7A1481B3" w14:textId="77777777" w:rsidR="00030A36" w:rsidRDefault="00030A36" w:rsidP="00030A36">
      <w:pPr>
        <w:widowControl w:val="0"/>
        <w:kinsoku/>
        <w:spacing w:line="560" w:lineRule="exact"/>
        <w:ind w:firstLine="631"/>
        <w:jc w:val="both"/>
        <w:rPr>
          <w:rFonts w:ascii="仿宋_GB2312" w:eastAsia="仿宋_GB2312" w:hAnsi="仿宋_GB2312" w:cs="仿宋_GB2312"/>
          <w:spacing w:val="-7"/>
          <w:sz w:val="32"/>
          <w:szCs w:val="32"/>
        </w:rPr>
        <w:sectPr w:rsidR="00030A36">
          <w:footerReference w:type="default" r:id="rId6"/>
          <w:pgSz w:w="11906" w:h="16838"/>
          <w:pgMar w:top="1701" w:right="1701" w:bottom="1701" w:left="1701" w:header="851" w:footer="992" w:gutter="0"/>
          <w:cols w:space="720"/>
          <w:docGrid w:type="lines" w:linePitch="312"/>
        </w:sectPr>
      </w:pPr>
      <w:r>
        <w:rPr>
          <w:rFonts w:ascii="仿宋_GB2312" w:eastAsia="仿宋_GB2312" w:hAnsi="仿宋_GB2312" w:cs="仿宋_GB2312" w:hint="eastAsia"/>
          <w:spacing w:val="-7"/>
          <w:sz w:val="32"/>
          <w:szCs w:val="32"/>
        </w:rPr>
        <w:t>利用广播、电视、报刊、微博、</w:t>
      </w:r>
      <w:proofErr w:type="gramStart"/>
      <w:r>
        <w:rPr>
          <w:rFonts w:ascii="仿宋_GB2312" w:eastAsia="仿宋_GB2312" w:hAnsi="仿宋_GB2312" w:cs="仿宋_GB2312" w:hint="eastAsia"/>
          <w:spacing w:val="-7"/>
          <w:sz w:val="32"/>
          <w:szCs w:val="32"/>
        </w:rPr>
        <w:t>微信等</w:t>
      </w:r>
      <w:proofErr w:type="gramEnd"/>
      <w:r>
        <w:rPr>
          <w:rFonts w:ascii="仿宋_GB2312" w:eastAsia="仿宋_GB2312" w:hAnsi="仿宋_GB2312" w:cs="仿宋_GB2312" w:hint="eastAsia"/>
          <w:spacing w:val="-7"/>
          <w:sz w:val="32"/>
          <w:szCs w:val="32"/>
        </w:rPr>
        <w:t>各类媒体和传播途径，采取多种形式，加强温岭市建设省中医药综合改革示范区工作宣传和深度解读，挖掘宣传中医药名医名家和一线医务工作者先进典型，汇聚中医药发展的强大正能量，营造弘扬中医药文化的浓厚氛围，准确向社会传递促进中医药传承创新发展的政策导向和重大举措，确保建设各项工作落到实处，如期完成目标任务。</w:t>
      </w:r>
    </w:p>
    <w:p w14:paraId="0B978EAC" w14:textId="77777777" w:rsidR="00030A36" w:rsidRDefault="00030A36" w:rsidP="00030A36">
      <w:pPr>
        <w:pStyle w:val="2"/>
        <w:ind w:leftChars="0" w:firstLineChars="0"/>
        <w:jc w:val="center"/>
        <w:rPr>
          <w:rFonts w:ascii="方正小标宋_GBK" w:eastAsia="方正小标宋_GBK" w:hAnsi="仿宋_GB2312" w:cs="仿宋_GB2312"/>
          <w:spacing w:val="-7"/>
          <w:sz w:val="36"/>
          <w:szCs w:val="36"/>
        </w:rPr>
      </w:pPr>
      <w:r>
        <w:rPr>
          <w:rFonts w:ascii="方正小标宋_GBK" w:eastAsia="方正小标宋_GBK" w:hAnsi="宋体" w:cs="宋体" w:hint="eastAsia"/>
          <w:spacing w:val="-7"/>
          <w:sz w:val="36"/>
          <w:szCs w:val="36"/>
        </w:rPr>
        <w:lastRenderedPageBreak/>
        <w:t>住院中医优势病种清单（试行第一批）</w:t>
      </w:r>
    </w:p>
    <w:tbl>
      <w:tblPr>
        <w:tblW w:w="0" w:type="auto"/>
        <w:tblInd w:w="-394" w:type="dxa"/>
        <w:tblLayout w:type="fixed"/>
        <w:tblLook w:val="0000" w:firstRow="0" w:lastRow="0" w:firstColumn="0" w:lastColumn="0" w:noHBand="0" w:noVBand="0"/>
      </w:tblPr>
      <w:tblGrid>
        <w:gridCol w:w="981"/>
        <w:gridCol w:w="3342"/>
        <w:gridCol w:w="4959"/>
      </w:tblGrid>
      <w:tr w:rsidR="00030A36" w14:paraId="4CA4A4C5" w14:textId="77777777" w:rsidTr="00F123C8">
        <w:trPr>
          <w:trHeight w:val="633"/>
        </w:trPr>
        <w:tc>
          <w:tcPr>
            <w:tcW w:w="981" w:type="dxa"/>
            <w:tcBorders>
              <w:top w:val="single" w:sz="4" w:space="0" w:color="auto"/>
              <w:left w:val="single" w:sz="4" w:space="0" w:color="auto"/>
              <w:bottom w:val="single" w:sz="4" w:space="0" w:color="auto"/>
              <w:right w:val="single" w:sz="4" w:space="0" w:color="auto"/>
            </w:tcBorders>
            <w:noWrap/>
            <w:vAlign w:val="center"/>
          </w:tcPr>
          <w:p w14:paraId="50491F3F" w14:textId="77777777" w:rsidR="00030A36" w:rsidRDefault="00030A36" w:rsidP="00F123C8">
            <w:pPr>
              <w:kinsoku/>
              <w:autoSpaceDE/>
              <w:autoSpaceDN/>
              <w:adjustRightInd/>
              <w:snapToGrid/>
              <w:jc w:val="center"/>
              <w:textAlignment w:val="auto"/>
              <w:rPr>
                <w:rFonts w:ascii="宋体" w:eastAsia="宋体" w:hAnsi="宋体" w:cs="宋体"/>
                <w:b/>
                <w:bCs/>
                <w:snapToGrid/>
                <w:sz w:val="24"/>
                <w:szCs w:val="24"/>
              </w:rPr>
            </w:pPr>
            <w:r>
              <w:rPr>
                <w:rFonts w:ascii="宋体" w:eastAsia="宋体" w:hAnsi="宋体" w:cs="宋体" w:hint="eastAsia"/>
                <w:b/>
                <w:bCs/>
                <w:snapToGrid/>
                <w:sz w:val="24"/>
                <w:szCs w:val="24"/>
              </w:rPr>
              <w:t>序号</w:t>
            </w:r>
          </w:p>
        </w:tc>
        <w:tc>
          <w:tcPr>
            <w:tcW w:w="3342" w:type="dxa"/>
            <w:tcBorders>
              <w:top w:val="single" w:sz="4" w:space="0" w:color="auto"/>
              <w:left w:val="nil"/>
              <w:bottom w:val="single" w:sz="4" w:space="0" w:color="auto"/>
              <w:right w:val="single" w:sz="4" w:space="0" w:color="auto"/>
            </w:tcBorders>
            <w:noWrap/>
            <w:vAlign w:val="center"/>
          </w:tcPr>
          <w:p w14:paraId="204087A9" w14:textId="77777777" w:rsidR="00030A36" w:rsidRDefault="00030A36" w:rsidP="00F123C8">
            <w:pPr>
              <w:kinsoku/>
              <w:autoSpaceDE/>
              <w:autoSpaceDN/>
              <w:adjustRightInd/>
              <w:snapToGrid/>
              <w:jc w:val="center"/>
              <w:textAlignment w:val="auto"/>
              <w:rPr>
                <w:rFonts w:ascii="宋体" w:eastAsia="宋体" w:hAnsi="宋体" w:cs="宋体"/>
                <w:b/>
                <w:bCs/>
                <w:snapToGrid/>
                <w:sz w:val="24"/>
                <w:szCs w:val="24"/>
              </w:rPr>
            </w:pPr>
            <w:r>
              <w:rPr>
                <w:rFonts w:ascii="宋体" w:eastAsia="宋体" w:hAnsi="宋体" w:cs="宋体" w:hint="eastAsia"/>
                <w:b/>
                <w:bCs/>
                <w:snapToGrid/>
                <w:sz w:val="24"/>
                <w:szCs w:val="24"/>
              </w:rPr>
              <w:t>中医诊断</w:t>
            </w:r>
          </w:p>
        </w:tc>
        <w:tc>
          <w:tcPr>
            <w:tcW w:w="4959" w:type="dxa"/>
            <w:tcBorders>
              <w:top w:val="single" w:sz="4" w:space="0" w:color="auto"/>
              <w:left w:val="nil"/>
              <w:bottom w:val="single" w:sz="4" w:space="0" w:color="auto"/>
              <w:right w:val="single" w:sz="4" w:space="0" w:color="auto"/>
            </w:tcBorders>
            <w:noWrap/>
            <w:vAlign w:val="center"/>
          </w:tcPr>
          <w:p w14:paraId="66A114B7" w14:textId="77777777" w:rsidR="00030A36" w:rsidRDefault="00030A36" w:rsidP="00F123C8">
            <w:pPr>
              <w:kinsoku/>
              <w:autoSpaceDE/>
              <w:autoSpaceDN/>
              <w:adjustRightInd/>
              <w:snapToGrid/>
              <w:jc w:val="center"/>
              <w:textAlignment w:val="auto"/>
              <w:rPr>
                <w:rFonts w:ascii="宋体" w:eastAsia="宋体" w:hAnsi="宋体" w:cs="宋体"/>
                <w:b/>
                <w:bCs/>
                <w:snapToGrid/>
                <w:sz w:val="24"/>
                <w:szCs w:val="24"/>
              </w:rPr>
            </w:pPr>
            <w:r>
              <w:rPr>
                <w:rFonts w:ascii="宋体" w:eastAsia="宋体" w:hAnsi="宋体" w:cs="宋体" w:hint="eastAsia"/>
                <w:b/>
                <w:bCs/>
                <w:snapToGrid/>
                <w:sz w:val="24"/>
                <w:szCs w:val="24"/>
              </w:rPr>
              <w:t>西医诊断</w:t>
            </w:r>
          </w:p>
        </w:tc>
      </w:tr>
      <w:tr w:rsidR="00030A36" w14:paraId="2D5932E6"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6351EFCF"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1</w:t>
            </w:r>
          </w:p>
        </w:tc>
        <w:tc>
          <w:tcPr>
            <w:tcW w:w="3342" w:type="dxa"/>
            <w:tcBorders>
              <w:top w:val="nil"/>
              <w:left w:val="nil"/>
              <w:bottom w:val="single" w:sz="4" w:space="0" w:color="auto"/>
              <w:right w:val="single" w:sz="4" w:space="0" w:color="auto"/>
            </w:tcBorders>
            <w:noWrap/>
            <w:vAlign w:val="center"/>
          </w:tcPr>
          <w:p w14:paraId="5969B4A9"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中风</w:t>
            </w:r>
          </w:p>
        </w:tc>
        <w:tc>
          <w:tcPr>
            <w:tcW w:w="4959" w:type="dxa"/>
            <w:tcBorders>
              <w:top w:val="nil"/>
              <w:left w:val="nil"/>
              <w:bottom w:val="single" w:sz="4" w:space="0" w:color="auto"/>
              <w:right w:val="single" w:sz="4" w:space="0" w:color="auto"/>
            </w:tcBorders>
            <w:noWrap/>
            <w:vAlign w:val="center"/>
          </w:tcPr>
          <w:p w14:paraId="474496C7"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脑梗死</w:t>
            </w:r>
          </w:p>
        </w:tc>
      </w:tr>
      <w:tr w:rsidR="00030A36" w14:paraId="12D5D0A2"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52027CE4"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2</w:t>
            </w:r>
          </w:p>
        </w:tc>
        <w:tc>
          <w:tcPr>
            <w:tcW w:w="3342" w:type="dxa"/>
            <w:tcBorders>
              <w:top w:val="nil"/>
              <w:left w:val="nil"/>
              <w:bottom w:val="single" w:sz="4" w:space="0" w:color="auto"/>
              <w:right w:val="single" w:sz="4" w:space="0" w:color="auto"/>
            </w:tcBorders>
            <w:noWrap/>
            <w:vAlign w:val="center"/>
          </w:tcPr>
          <w:p w14:paraId="447E20C7"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颈椎病</w:t>
            </w:r>
          </w:p>
        </w:tc>
        <w:tc>
          <w:tcPr>
            <w:tcW w:w="4959" w:type="dxa"/>
            <w:tcBorders>
              <w:top w:val="nil"/>
              <w:left w:val="nil"/>
              <w:bottom w:val="single" w:sz="4" w:space="0" w:color="auto"/>
              <w:right w:val="single" w:sz="4" w:space="0" w:color="auto"/>
            </w:tcBorders>
            <w:noWrap/>
            <w:vAlign w:val="center"/>
          </w:tcPr>
          <w:p w14:paraId="35BC45FD"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神经根型颈椎病</w:t>
            </w:r>
          </w:p>
        </w:tc>
      </w:tr>
      <w:tr w:rsidR="00030A36" w14:paraId="14F1FA28"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2FB18289"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3</w:t>
            </w:r>
          </w:p>
        </w:tc>
        <w:tc>
          <w:tcPr>
            <w:tcW w:w="3342" w:type="dxa"/>
            <w:tcBorders>
              <w:top w:val="nil"/>
              <w:left w:val="nil"/>
              <w:bottom w:val="single" w:sz="4" w:space="0" w:color="auto"/>
              <w:right w:val="single" w:sz="4" w:space="0" w:color="auto"/>
            </w:tcBorders>
            <w:noWrap/>
            <w:vAlign w:val="center"/>
          </w:tcPr>
          <w:p w14:paraId="47E997A3"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腰痛病</w:t>
            </w:r>
          </w:p>
        </w:tc>
        <w:tc>
          <w:tcPr>
            <w:tcW w:w="4959" w:type="dxa"/>
            <w:tcBorders>
              <w:top w:val="nil"/>
              <w:left w:val="nil"/>
              <w:bottom w:val="single" w:sz="4" w:space="0" w:color="auto"/>
              <w:right w:val="single" w:sz="4" w:space="0" w:color="auto"/>
            </w:tcBorders>
            <w:noWrap/>
            <w:vAlign w:val="center"/>
          </w:tcPr>
          <w:p w14:paraId="676B2832"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腰椎间盘突出</w:t>
            </w:r>
          </w:p>
        </w:tc>
      </w:tr>
      <w:tr w:rsidR="00030A36" w14:paraId="2CD2324C"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22168AE7"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4</w:t>
            </w:r>
          </w:p>
        </w:tc>
        <w:tc>
          <w:tcPr>
            <w:tcW w:w="3342" w:type="dxa"/>
            <w:tcBorders>
              <w:top w:val="nil"/>
              <w:left w:val="nil"/>
              <w:bottom w:val="single" w:sz="4" w:space="0" w:color="auto"/>
              <w:right w:val="single" w:sz="4" w:space="0" w:color="auto"/>
            </w:tcBorders>
            <w:noWrap/>
            <w:vAlign w:val="center"/>
          </w:tcPr>
          <w:p w14:paraId="55DB8680"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proofErr w:type="gramStart"/>
            <w:r>
              <w:rPr>
                <w:rFonts w:ascii="宋体" w:eastAsia="宋体" w:hAnsi="宋体" w:cs="宋体" w:hint="eastAsia"/>
                <w:snapToGrid/>
                <w:sz w:val="22"/>
                <w:szCs w:val="22"/>
              </w:rPr>
              <w:t>面瘫病</w:t>
            </w:r>
            <w:proofErr w:type="gramEnd"/>
          </w:p>
        </w:tc>
        <w:tc>
          <w:tcPr>
            <w:tcW w:w="4959" w:type="dxa"/>
            <w:tcBorders>
              <w:top w:val="nil"/>
              <w:left w:val="nil"/>
              <w:bottom w:val="single" w:sz="4" w:space="0" w:color="auto"/>
              <w:right w:val="single" w:sz="4" w:space="0" w:color="auto"/>
            </w:tcBorders>
            <w:noWrap/>
            <w:vAlign w:val="center"/>
          </w:tcPr>
          <w:p w14:paraId="61C3BA62"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面神经炎、周围性面神经麻痹</w:t>
            </w:r>
          </w:p>
        </w:tc>
      </w:tr>
      <w:tr w:rsidR="00030A36" w14:paraId="6527C47E"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16E04848"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5</w:t>
            </w:r>
          </w:p>
        </w:tc>
        <w:tc>
          <w:tcPr>
            <w:tcW w:w="3342" w:type="dxa"/>
            <w:tcBorders>
              <w:top w:val="nil"/>
              <w:left w:val="nil"/>
              <w:bottom w:val="single" w:sz="4" w:space="0" w:color="auto"/>
              <w:right w:val="single" w:sz="4" w:space="0" w:color="auto"/>
            </w:tcBorders>
            <w:noWrap/>
            <w:vAlign w:val="center"/>
          </w:tcPr>
          <w:p w14:paraId="3541AE40"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胃</w:t>
            </w:r>
            <w:proofErr w:type="gramStart"/>
            <w:r>
              <w:rPr>
                <w:rFonts w:ascii="宋体" w:eastAsia="宋体" w:hAnsi="宋体" w:cs="宋体" w:hint="eastAsia"/>
                <w:snapToGrid/>
                <w:sz w:val="22"/>
                <w:szCs w:val="22"/>
              </w:rPr>
              <w:t>痞</w:t>
            </w:r>
            <w:proofErr w:type="gramEnd"/>
          </w:p>
        </w:tc>
        <w:tc>
          <w:tcPr>
            <w:tcW w:w="4959" w:type="dxa"/>
            <w:tcBorders>
              <w:top w:val="nil"/>
              <w:left w:val="nil"/>
              <w:bottom w:val="single" w:sz="4" w:space="0" w:color="auto"/>
              <w:right w:val="single" w:sz="4" w:space="0" w:color="auto"/>
            </w:tcBorders>
            <w:noWrap/>
            <w:vAlign w:val="center"/>
          </w:tcPr>
          <w:p w14:paraId="33C69AA7"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消化不良、慢性胃炎、消化性溃疡、反流性食管炎</w:t>
            </w:r>
          </w:p>
        </w:tc>
      </w:tr>
      <w:tr w:rsidR="00030A36" w14:paraId="254C26D5"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41AA0F15"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6</w:t>
            </w:r>
          </w:p>
        </w:tc>
        <w:tc>
          <w:tcPr>
            <w:tcW w:w="3342" w:type="dxa"/>
            <w:tcBorders>
              <w:top w:val="nil"/>
              <w:left w:val="nil"/>
              <w:bottom w:val="single" w:sz="4" w:space="0" w:color="auto"/>
              <w:right w:val="single" w:sz="4" w:space="0" w:color="auto"/>
            </w:tcBorders>
            <w:noWrap/>
            <w:vAlign w:val="center"/>
          </w:tcPr>
          <w:p w14:paraId="34117564"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胃脘痛</w:t>
            </w:r>
          </w:p>
        </w:tc>
        <w:tc>
          <w:tcPr>
            <w:tcW w:w="4959" w:type="dxa"/>
            <w:tcBorders>
              <w:top w:val="nil"/>
              <w:left w:val="nil"/>
              <w:bottom w:val="single" w:sz="4" w:space="0" w:color="auto"/>
              <w:right w:val="single" w:sz="4" w:space="0" w:color="auto"/>
            </w:tcBorders>
            <w:noWrap/>
            <w:vAlign w:val="center"/>
          </w:tcPr>
          <w:p w14:paraId="1CD15239"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慢性胃炎、消化性溃疡、胃肠功能紊乱</w:t>
            </w:r>
          </w:p>
        </w:tc>
      </w:tr>
      <w:tr w:rsidR="00030A36" w14:paraId="470FBBCE"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757A6FD9"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7</w:t>
            </w:r>
          </w:p>
        </w:tc>
        <w:tc>
          <w:tcPr>
            <w:tcW w:w="3342" w:type="dxa"/>
            <w:tcBorders>
              <w:top w:val="nil"/>
              <w:left w:val="nil"/>
              <w:bottom w:val="single" w:sz="4" w:space="0" w:color="auto"/>
              <w:right w:val="single" w:sz="4" w:space="0" w:color="auto"/>
            </w:tcBorders>
            <w:noWrap/>
            <w:vAlign w:val="center"/>
          </w:tcPr>
          <w:p w14:paraId="7521DA0E"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消渴病</w:t>
            </w:r>
          </w:p>
        </w:tc>
        <w:tc>
          <w:tcPr>
            <w:tcW w:w="4959" w:type="dxa"/>
            <w:tcBorders>
              <w:top w:val="nil"/>
              <w:left w:val="nil"/>
              <w:bottom w:val="single" w:sz="4" w:space="0" w:color="auto"/>
              <w:right w:val="single" w:sz="4" w:space="0" w:color="auto"/>
            </w:tcBorders>
            <w:noWrap/>
            <w:vAlign w:val="center"/>
          </w:tcPr>
          <w:p w14:paraId="2EB73F9A"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糖尿病</w:t>
            </w:r>
          </w:p>
        </w:tc>
      </w:tr>
      <w:tr w:rsidR="00030A36" w14:paraId="16F3127B"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41A4A4E7"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8</w:t>
            </w:r>
          </w:p>
        </w:tc>
        <w:tc>
          <w:tcPr>
            <w:tcW w:w="3342" w:type="dxa"/>
            <w:tcBorders>
              <w:top w:val="nil"/>
              <w:left w:val="nil"/>
              <w:bottom w:val="single" w:sz="4" w:space="0" w:color="auto"/>
              <w:right w:val="single" w:sz="4" w:space="0" w:color="auto"/>
            </w:tcBorders>
            <w:noWrap/>
            <w:vAlign w:val="center"/>
          </w:tcPr>
          <w:p w14:paraId="64570E4D"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慢性肾衰</w:t>
            </w:r>
          </w:p>
        </w:tc>
        <w:tc>
          <w:tcPr>
            <w:tcW w:w="4959" w:type="dxa"/>
            <w:tcBorders>
              <w:top w:val="nil"/>
              <w:left w:val="nil"/>
              <w:bottom w:val="single" w:sz="4" w:space="0" w:color="auto"/>
              <w:right w:val="single" w:sz="4" w:space="0" w:color="auto"/>
            </w:tcBorders>
            <w:noWrap/>
            <w:vAlign w:val="center"/>
          </w:tcPr>
          <w:p w14:paraId="7ACC9EC0"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慢性肾功能不全</w:t>
            </w:r>
          </w:p>
        </w:tc>
      </w:tr>
      <w:tr w:rsidR="00030A36" w14:paraId="41B8A3B8"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0618AD5D"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9</w:t>
            </w:r>
          </w:p>
        </w:tc>
        <w:tc>
          <w:tcPr>
            <w:tcW w:w="3342" w:type="dxa"/>
            <w:tcBorders>
              <w:top w:val="nil"/>
              <w:left w:val="nil"/>
              <w:bottom w:val="single" w:sz="4" w:space="0" w:color="auto"/>
              <w:right w:val="single" w:sz="4" w:space="0" w:color="auto"/>
            </w:tcBorders>
            <w:noWrap/>
            <w:vAlign w:val="center"/>
          </w:tcPr>
          <w:p w14:paraId="7BBF707E"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肝癌</w:t>
            </w:r>
          </w:p>
        </w:tc>
        <w:tc>
          <w:tcPr>
            <w:tcW w:w="4959" w:type="dxa"/>
            <w:tcBorders>
              <w:top w:val="nil"/>
              <w:left w:val="nil"/>
              <w:bottom w:val="single" w:sz="4" w:space="0" w:color="auto"/>
              <w:right w:val="single" w:sz="4" w:space="0" w:color="auto"/>
            </w:tcBorders>
            <w:noWrap/>
            <w:vAlign w:val="center"/>
          </w:tcPr>
          <w:p w14:paraId="7A4B9C50"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肝恶性肿瘤</w:t>
            </w:r>
          </w:p>
        </w:tc>
      </w:tr>
      <w:tr w:rsidR="00030A36" w14:paraId="577EEA1D"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636DB105"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10</w:t>
            </w:r>
          </w:p>
        </w:tc>
        <w:tc>
          <w:tcPr>
            <w:tcW w:w="3342" w:type="dxa"/>
            <w:tcBorders>
              <w:top w:val="nil"/>
              <w:left w:val="nil"/>
              <w:bottom w:val="single" w:sz="4" w:space="0" w:color="auto"/>
              <w:right w:val="single" w:sz="4" w:space="0" w:color="auto"/>
            </w:tcBorders>
            <w:noWrap/>
            <w:vAlign w:val="center"/>
          </w:tcPr>
          <w:p w14:paraId="022CEB3B"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肺癌</w:t>
            </w:r>
          </w:p>
        </w:tc>
        <w:tc>
          <w:tcPr>
            <w:tcW w:w="4959" w:type="dxa"/>
            <w:tcBorders>
              <w:top w:val="nil"/>
              <w:left w:val="nil"/>
              <w:bottom w:val="single" w:sz="4" w:space="0" w:color="auto"/>
              <w:right w:val="single" w:sz="4" w:space="0" w:color="auto"/>
            </w:tcBorders>
            <w:noWrap/>
            <w:vAlign w:val="center"/>
          </w:tcPr>
          <w:p w14:paraId="1048E4D1"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肺恶性肿瘤</w:t>
            </w:r>
          </w:p>
        </w:tc>
      </w:tr>
      <w:tr w:rsidR="00030A36" w14:paraId="5B5C0679" w14:textId="77777777" w:rsidTr="00F123C8">
        <w:trPr>
          <w:trHeight w:val="633"/>
        </w:trPr>
        <w:tc>
          <w:tcPr>
            <w:tcW w:w="981" w:type="dxa"/>
            <w:tcBorders>
              <w:top w:val="nil"/>
              <w:left w:val="single" w:sz="4" w:space="0" w:color="auto"/>
              <w:bottom w:val="single" w:sz="4" w:space="0" w:color="auto"/>
              <w:right w:val="single" w:sz="4" w:space="0" w:color="auto"/>
            </w:tcBorders>
            <w:noWrap/>
            <w:vAlign w:val="center"/>
          </w:tcPr>
          <w:p w14:paraId="3AE83041"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11</w:t>
            </w:r>
          </w:p>
        </w:tc>
        <w:tc>
          <w:tcPr>
            <w:tcW w:w="3342" w:type="dxa"/>
            <w:tcBorders>
              <w:top w:val="nil"/>
              <w:left w:val="nil"/>
              <w:bottom w:val="single" w:sz="4" w:space="0" w:color="auto"/>
              <w:right w:val="single" w:sz="4" w:space="0" w:color="auto"/>
            </w:tcBorders>
            <w:noWrap/>
            <w:vAlign w:val="center"/>
          </w:tcPr>
          <w:p w14:paraId="788FFFA8"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胃癌</w:t>
            </w:r>
          </w:p>
        </w:tc>
        <w:tc>
          <w:tcPr>
            <w:tcW w:w="4959" w:type="dxa"/>
            <w:tcBorders>
              <w:top w:val="nil"/>
              <w:left w:val="nil"/>
              <w:bottom w:val="single" w:sz="4" w:space="0" w:color="auto"/>
              <w:right w:val="single" w:sz="4" w:space="0" w:color="auto"/>
            </w:tcBorders>
            <w:noWrap/>
            <w:vAlign w:val="center"/>
          </w:tcPr>
          <w:p w14:paraId="474FCC43" w14:textId="77777777" w:rsidR="00030A36" w:rsidRDefault="00030A36" w:rsidP="00F123C8">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胃恶性肿瘤</w:t>
            </w:r>
          </w:p>
        </w:tc>
      </w:tr>
    </w:tbl>
    <w:p w14:paraId="74712B84" w14:textId="77777777" w:rsidR="00030A36" w:rsidRDefault="00030A36" w:rsidP="00030A36">
      <w:pPr>
        <w:pStyle w:val="2"/>
        <w:ind w:leftChars="0" w:firstLineChars="0"/>
        <w:rPr>
          <w:rFonts w:ascii="仿宋_GB2312" w:eastAsia="仿宋_GB2312" w:hAnsi="仿宋_GB2312" w:cs="仿宋_GB2312"/>
          <w:spacing w:val="-7"/>
          <w:sz w:val="32"/>
          <w:szCs w:val="32"/>
        </w:rPr>
      </w:pPr>
    </w:p>
    <w:p w14:paraId="400939AB" w14:textId="594FF83D" w:rsidR="00507BA5" w:rsidRPr="00030A36" w:rsidRDefault="00507BA5" w:rsidP="00030A36"/>
    <w:sectPr w:rsidR="00507BA5" w:rsidRPr="00030A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A3E8" w14:textId="77777777" w:rsidR="000B562E" w:rsidRDefault="000B562E" w:rsidP="00030A36">
      <w:r>
        <w:separator/>
      </w:r>
    </w:p>
  </w:endnote>
  <w:endnote w:type="continuationSeparator" w:id="0">
    <w:p w14:paraId="43652298" w14:textId="77777777" w:rsidR="000B562E" w:rsidRDefault="000B562E" w:rsidP="0003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DAE" w14:textId="77777777" w:rsidR="00030A36" w:rsidRDefault="00030A36">
    <w:pPr>
      <w:pStyle w:val="a5"/>
      <w:jc w:val="center"/>
      <w:rPr>
        <w:rFonts w:ascii="仿宋_GB2312" w:eastAsia="仿宋_GB2312"/>
        <w:sz w:val="24"/>
        <w:szCs w:val="32"/>
      </w:rPr>
    </w:pPr>
    <w:r>
      <w:rPr>
        <w:rFonts w:ascii="仿宋_GB2312" w:eastAsia="仿宋_GB2312" w:hint="eastAsia"/>
        <w:sz w:val="24"/>
        <w:szCs w:val="32"/>
      </w:rPr>
      <w:t>-</w:t>
    </w:r>
    <w:r>
      <w:rPr>
        <w:rFonts w:ascii="仿宋_GB2312" w:eastAsia="仿宋_GB2312" w:hint="eastAsia"/>
        <w:sz w:val="24"/>
        <w:szCs w:val="32"/>
      </w:rPr>
      <w:fldChar w:fldCharType="begin"/>
    </w:r>
    <w:r>
      <w:rPr>
        <w:rFonts w:ascii="仿宋_GB2312" w:eastAsia="仿宋_GB2312" w:hint="eastAsia"/>
        <w:sz w:val="24"/>
        <w:szCs w:val="32"/>
      </w:rPr>
      <w:instrText>PAGE   \* MERGEFORMAT</w:instrText>
    </w:r>
    <w:r>
      <w:rPr>
        <w:rFonts w:ascii="仿宋_GB2312" w:eastAsia="仿宋_GB2312" w:hint="eastAsia"/>
        <w:sz w:val="24"/>
        <w:szCs w:val="32"/>
      </w:rPr>
      <w:fldChar w:fldCharType="separate"/>
    </w:r>
    <w:r>
      <w:rPr>
        <w:rFonts w:ascii="仿宋_GB2312" w:eastAsia="仿宋_GB2312" w:hint="eastAsia"/>
        <w:sz w:val="24"/>
        <w:szCs w:val="32"/>
        <w:lang w:val="zh-CN"/>
      </w:rPr>
      <w:t>2</w:t>
    </w:r>
    <w:r>
      <w:rPr>
        <w:rFonts w:ascii="仿宋_GB2312" w:eastAsia="仿宋_GB2312" w:hint="eastAsia"/>
        <w:sz w:val="24"/>
        <w:szCs w:val="32"/>
      </w:rPr>
      <w:fldChar w:fldCharType="end"/>
    </w:r>
    <w:r>
      <w:rPr>
        <w:rFonts w:ascii="仿宋_GB2312" w:eastAsia="仿宋_GB2312" w:hint="eastAsia"/>
        <w:sz w:val="24"/>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58A5" w14:textId="77777777" w:rsidR="000B562E" w:rsidRDefault="000B562E" w:rsidP="00030A36">
      <w:r>
        <w:separator/>
      </w:r>
    </w:p>
  </w:footnote>
  <w:footnote w:type="continuationSeparator" w:id="0">
    <w:p w14:paraId="0A951694" w14:textId="77777777" w:rsidR="000B562E" w:rsidRDefault="000B562E" w:rsidP="00030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5C"/>
    <w:rsid w:val="00030A36"/>
    <w:rsid w:val="000B562E"/>
    <w:rsid w:val="00283CC4"/>
    <w:rsid w:val="00507BA5"/>
    <w:rsid w:val="009C39E4"/>
    <w:rsid w:val="00F5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CB461"/>
  <w15:chartTrackingRefBased/>
  <w15:docId w15:val="{EEB44ED4-9805-497F-B761-CB62EB55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030A36"/>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A36"/>
    <w:pPr>
      <w:widowControl w:val="0"/>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a4">
    <w:name w:val="页眉 字符"/>
    <w:basedOn w:val="a0"/>
    <w:link w:val="a3"/>
    <w:uiPriority w:val="99"/>
    <w:rsid w:val="00030A36"/>
    <w:rPr>
      <w:sz w:val="18"/>
      <w:szCs w:val="18"/>
    </w:rPr>
  </w:style>
  <w:style w:type="paragraph" w:styleId="a5">
    <w:name w:val="footer"/>
    <w:basedOn w:val="a"/>
    <w:link w:val="a6"/>
    <w:uiPriority w:val="99"/>
    <w:unhideWhenUsed/>
    <w:rsid w:val="00030A36"/>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a6">
    <w:name w:val="页脚 字符"/>
    <w:basedOn w:val="a0"/>
    <w:link w:val="a5"/>
    <w:uiPriority w:val="99"/>
    <w:rsid w:val="00030A36"/>
    <w:rPr>
      <w:sz w:val="18"/>
      <w:szCs w:val="18"/>
    </w:rPr>
  </w:style>
  <w:style w:type="paragraph" w:styleId="a7">
    <w:name w:val="Body Text Indent"/>
    <w:basedOn w:val="a"/>
    <w:link w:val="a8"/>
    <w:uiPriority w:val="99"/>
    <w:semiHidden/>
    <w:unhideWhenUsed/>
    <w:rsid w:val="00030A36"/>
    <w:pPr>
      <w:spacing w:after="120"/>
      <w:ind w:leftChars="200" w:left="420"/>
    </w:pPr>
  </w:style>
  <w:style w:type="character" w:customStyle="1" w:styleId="a8">
    <w:name w:val="正文文本缩进 字符"/>
    <w:basedOn w:val="a0"/>
    <w:link w:val="a7"/>
    <w:uiPriority w:val="99"/>
    <w:semiHidden/>
    <w:rsid w:val="00030A36"/>
    <w:rPr>
      <w:rFonts w:ascii="Arial" w:eastAsia="Arial" w:hAnsi="Arial" w:cs="Arial"/>
      <w:snapToGrid w:val="0"/>
      <w:color w:val="000000"/>
      <w:kern w:val="0"/>
      <w:szCs w:val="21"/>
    </w:rPr>
  </w:style>
  <w:style w:type="paragraph" w:styleId="2">
    <w:name w:val="Body Text First Indent 2"/>
    <w:basedOn w:val="a7"/>
    <w:link w:val="20"/>
    <w:qFormat/>
    <w:rsid w:val="00030A36"/>
    <w:pPr>
      <w:ind w:left="0" w:firstLineChars="200" w:firstLine="200"/>
    </w:pPr>
  </w:style>
  <w:style w:type="character" w:customStyle="1" w:styleId="20">
    <w:name w:val="正文文本首行缩进 2 字符"/>
    <w:basedOn w:val="a8"/>
    <w:link w:val="2"/>
    <w:rsid w:val="00030A36"/>
    <w:rPr>
      <w:rFonts w:ascii="Arial" w:eastAsia="Arial" w:hAnsi="Arial" w:cs="Arial"/>
      <w:snapToGrid w:val="0"/>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 高卫</dc:creator>
  <cp:keywords/>
  <dc:description/>
  <cp:lastModifiedBy>阮 高卫</cp:lastModifiedBy>
  <cp:revision>3</cp:revision>
  <dcterms:created xsi:type="dcterms:W3CDTF">2023-10-17T03:56:00Z</dcterms:created>
  <dcterms:modified xsi:type="dcterms:W3CDTF">2023-10-17T04:10:00Z</dcterms:modified>
</cp:coreProperties>
</file>