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E9" w:rsidRDefault="0051174B">
      <w:pPr>
        <w:pStyle w:val="a3"/>
        <w:jc w:val="center"/>
      </w:pPr>
      <w:r>
        <w:t> </w:t>
      </w:r>
    </w:p>
    <w:p w:rsidR="001913E9" w:rsidRDefault="0051174B">
      <w:pPr>
        <w:pStyle w:val="a3"/>
        <w:jc w:val="center"/>
      </w:pPr>
      <w:r>
        <w:t> </w:t>
      </w:r>
    </w:p>
    <w:p w:rsidR="001913E9" w:rsidRDefault="0051174B">
      <w:pPr>
        <w:pStyle w:val="a3"/>
        <w:jc w:val="center"/>
      </w:pPr>
      <w:r>
        <w:rPr>
          <w:rFonts w:ascii="黑体" w:eastAsia="黑体" w:hAnsi="黑体" w:hint="eastAsia"/>
          <w:sz w:val="44"/>
          <w:szCs w:val="44"/>
        </w:rPr>
        <w:t>台州市温岭市松门镇人民政府单位2017年度部门决算</w:t>
      </w:r>
    </w:p>
    <w:p w:rsidR="001913E9" w:rsidRDefault="0051174B">
      <w:pPr>
        <w:pStyle w:val="a3"/>
      </w:pPr>
      <w:r>
        <w:t> </w:t>
      </w:r>
    </w:p>
    <w:p w:rsidR="001913E9" w:rsidRDefault="0051174B">
      <w:pPr>
        <w:spacing w:line="600" w:lineRule="atLeast"/>
        <w:ind w:firstLine="640"/>
        <w:jc w:val="both"/>
      </w:pPr>
      <w:r>
        <w:rPr>
          <w:rStyle w:val="a4"/>
          <w:rFonts w:hint="eastAsia"/>
          <w:sz w:val="32"/>
          <w:szCs w:val="32"/>
        </w:rPr>
        <w:t>一、台州市温岭市松门镇人民政府单位概况</w:t>
      </w:r>
    </w:p>
    <w:p w:rsidR="001913E9" w:rsidRDefault="0051174B">
      <w:pPr>
        <w:spacing w:line="600" w:lineRule="atLeast"/>
        <w:ind w:firstLine="640"/>
        <w:jc w:val="both"/>
      </w:pPr>
      <w:r>
        <w:rPr>
          <w:rStyle w:val="a4"/>
          <w:rFonts w:ascii="楷体" w:eastAsia="楷体" w:hAnsi="楷体" w:cs="Arial" w:hint="eastAsia"/>
          <w:sz w:val="32"/>
          <w:szCs w:val="32"/>
        </w:rPr>
        <w:t>（一）主要职能</w:t>
      </w:r>
    </w:p>
    <w:p w:rsidR="00467055" w:rsidRPr="00467055" w:rsidRDefault="00467055" w:rsidP="00467055">
      <w:pPr>
        <w:snapToGrid w:val="0"/>
        <w:ind w:firstLineChars="200" w:firstLine="640"/>
        <w:rPr>
          <w:rFonts w:ascii="Calibri" w:eastAsia="仿宋_GB2312" w:hAnsi="Calibri"/>
          <w:sz w:val="30"/>
          <w:szCs w:val="30"/>
        </w:rPr>
      </w:pPr>
      <w:r>
        <w:rPr>
          <w:rFonts w:ascii="仿宋" w:eastAsia="仿宋" w:hAnsi="仿宋" w:hint="eastAsia"/>
          <w:sz w:val="32"/>
          <w:szCs w:val="32"/>
        </w:rPr>
        <w:t xml:space="preserve">   </w:t>
      </w:r>
      <w:r w:rsidRPr="00467055">
        <w:rPr>
          <w:rFonts w:ascii="仿宋" w:eastAsia="仿宋" w:hAnsi="仿宋" w:hint="eastAsia"/>
          <w:sz w:val="32"/>
          <w:szCs w:val="32"/>
        </w:rPr>
        <w:t>1.</w:t>
      </w:r>
      <w:r w:rsidRPr="00467055">
        <w:rPr>
          <w:rFonts w:ascii="仿宋_GB2312" w:eastAsia="仿宋_GB2312" w:hAnsi="Calibri" w:hint="eastAsia"/>
          <w:sz w:val="30"/>
          <w:szCs w:val="30"/>
        </w:rPr>
        <w:t xml:space="preserve"> 其主要职责：</w:t>
      </w:r>
      <w:r w:rsidRPr="00467055">
        <w:rPr>
          <w:rFonts w:ascii="Calibri" w:eastAsia="仿宋_GB2312" w:hAnsi="Calibri"/>
          <w:sz w:val="30"/>
          <w:szCs w:val="30"/>
        </w:rPr>
        <w:t xml:space="preserve"> </w:t>
      </w:r>
    </w:p>
    <w:tbl>
      <w:tblPr>
        <w:tblW w:w="7100" w:type="dxa"/>
        <w:tblInd w:w="1226" w:type="dxa"/>
        <w:tblLook w:val="04A0"/>
      </w:tblPr>
      <w:tblGrid>
        <w:gridCol w:w="1360"/>
        <w:gridCol w:w="600"/>
        <w:gridCol w:w="5140"/>
      </w:tblGrid>
      <w:tr w:rsidR="00467055" w:rsidRPr="00467055" w:rsidTr="00467055">
        <w:trPr>
          <w:trHeight w:val="642"/>
        </w:trPr>
        <w:tc>
          <w:tcPr>
            <w:tcW w:w="1360" w:type="dxa"/>
            <w:tcBorders>
              <w:top w:val="single" w:sz="4" w:space="0" w:color="auto"/>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rPr>
            </w:pPr>
            <w:r w:rsidRPr="00467055">
              <w:rPr>
                <w:rFonts w:cs="Arial" w:hint="eastAsia"/>
              </w:rPr>
              <w:t>办公室</w:t>
            </w:r>
          </w:p>
        </w:tc>
        <w:tc>
          <w:tcPr>
            <w:tcW w:w="600" w:type="dxa"/>
            <w:tcBorders>
              <w:top w:val="single" w:sz="4" w:space="0" w:color="auto"/>
              <w:left w:val="nil"/>
              <w:bottom w:val="single" w:sz="4" w:space="0" w:color="auto"/>
              <w:right w:val="single" w:sz="4" w:space="0" w:color="auto"/>
            </w:tcBorders>
            <w:noWrap/>
            <w:vAlign w:val="center"/>
            <w:hideMark/>
          </w:tcPr>
          <w:p w:rsidR="00467055" w:rsidRPr="00467055" w:rsidRDefault="00467055" w:rsidP="00467055">
            <w:pPr>
              <w:jc w:val="center"/>
              <w:rPr>
                <w:rFonts w:cs="Arial"/>
              </w:rPr>
            </w:pPr>
            <w:r w:rsidRPr="00467055">
              <w:rPr>
                <w:rFonts w:cs="Arial" w:hint="eastAsia"/>
              </w:rPr>
              <w:t>人数</w:t>
            </w:r>
          </w:p>
        </w:tc>
        <w:tc>
          <w:tcPr>
            <w:tcW w:w="5140" w:type="dxa"/>
            <w:tcBorders>
              <w:top w:val="single" w:sz="4" w:space="0" w:color="auto"/>
              <w:left w:val="nil"/>
              <w:bottom w:val="single" w:sz="4" w:space="0" w:color="auto"/>
              <w:right w:val="single" w:sz="4" w:space="0" w:color="auto"/>
            </w:tcBorders>
            <w:noWrap/>
            <w:vAlign w:val="center"/>
            <w:hideMark/>
          </w:tcPr>
          <w:p w:rsidR="00467055" w:rsidRPr="00467055" w:rsidRDefault="00467055" w:rsidP="00467055">
            <w:pPr>
              <w:jc w:val="center"/>
              <w:rPr>
                <w:rFonts w:cs="Arial"/>
              </w:rPr>
            </w:pPr>
            <w:r w:rsidRPr="00467055">
              <w:rPr>
                <w:rFonts w:cs="Arial" w:hint="eastAsia"/>
              </w:rPr>
              <w:t>职责与业务</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社管办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12</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主要职责是负责教育、文化、卫生、体育事业、人口和计划生育等工作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整治办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9</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主要负责村庄整治的督导、检查、考核、通报等工作。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南城管理区</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11</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负责指导辖区内各村的农村各项工作，并对各党组织实行属地管理</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村镇办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12</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主要职责是负责市容环卫、园林绿化、综合整治、城镇建设和管理，开发建设项目的征地、拆迁、安置，以及土地管理等工作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旧城改造</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4</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主要负责老城区拆迁、城区两改等相关工作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财政所</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6</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主要职责是负责政府性资金综合预算管理、安排财政支出、做好收支平衡、财政收入、农村集体经济组织的财务监督管理等工作。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北城管理区</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10</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负责指导辖区内各村的农村各项工作，并对各党组织实行属地管理</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工发办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13</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主要职责是负责发展工业经济，促进科技进步，做好安全生产督查、劳动保障督查等工作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三产旅游办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3</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主要职责是负责第三产业和旅游等工作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淋川管理区</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11</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负责指导辖区内各村的农村各项工作，并对各党组织实行属地管理</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党政办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22</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主要职责是负责党的建设、群团工作和镇机关的日常运行，抓好督查考核，搞好后勤保障等工作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lastRenderedPageBreak/>
              <w:t>综治办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9</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主要职责是负责社会治安综合治理、消防、信访、调解等工作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综合信息指挥</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2</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主要负责四个平台工作以及便民服务中心相关工作。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川北管理区</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8</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负责指导辖区内各村的农村各项工作，并对各党组织实行属地管理</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农渔办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8</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深化农村改革，发展农业（渔业）经济，指导村级财务管理和农村经营管理等工作</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交通办</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4</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主要负责交通、城区主道路建设，以及宗教事务。</w:t>
            </w:r>
          </w:p>
        </w:tc>
      </w:tr>
      <w:tr w:rsidR="00467055" w:rsidRPr="00467055" w:rsidTr="00467055">
        <w:trPr>
          <w:trHeight w:val="660"/>
        </w:trPr>
        <w:tc>
          <w:tcPr>
            <w:tcW w:w="1360" w:type="dxa"/>
            <w:tcBorders>
              <w:top w:val="nil"/>
              <w:left w:val="single" w:sz="4" w:space="0" w:color="auto"/>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龙门管理区</w:t>
            </w:r>
          </w:p>
        </w:tc>
        <w:tc>
          <w:tcPr>
            <w:tcW w:w="600" w:type="dxa"/>
            <w:tcBorders>
              <w:top w:val="nil"/>
              <w:left w:val="nil"/>
              <w:bottom w:val="single" w:sz="4" w:space="0" w:color="auto"/>
              <w:right w:val="single" w:sz="4" w:space="0" w:color="auto"/>
            </w:tcBorders>
            <w:noWrap/>
            <w:vAlign w:val="center"/>
            <w:hideMark/>
          </w:tcPr>
          <w:p w:rsidR="00467055" w:rsidRPr="00467055" w:rsidRDefault="00467055" w:rsidP="00467055">
            <w:pPr>
              <w:jc w:val="center"/>
              <w:rPr>
                <w:rFonts w:cs="Arial"/>
                <w:sz w:val="22"/>
                <w:szCs w:val="22"/>
              </w:rPr>
            </w:pPr>
            <w:r w:rsidRPr="00467055">
              <w:rPr>
                <w:rFonts w:cs="Arial" w:hint="eastAsia"/>
                <w:sz w:val="22"/>
                <w:szCs w:val="22"/>
              </w:rPr>
              <w:t>6</w:t>
            </w:r>
          </w:p>
        </w:tc>
        <w:tc>
          <w:tcPr>
            <w:tcW w:w="5140" w:type="dxa"/>
            <w:tcBorders>
              <w:top w:val="nil"/>
              <w:left w:val="nil"/>
              <w:bottom w:val="single" w:sz="4" w:space="0" w:color="auto"/>
              <w:right w:val="single" w:sz="4" w:space="0" w:color="auto"/>
            </w:tcBorders>
            <w:vAlign w:val="center"/>
            <w:hideMark/>
          </w:tcPr>
          <w:p w:rsidR="00467055" w:rsidRPr="00467055" w:rsidRDefault="00467055" w:rsidP="00467055">
            <w:pPr>
              <w:rPr>
                <w:rFonts w:cs="Arial"/>
                <w:sz w:val="22"/>
                <w:szCs w:val="22"/>
              </w:rPr>
            </w:pPr>
            <w:r w:rsidRPr="00467055">
              <w:rPr>
                <w:rFonts w:cs="Arial" w:hint="eastAsia"/>
                <w:sz w:val="22"/>
                <w:szCs w:val="22"/>
              </w:rPr>
              <w:t>负责指导辖区内各村的农村各项工作，并对各党组织实行属地管理</w:t>
            </w:r>
          </w:p>
        </w:tc>
      </w:tr>
      <w:tr w:rsidR="00467055" w:rsidRPr="00467055" w:rsidTr="00467055">
        <w:trPr>
          <w:trHeight w:val="300"/>
        </w:trPr>
        <w:tc>
          <w:tcPr>
            <w:tcW w:w="1360" w:type="dxa"/>
            <w:noWrap/>
            <w:vAlign w:val="center"/>
            <w:hideMark/>
          </w:tcPr>
          <w:p w:rsidR="00467055" w:rsidRPr="00467055" w:rsidRDefault="00467055" w:rsidP="00467055"/>
        </w:tc>
        <w:tc>
          <w:tcPr>
            <w:tcW w:w="600" w:type="dxa"/>
            <w:noWrap/>
            <w:vAlign w:val="center"/>
            <w:hideMark/>
          </w:tcPr>
          <w:p w:rsidR="00467055" w:rsidRPr="00467055" w:rsidRDefault="00467055" w:rsidP="00467055"/>
        </w:tc>
        <w:tc>
          <w:tcPr>
            <w:tcW w:w="5140" w:type="dxa"/>
            <w:noWrap/>
            <w:vAlign w:val="bottom"/>
            <w:hideMark/>
          </w:tcPr>
          <w:p w:rsidR="00467055" w:rsidRPr="00467055" w:rsidRDefault="00467055" w:rsidP="00467055"/>
        </w:tc>
      </w:tr>
      <w:tr w:rsidR="00467055" w:rsidRPr="00467055" w:rsidTr="00467055">
        <w:trPr>
          <w:trHeight w:val="900"/>
        </w:trPr>
        <w:tc>
          <w:tcPr>
            <w:tcW w:w="1360" w:type="dxa"/>
            <w:tcBorders>
              <w:top w:val="single" w:sz="4" w:space="0" w:color="auto"/>
              <w:left w:val="single" w:sz="4" w:space="0" w:color="auto"/>
              <w:bottom w:val="single" w:sz="4" w:space="0" w:color="auto"/>
              <w:right w:val="single" w:sz="4" w:space="0" w:color="auto"/>
            </w:tcBorders>
            <w:vAlign w:val="center"/>
            <w:hideMark/>
          </w:tcPr>
          <w:p w:rsidR="00467055" w:rsidRPr="00467055" w:rsidRDefault="00467055" w:rsidP="00467055">
            <w:pPr>
              <w:jc w:val="center"/>
              <w:rPr>
                <w:rFonts w:cs="Arial"/>
                <w:sz w:val="22"/>
                <w:szCs w:val="22"/>
              </w:rPr>
            </w:pPr>
            <w:r w:rsidRPr="00467055">
              <w:rPr>
                <w:rFonts w:cs="Arial" w:hint="eastAsia"/>
                <w:sz w:val="22"/>
                <w:szCs w:val="22"/>
              </w:rPr>
              <w:t>经济建设服务中心</w:t>
            </w:r>
          </w:p>
        </w:tc>
        <w:tc>
          <w:tcPr>
            <w:tcW w:w="5740" w:type="dxa"/>
            <w:gridSpan w:val="2"/>
            <w:tcBorders>
              <w:top w:val="single" w:sz="4" w:space="0" w:color="auto"/>
              <w:left w:val="nil"/>
              <w:bottom w:val="single" w:sz="4" w:space="0" w:color="auto"/>
              <w:right w:val="single" w:sz="4" w:space="0" w:color="000000"/>
            </w:tcBorders>
            <w:vAlign w:val="center"/>
            <w:hideMark/>
          </w:tcPr>
          <w:p w:rsidR="00467055" w:rsidRPr="00467055" w:rsidRDefault="00467055" w:rsidP="00467055">
            <w:pPr>
              <w:rPr>
                <w:rFonts w:cs="Arial"/>
                <w:sz w:val="22"/>
                <w:szCs w:val="22"/>
              </w:rPr>
            </w:pPr>
            <w:r w:rsidRPr="00467055">
              <w:rPr>
                <w:rFonts w:cs="Arial" w:hint="eastAsia"/>
                <w:sz w:val="22"/>
                <w:szCs w:val="22"/>
              </w:rPr>
              <w:t>保留企业服务站、劳动保障所、安全生产监察中队、环境保护所、统计中心牌子。主要职责是负责企业服务、劳动保障、安全生产监察、环境保护、统计等工作。</w:t>
            </w:r>
          </w:p>
        </w:tc>
      </w:tr>
      <w:tr w:rsidR="00467055" w:rsidRPr="00467055" w:rsidTr="00467055">
        <w:trPr>
          <w:trHeight w:val="900"/>
        </w:trPr>
        <w:tc>
          <w:tcPr>
            <w:tcW w:w="1360" w:type="dxa"/>
            <w:tcBorders>
              <w:top w:val="nil"/>
              <w:left w:val="single" w:sz="4" w:space="0" w:color="auto"/>
              <w:bottom w:val="single" w:sz="4" w:space="0" w:color="auto"/>
              <w:right w:val="single" w:sz="4" w:space="0" w:color="auto"/>
            </w:tcBorders>
            <w:vAlign w:val="center"/>
            <w:hideMark/>
          </w:tcPr>
          <w:p w:rsidR="00467055" w:rsidRPr="00467055" w:rsidRDefault="00467055" w:rsidP="00467055">
            <w:pPr>
              <w:jc w:val="center"/>
              <w:rPr>
                <w:rFonts w:cs="Arial"/>
                <w:sz w:val="22"/>
                <w:szCs w:val="22"/>
              </w:rPr>
            </w:pPr>
            <w:r w:rsidRPr="00467055">
              <w:rPr>
                <w:rFonts w:cs="Arial" w:hint="eastAsia"/>
                <w:sz w:val="22"/>
                <w:szCs w:val="22"/>
              </w:rPr>
              <w:t>农业综合服务中心</w:t>
            </w:r>
          </w:p>
        </w:tc>
        <w:tc>
          <w:tcPr>
            <w:tcW w:w="5740" w:type="dxa"/>
            <w:gridSpan w:val="2"/>
            <w:tcBorders>
              <w:top w:val="single" w:sz="4" w:space="0" w:color="auto"/>
              <w:left w:val="nil"/>
              <w:bottom w:val="single" w:sz="4" w:space="0" w:color="auto"/>
              <w:right w:val="single" w:sz="4" w:space="0" w:color="000000"/>
            </w:tcBorders>
            <w:vAlign w:val="center"/>
            <w:hideMark/>
          </w:tcPr>
          <w:p w:rsidR="00467055" w:rsidRPr="00467055" w:rsidRDefault="00467055" w:rsidP="00467055">
            <w:pPr>
              <w:rPr>
                <w:rFonts w:cs="Arial"/>
                <w:sz w:val="22"/>
                <w:szCs w:val="22"/>
              </w:rPr>
            </w:pPr>
            <w:r w:rsidRPr="00467055">
              <w:rPr>
                <w:rFonts w:cs="Arial" w:hint="eastAsia"/>
                <w:sz w:val="22"/>
                <w:szCs w:val="22"/>
              </w:rPr>
              <w:t>农业综合服务中心主要职责是负责农业生产、经营等工作。</w:t>
            </w:r>
          </w:p>
        </w:tc>
      </w:tr>
      <w:tr w:rsidR="00467055" w:rsidRPr="00467055" w:rsidTr="00467055">
        <w:trPr>
          <w:trHeight w:val="900"/>
        </w:trPr>
        <w:tc>
          <w:tcPr>
            <w:tcW w:w="1360" w:type="dxa"/>
            <w:tcBorders>
              <w:top w:val="nil"/>
              <w:left w:val="single" w:sz="4" w:space="0" w:color="auto"/>
              <w:bottom w:val="single" w:sz="4" w:space="0" w:color="auto"/>
              <w:right w:val="single" w:sz="4" w:space="0" w:color="auto"/>
            </w:tcBorders>
            <w:vAlign w:val="center"/>
            <w:hideMark/>
          </w:tcPr>
          <w:p w:rsidR="00467055" w:rsidRPr="00467055" w:rsidRDefault="00467055" w:rsidP="00467055">
            <w:pPr>
              <w:jc w:val="center"/>
              <w:rPr>
                <w:rFonts w:cs="Arial"/>
                <w:sz w:val="22"/>
                <w:szCs w:val="22"/>
              </w:rPr>
            </w:pPr>
            <w:r w:rsidRPr="00467055">
              <w:rPr>
                <w:rFonts w:cs="Arial" w:hint="eastAsia"/>
                <w:sz w:val="22"/>
                <w:szCs w:val="22"/>
              </w:rPr>
              <w:t>社会事业服务中心</w:t>
            </w:r>
          </w:p>
        </w:tc>
        <w:tc>
          <w:tcPr>
            <w:tcW w:w="5740" w:type="dxa"/>
            <w:gridSpan w:val="2"/>
            <w:tcBorders>
              <w:top w:val="single" w:sz="4" w:space="0" w:color="auto"/>
              <w:left w:val="nil"/>
              <w:bottom w:val="single" w:sz="4" w:space="0" w:color="auto"/>
              <w:right w:val="single" w:sz="4" w:space="0" w:color="000000"/>
            </w:tcBorders>
            <w:vAlign w:val="center"/>
            <w:hideMark/>
          </w:tcPr>
          <w:p w:rsidR="00467055" w:rsidRPr="00467055" w:rsidRDefault="00467055" w:rsidP="00467055">
            <w:pPr>
              <w:rPr>
                <w:rFonts w:cs="Arial"/>
                <w:sz w:val="22"/>
                <w:szCs w:val="22"/>
              </w:rPr>
            </w:pPr>
            <w:r w:rsidRPr="00467055">
              <w:rPr>
                <w:rFonts w:cs="Arial" w:hint="eastAsia"/>
                <w:sz w:val="22"/>
                <w:szCs w:val="22"/>
              </w:rPr>
              <w:t>保留文体站、计划生育服务站、社会救助管理事务所牌子，主要职责是负责文体、计划生育、社会救助管理等工作。</w:t>
            </w:r>
          </w:p>
        </w:tc>
      </w:tr>
    </w:tbl>
    <w:p w:rsidR="001913E9" w:rsidRDefault="0051174B">
      <w:pPr>
        <w:spacing w:line="600" w:lineRule="atLeast"/>
        <w:ind w:firstLine="640"/>
        <w:jc w:val="both"/>
      </w:pPr>
      <w:r>
        <w:rPr>
          <w:rStyle w:val="a4"/>
          <w:rFonts w:ascii="楷体" w:eastAsia="楷体" w:hAnsi="楷体" w:cs="Arial" w:hint="eastAsia"/>
          <w:sz w:val="32"/>
          <w:szCs w:val="32"/>
        </w:rPr>
        <w:t>（二）部门决算单位构成</w:t>
      </w:r>
    </w:p>
    <w:p w:rsidR="00467055" w:rsidRDefault="0051174B">
      <w:pPr>
        <w:spacing w:line="600" w:lineRule="atLeast"/>
        <w:ind w:firstLine="640"/>
        <w:jc w:val="both"/>
        <w:rPr>
          <w:rFonts w:ascii="仿宋" w:eastAsia="仿宋" w:hAnsi="仿宋"/>
          <w:sz w:val="32"/>
          <w:szCs w:val="32"/>
        </w:rPr>
      </w:pPr>
      <w:r>
        <w:rPr>
          <w:rFonts w:ascii="仿宋" w:eastAsia="仿宋" w:hAnsi="仿宋" w:hint="eastAsia"/>
          <w:sz w:val="32"/>
          <w:szCs w:val="32"/>
        </w:rPr>
        <w:t>从预算单位构成看，台州市温岭市松门镇人民政府部门决算</w:t>
      </w:r>
      <w:r w:rsidR="00467055">
        <w:rPr>
          <w:rFonts w:ascii="仿宋" w:eastAsia="仿宋" w:hAnsi="仿宋" w:hint="eastAsia"/>
          <w:sz w:val="32"/>
          <w:szCs w:val="32"/>
        </w:rPr>
        <w:t>是</w:t>
      </w:r>
      <w:r>
        <w:rPr>
          <w:rFonts w:ascii="仿宋" w:eastAsia="仿宋" w:hAnsi="仿宋" w:hint="eastAsia"/>
          <w:sz w:val="32"/>
          <w:szCs w:val="32"/>
        </w:rPr>
        <w:t>：本级决算</w:t>
      </w:r>
    </w:p>
    <w:p w:rsidR="001913E9" w:rsidRDefault="0051174B">
      <w:pPr>
        <w:spacing w:line="600" w:lineRule="atLeast"/>
        <w:ind w:firstLine="640"/>
        <w:jc w:val="both"/>
      </w:pPr>
      <w:r>
        <w:rPr>
          <w:rStyle w:val="a4"/>
          <w:rFonts w:hint="eastAsia"/>
          <w:sz w:val="32"/>
          <w:szCs w:val="32"/>
        </w:rPr>
        <w:t>二、台州市温岭市松门镇人民政府单位2017年度部门决算公开表</w:t>
      </w:r>
    </w:p>
    <w:p w:rsidR="001913E9" w:rsidRDefault="0051174B">
      <w:pPr>
        <w:spacing w:line="600" w:lineRule="atLeast"/>
        <w:ind w:firstLine="640"/>
        <w:jc w:val="both"/>
        <w:rPr>
          <w:rFonts w:ascii="仿宋" w:eastAsia="仿宋" w:hAnsi="仿宋"/>
          <w:sz w:val="32"/>
          <w:szCs w:val="32"/>
        </w:rPr>
      </w:pPr>
      <w:r>
        <w:rPr>
          <w:rFonts w:ascii="仿宋" w:eastAsia="仿宋" w:hAnsi="仿宋" w:hint="eastAsia"/>
          <w:sz w:val="32"/>
          <w:szCs w:val="32"/>
        </w:rPr>
        <w:t>详见附表。</w:t>
      </w:r>
    </w:p>
    <w:tbl>
      <w:tblPr>
        <w:tblW w:w="8336" w:type="dxa"/>
        <w:tblInd w:w="93" w:type="dxa"/>
        <w:tblLook w:val="04A0"/>
      </w:tblPr>
      <w:tblGrid>
        <w:gridCol w:w="2250"/>
        <w:gridCol w:w="601"/>
        <w:gridCol w:w="1498"/>
        <w:gridCol w:w="2102"/>
        <w:gridCol w:w="481"/>
        <w:gridCol w:w="1498"/>
      </w:tblGrid>
      <w:tr w:rsidR="00467055" w:rsidRPr="00467055" w:rsidTr="00467055">
        <w:trPr>
          <w:trHeight w:val="375"/>
        </w:trPr>
        <w:tc>
          <w:tcPr>
            <w:tcW w:w="2438"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637"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1240" w:type="dxa"/>
            <w:tcBorders>
              <w:top w:val="nil"/>
              <w:left w:val="nil"/>
              <w:bottom w:val="nil"/>
              <w:right w:val="nil"/>
            </w:tcBorders>
            <w:shd w:val="clear" w:color="000000" w:fill="FFFFFF"/>
            <w:noWrap/>
            <w:vAlign w:val="center"/>
            <w:hideMark/>
          </w:tcPr>
          <w:p w:rsidR="00467055" w:rsidRPr="00467055" w:rsidRDefault="00467055" w:rsidP="00467055">
            <w:pPr>
              <w:jc w:val="center"/>
              <w:rPr>
                <w:rFonts w:ascii="黑体" w:eastAsia="黑体" w:hAnsi="黑体" w:cs="Arial"/>
                <w:color w:val="000000"/>
                <w:sz w:val="30"/>
                <w:szCs w:val="30"/>
              </w:rPr>
            </w:pPr>
            <w:r w:rsidRPr="00467055">
              <w:rPr>
                <w:rFonts w:ascii="黑体" w:eastAsia="黑体" w:hAnsi="黑体" w:cs="Arial" w:hint="eastAsia"/>
                <w:color w:val="000000"/>
                <w:sz w:val="30"/>
                <w:szCs w:val="30"/>
              </w:rPr>
              <w:t>收入支出决算总表</w:t>
            </w:r>
          </w:p>
        </w:tc>
        <w:tc>
          <w:tcPr>
            <w:tcW w:w="2276"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505"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1240" w:type="dxa"/>
            <w:tcBorders>
              <w:top w:val="nil"/>
              <w:left w:val="nil"/>
              <w:bottom w:val="nil"/>
              <w:right w:val="single" w:sz="4" w:space="0" w:color="808080"/>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r>
      <w:tr w:rsidR="00467055" w:rsidRPr="00467055" w:rsidTr="00467055">
        <w:trPr>
          <w:trHeight w:val="300"/>
        </w:trPr>
        <w:tc>
          <w:tcPr>
            <w:tcW w:w="2438"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637"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1240"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2276"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505" w:type="dxa"/>
            <w:tcBorders>
              <w:top w:val="nil"/>
              <w:left w:val="nil"/>
              <w:bottom w:val="nil"/>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1240" w:type="dxa"/>
            <w:tcBorders>
              <w:top w:val="nil"/>
              <w:left w:val="nil"/>
              <w:bottom w:val="nil"/>
              <w:right w:val="single" w:sz="4" w:space="0" w:color="808080"/>
            </w:tcBorders>
            <w:shd w:val="clear" w:color="000000" w:fill="FFFFFF"/>
            <w:noWrap/>
            <w:vAlign w:val="center"/>
            <w:hideMark/>
          </w:tcPr>
          <w:p w:rsidR="00467055" w:rsidRPr="00467055" w:rsidRDefault="00467055" w:rsidP="00467055">
            <w:pPr>
              <w:jc w:val="right"/>
              <w:rPr>
                <w:rFonts w:cs="Arial"/>
                <w:color w:val="000000"/>
                <w:sz w:val="22"/>
                <w:szCs w:val="22"/>
              </w:rPr>
            </w:pPr>
            <w:r w:rsidRPr="00467055">
              <w:rPr>
                <w:rFonts w:cs="Arial" w:hint="eastAsia"/>
                <w:color w:val="000000"/>
                <w:sz w:val="22"/>
                <w:szCs w:val="22"/>
              </w:rPr>
              <w:t>金额单位：元</w:t>
            </w:r>
          </w:p>
        </w:tc>
      </w:tr>
      <w:tr w:rsidR="00467055" w:rsidRPr="00467055" w:rsidTr="00467055">
        <w:trPr>
          <w:trHeight w:val="300"/>
        </w:trPr>
        <w:tc>
          <w:tcPr>
            <w:tcW w:w="3075" w:type="dxa"/>
            <w:gridSpan w:val="2"/>
            <w:tcBorders>
              <w:top w:val="nil"/>
              <w:left w:val="nil"/>
              <w:bottom w:val="single" w:sz="4" w:space="0" w:color="808080"/>
              <w:right w:val="nil"/>
            </w:tcBorders>
            <w:shd w:val="clear" w:color="000000" w:fill="FFFFFF"/>
            <w:noWrap/>
            <w:vAlign w:val="center"/>
            <w:hideMark/>
          </w:tcPr>
          <w:p w:rsidR="00467055" w:rsidRPr="00467055" w:rsidRDefault="00467055" w:rsidP="00467055">
            <w:pPr>
              <w:rPr>
                <w:rFonts w:cs="Arial"/>
                <w:color w:val="000000"/>
                <w:sz w:val="22"/>
                <w:szCs w:val="22"/>
              </w:rPr>
            </w:pPr>
            <w:r w:rsidRPr="00467055">
              <w:rPr>
                <w:rFonts w:cs="Arial" w:hint="eastAsia"/>
                <w:color w:val="000000"/>
                <w:sz w:val="22"/>
                <w:szCs w:val="22"/>
              </w:rPr>
              <w:t>部门：台州市温岭市松门镇人民政府</w:t>
            </w:r>
          </w:p>
        </w:tc>
        <w:tc>
          <w:tcPr>
            <w:tcW w:w="1240" w:type="dxa"/>
            <w:tcBorders>
              <w:top w:val="nil"/>
              <w:left w:val="nil"/>
              <w:bottom w:val="single" w:sz="4" w:space="0" w:color="808080"/>
              <w:right w:val="nil"/>
            </w:tcBorders>
            <w:shd w:val="clear" w:color="000000" w:fill="FFFFFF"/>
            <w:noWrap/>
            <w:vAlign w:val="center"/>
            <w:hideMark/>
          </w:tcPr>
          <w:p w:rsidR="00467055" w:rsidRPr="00467055" w:rsidRDefault="00467055" w:rsidP="00467055">
            <w:pPr>
              <w:jc w:val="center"/>
              <w:rPr>
                <w:rFonts w:cs="Arial"/>
                <w:color w:val="000000"/>
              </w:rPr>
            </w:pPr>
            <w:r w:rsidRPr="00467055">
              <w:rPr>
                <w:rFonts w:cs="Arial" w:hint="eastAsia"/>
                <w:color w:val="000000"/>
              </w:rPr>
              <w:t>2017年度</w:t>
            </w:r>
          </w:p>
        </w:tc>
        <w:tc>
          <w:tcPr>
            <w:tcW w:w="2276" w:type="dxa"/>
            <w:tcBorders>
              <w:top w:val="nil"/>
              <w:left w:val="nil"/>
              <w:bottom w:val="single" w:sz="4" w:space="0" w:color="808080"/>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505" w:type="dxa"/>
            <w:tcBorders>
              <w:top w:val="nil"/>
              <w:left w:val="nil"/>
              <w:bottom w:val="single" w:sz="4" w:space="0" w:color="808080"/>
              <w:right w:val="nil"/>
            </w:tcBorders>
            <w:shd w:val="clear" w:color="000000" w:fill="FFFFFF"/>
            <w:noWrap/>
            <w:vAlign w:val="center"/>
            <w:hideMark/>
          </w:tcPr>
          <w:p w:rsidR="00467055" w:rsidRPr="00467055" w:rsidRDefault="00467055" w:rsidP="00467055">
            <w:pPr>
              <w:rPr>
                <w:rFonts w:cs="Arial"/>
                <w:sz w:val="18"/>
                <w:szCs w:val="18"/>
              </w:rPr>
            </w:pPr>
            <w:r w:rsidRPr="00467055">
              <w:rPr>
                <w:rFonts w:cs="Arial" w:hint="eastAsia"/>
                <w:sz w:val="18"/>
                <w:szCs w:val="18"/>
              </w:rPr>
              <w:t xml:space="preserve">　</w:t>
            </w:r>
          </w:p>
        </w:tc>
        <w:tc>
          <w:tcPr>
            <w:tcW w:w="1240" w:type="dxa"/>
            <w:tcBorders>
              <w:top w:val="nil"/>
              <w:left w:val="nil"/>
              <w:bottom w:val="single" w:sz="4" w:space="0" w:color="808080"/>
              <w:right w:val="single" w:sz="4" w:space="0" w:color="808080"/>
            </w:tcBorders>
            <w:shd w:val="clear" w:color="000000" w:fill="FFFFFF"/>
            <w:noWrap/>
            <w:vAlign w:val="center"/>
            <w:hideMark/>
          </w:tcPr>
          <w:p w:rsidR="00467055" w:rsidRPr="00467055" w:rsidRDefault="00467055" w:rsidP="00467055">
            <w:pPr>
              <w:jc w:val="right"/>
              <w:rPr>
                <w:rFonts w:cs="Arial"/>
                <w:color w:val="000000"/>
                <w:sz w:val="22"/>
                <w:szCs w:val="22"/>
              </w:rPr>
            </w:pPr>
            <w:r w:rsidRPr="00467055">
              <w:rPr>
                <w:rFonts w:cs="Arial" w:hint="eastAsia"/>
                <w:color w:val="000000"/>
                <w:sz w:val="22"/>
                <w:szCs w:val="22"/>
              </w:rPr>
              <w:t>公开01表</w:t>
            </w:r>
          </w:p>
        </w:tc>
      </w:tr>
      <w:tr w:rsidR="00467055" w:rsidRPr="00467055" w:rsidTr="00467055">
        <w:trPr>
          <w:trHeight w:val="300"/>
        </w:trPr>
        <w:tc>
          <w:tcPr>
            <w:tcW w:w="4315"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收入</w:t>
            </w:r>
          </w:p>
        </w:tc>
        <w:tc>
          <w:tcPr>
            <w:tcW w:w="4021" w:type="dxa"/>
            <w:gridSpan w:val="3"/>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支出</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项目</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行次</w:t>
            </w:r>
          </w:p>
        </w:tc>
        <w:tc>
          <w:tcPr>
            <w:tcW w:w="1240"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金额</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项目</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行次</w:t>
            </w:r>
          </w:p>
        </w:tc>
        <w:tc>
          <w:tcPr>
            <w:tcW w:w="1240"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金额</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栏次</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 xml:space="preserve">　</w:t>
            </w:r>
          </w:p>
        </w:tc>
        <w:tc>
          <w:tcPr>
            <w:tcW w:w="1240"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栏次</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 xml:space="preserve">　</w:t>
            </w:r>
          </w:p>
        </w:tc>
        <w:tc>
          <w:tcPr>
            <w:tcW w:w="1240"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lastRenderedPageBreak/>
              <w:t>一、财政拨款收入</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128,388,970.00</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一、一般公共服务支出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28</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16,216,045.48</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二、上级补助收入</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二、外交支出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29</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三、事业收入</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三、国防支出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30</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四、经营收入</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四、公共安全支出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31</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五、附属单位上缴收入</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5</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五、教育支出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32</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六、其他收入</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6</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13,598,087.58</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六、科学技术支出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33</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7</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七、文化体育与传媒支出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34</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1,168,000.00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8</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八、社会保障和就业支出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35</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19,081,623.00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9</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九、医疗卫生与计划生育支出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36</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2,855,344.00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10</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十、节能环保支出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37</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13,204,767.10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11</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十一、城乡社区支出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38</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56,781,423.00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12</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十二、农林水支出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39</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17,920,659.00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13</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十三、交通运输支出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40</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119,000.00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14</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十四、资源勘探信息等支出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41</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1,772,000.00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15</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十五、商业服务业等支出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42</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16</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十六、金融支出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43</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17</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十七、援助其他地区支出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44</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18</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十八、国土海洋气象等支出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45</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19</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十九、住房保障支出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46</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20</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二十、粮油物资储备支出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47</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21</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二十一、其他支出</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48</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4,206,510.00</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22</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49</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本年收入合计</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23</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141,987,057.58</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本年支出合计</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50</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133,325,371.58</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用事业基金弥补收支差额</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24</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结余分配</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51</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年初结转和结余</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25</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19,893,102.29</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年末结转和结余</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52</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28,554,788.29</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26</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 xml:space="preserve">　</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53</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 xml:space="preserve">　</w:t>
            </w:r>
          </w:p>
        </w:tc>
      </w:tr>
      <w:tr w:rsidR="00467055" w:rsidRPr="00467055" w:rsidTr="00467055">
        <w:trPr>
          <w:trHeight w:val="300"/>
        </w:trPr>
        <w:tc>
          <w:tcPr>
            <w:tcW w:w="2438" w:type="dxa"/>
            <w:tcBorders>
              <w:top w:val="nil"/>
              <w:left w:val="single" w:sz="4" w:space="0" w:color="000000"/>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总计</w:t>
            </w:r>
          </w:p>
        </w:tc>
        <w:tc>
          <w:tcPr>
            <w:tcW w:w="637"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27</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161,880,159.87</w:t>
            </w:r>
          </w:p>
        </w:tc>
        <w:tc>
          <w:tcPr>
            <w:tcW w:w="2276"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rPr>
                <w:rFonts w:cs="Arial"/>
                <w:sz w:val="20"/>
                <w:szCs w:val="20"/>
              </w:rPr>
            </w:pPr>
            <w:r w:rsidRPr="00467055">
              <w:rPr>
                <w:rFonts w:cs="Arial" w:hint="eastAsia"/>
                <w:sz w:val="20"/>
                <w:szCs w:val="20"/>
              </w:rPr>
              <w:t>总计</w:t>
            </w:r>
          </w:p>
        </w:tc>
        <w:tc>
          <w:tcPr>
            <w:tcW w:w="505" w:type="dxa"/>
            <w:tcBorders>
              <w:top w:val="nil"/>
              <w:left w:val="nil"/>
              <w:bottom w:val="single" w:sz="4" w:space="0" w:color="000000"/>
              <w:right w:val="single" w:sz="4" w:space="0" w:color="000000"/>
            </w:tcBorders>
            <w:shd w:val="clear" w:color="000000" w:fill="C0C0C0"/>
            <w:noWrap/>
            <w:vAlign w:val="center"/>
            <w:hideMark/>
          </w:tcPr>
          <w:p w:rsidR="00467055" w:rsidRPr="00467055" w:rsidRDefault="00467055" w:rsidP="00467055">
            <w:pPr>
              <w:jc w:val="center"/>
              <w:rPr>
                <w:rFonts w:cs="Arial"/>
                <w:sz w:val="20"/>
                <w:szCs w:val="20"/>
              </w:rPr>
            </w:pPr>
            <w:r w:rsidRPr="00467055">
              <w:rPr>
                <w:rFonts w:cs="Arial" w:hint="eastAsia"/>
                <w:sz w:val="20"/>
                <w:szCs w:val="20"/>
              </w:rPr>
              <w:t>54</w:t>
            </w:r>
          </w:p>
        </w:tc>
        <w:tc>
          <w:tcPr>
            <w:tcW w:w="1240" w:type="dxa"/>
            <w:tcBorders>
              <w:top w:val="nil"/>
              <w:left w:val="nil"/>
              <w:bottom w:val="single" w:sz="4" w:space="0" w:color="000000"/>
              <w:right w:val="single" w:sz="4" w:space="0" w:color="000000"/>
            </w:tcBorders>
            <w:shd w:val="clear" w:color="000000" w:fill="FFFFFF"/>
            <w:noWrap/>
            <w:vAlign w:val="center"/>
            <w:hideMark/>
          </w:tcPr>
          <w:p w:rsidR="00467055" w:rsidRPr="00467055" w:rsidRDefault="00467055" w:rsidP="00467055">
            <w:pPr>
              <w:jc w:val="right"/>
              <w:rPr>
                <w:rFonts w:cs="Arial"/>
                <w:sz w:val="20"/>
                <w:szCs w:val="20"/>
              </w:rPr>
            </w:pPr>
            <w:r w:rsidRPr="00467055">
              <w:rPr>
                <w:rFonts w:cs="Arial" w:hint="eastAsia"/>
                <w:sz w:val="20"/>
                <w:szCs w:val="20"/>
              </w:rPr>
              <w:t>161,880,159.87</w:t>
            </w:r>
          </w:p>
        </w:tc>
      </w:tr>
      <w:tr w:rsidR="00467055" w:rsidRPr="00467055" w:rsidTr="00467055">
        <w:trPr>
          <w:trHeight w:val="300"/>
        </w:trPr>
        <w:tc>
          <w:tcPr>
            <w:tcW w:w="8336" w:type="dxa"/>
            <w:gridSpan w:val="6"/>
            <w:tcBorders>
              <w:top w:val="nil"/>
              <w:left w:val="nil"/>
              <w:bottom w:val="nil"/>
              <w:right w:val="nil"/>
            </w:tcBorders>
            <w:shd w:val="clear" w:color="000000" w:fill="FFFFFF"/>
            <w:noWrap/>
            <w:vAlign w:val="center"/>
            <w:hideMark/>
          </w:tcPr>
          <w:p w:rsidR="00467055" w:rsidRPr="00467055" w:rsidRDefault="00467055" w:rsidP="00467055">
            <w:pPr>
              <w:rPr>
                <w:rFonts w:cs="Arial"/>
                <w:sz w:val="20"/>
                <w:szCs w:val="20"/>
              </w:rPr>
            </w:pPr>
            <w:r w:rsidRPr="00467055">
              <w:rPr>
                <w:rFonts w:cs="Arial" w:hint="eastAsia"/>
                <w:sz w:val="20"/>
                <w:szCs w:val="20"/>
              </w:rPr>
              <w:t>注：本表反映部门本年度的总收支和年末结转结余情况。</w:t>
            </w:r>
          </w:p>
        </w:tc>
      </w:tr>
    </w:tbl>
    <w:p w:rsidR="00467055" w:rsidRPr="00467055" w:rsidRDefault="00467055">
      <w:pPr>
        <w:spacing w:line="600" w:lineRule="atLeast"/>
        <w:ind w:firstLine="640"/>
        <w:jc w:val="both"/>
        <w:rPr>
          <w:rStyle w:val="a4"/>
          <w:sz w:val="32"/>
          <w:szCs w:val="32"/>
        </w:rPr>
      </w:pPr>
    </w:p>
    <w:p w:rsidR="001913E9" w:rsidRDefault="0051174B">
      <w:pPr>
        <w:spacing w:line="600" w:lineRule="atLeast"/>
        <w:ind w:firstLine="640"/>
        <w:jc w:val="both"/>
      </w:pPr>
      <w:r>
        <w:rPr>
          <w:rStyle w:val="a4"/>
          <w:rFonts w:hint="eastAsia"/>
          <w:sz w:val="32"/>
          <w:szCs w:val="32"/>
        </w:rPr>
        <w:lastRenderedPageBreak/>
        <w:t>三、台州市温岭市松门镇人民政府单位2017年度部门决算情况说明</w:t>
      </w:r>
    </w:p>
    <w:p w:rsidR="001913E9" w:rsidRDefault="0051174B">
      <w:pPr>
        <w:spacing w:line="600" w:lineRule="atLeast"/>
        <w:ind w:firstLine="640"/>
        <w:jc w:val="both"/>
      </w:pPr>
      <w:r>
        <w:rPr>
          <w:rStyle w:val="a4"/>
          <w:rFonts w:ascii="楷体" w:eastAsia="楷体" w:hAnsi="楷体" w:cs="Arial" w:hint="eastAsia"/>
          <w:sz w:val="32"/>
          <w:szCs w:val="32"/>
        </w:rPr>
        <w:t>（一）收入支出决算总体情况说明</w:t>
      </w:r>
    </w:p>
    <w:p w:rsidR="00467055" w:rsidRDefault="00467055" w:rsidP="00467055">
      <w:pPr>
        <w:snapToGrid w:val="0"/>
        <w:spacing w:line="600" w:lineRule="atLeast"/>
        <w:ind w:firstLine="640"/>
        <w:jc w:val="both"/>
      </w:pPr>
      <w:r>
        <w:rPr>
          <w:rFonts w:ascii="仿宋" w:eastAsia="仿宋" w:hAnsi="仿宋" w:hint="eastAsia"/>
          <w:sz w:val="32"/>
          <w:szCs w:val="32"/>
        </w:rPr>
        <w:t>台州市温岭市松门镇人民政府单位2017年度收、支总计16,188.02万元。与2016年相比，收、支总计减少2391.28万元，减少 12%。主要是：</w:t>
      </w:r>
      <w:r>
        <w:rPr>
          <w:rFonts w:hint="eastAsia"/>
        </w:rPr>
        <w:t>政府性基金预算财政拨款减少。</w:t>
      </w:r>
    </w:p>
    <w:p w:rsidR="001913E9" w:rsidRDefault="0051174B">
      <w:pPr>
        <w:spacing w:line="600" w:lineRule="atLeast"/>
        <w:ind w:firstLine="640"/>
        <w:jc w:val="both"/>
      </w:pPr>
      <w:r>
        <w:rPr>
          <w:rStyle w:val="a4"/>
          <w:rFonts w:ascii="楷体" w:eastAsia="楷体" w:hAnsi="楷体" w:cs="Arial" w:hint="eastAsia"/>
          <w:sz w:val="32"/>
          <w:szCs w:val="32"/>
        </w:rPr>
        <w:t>（二）收入决算情况说明</w:t>
      </w:r>
    </w:p>
    <w:p w:rsidR="001913E9" w:rsidRDefault="0051174B">
      <w:pPr>
        <w:spacing w:line="600" w:lineRule="atLeast"/>
        <w:ind w:firstLine="640"/>
        <w:jc w:val="both"/>
      </w:pPr>
      <w:r>
        <w:rPr>
          <w:rFonts w:ascii="仿宋" w:eastAsia="仿宋" w:hAnsi="仿宋" w:hint="eastAsia"/>
          <w:sz w:val="32"/>
          <w:szCs w:val="32"/>
        </w:rPr>
        <w:t>本年收入合计14,198.71万元，包括财政拨款收入12,838.90万元（其中，一般公共预算6,937.53万元，政府性基金预算5,901.36万元），占90.42%；事业单位专户资金0万元，占0%；事业收入（不含专户资金）0万元，占0%；事业单位经营收入0万元，占0%；其他收入1,359.81万元，占9.58%。上级补助收入0万元，占0%。附属单位上缴收入0万元，占0%。</w:t>
      </w:r>
    </w:p>
    <w:p w:rsidR="001913E9" w:rsidRDefault="0051174B">
      <w:pPr>
        <w:spacing w:line="600" w:lineRule="atLeast"/>
        <w:ind w:firstLine="640"/>
        <w:jc w:val="both"/>
      </w:pPr>
      <w:r>
        <w:rPr>
          <w:rStyle w:val="a4"/>
          <w:rFonts w:ascii="楷体" w:eastAsia="楷体" w:hAnsi="楷体" w:cs="Arial" w:hint="eastAsia"/>
          <w:sz w:val="32"/>
          <w:szCs w:val="32"/>
        </w:rPr>
        <w:t>（三）支出决算情况说明</w:t>
      </w:r>
    </w:p>
    <w:p w:rsidR="001913E9" w:rsidRDefault="0051174B">
      <w:pPr>
        <w:spacing w:line="600" w:lineRule="atLeast"/>
        <w:ind w:firstLine="640"/>
        <w:jc w:val="both"/>
      </w:pPr>
      <w:r>
        <w:rPr>
          <w:rFonts w:ascii="仿宋" w:eastAsia="仿宋" w:hAnsi="仿宋" w:hint="eastAsia"/>
          <w:sz w:val="32"/>
          <w:szCs w:val="32"/>
        </w:rPr>
        <w:t>本年支出合计13,332.54万元，其中基本支出3,389.48万元，占25.42%；项目支出9,943.06万元，占74.58%； 经营支出0万元，占0%。</w:t>
      </w:r>
    </w:p>
    <w:p w:rsidR="001913E9" w:rsidRDefault="0051174B">
      <w:pPr>
        <w:spacing w:line="600" w:lineRule="atLeast"/>
        <w:ind w:firstLine="640"/>
        <w:jc w:val="both"/>
      </w:pPr>
      <w:r>
        <w:rPr>
          <w:rFonts w:ascii="仿宋" w:eastAsia="仿宋" w:hAnsi="仿宋" w:hint="eastAsia"/>
          <w:sz w:val="32"/>
          <w:szCs w:val="32"/>
        </w:rPr>
        <w:t>按支出功能分类，包括一般公共服务支出1,621.60万元、国防支出0万元、公共安全支出0万元、教育支出0万元、科学技术支出0万元、文化体育与传媒支出116.80万元、社会保障和就业支出1,908.16万元、医疗卫生与计</w:t>
      </w:r>
      <w:r>
        <w:rPr>
          <w:rFonts w:ascii="仿宋" w:eastAsia="仿宋" w:hAnsi="仿宋" w:hint="eastAsia"/>
          <w:sz w:val="32"/>
          <w:szCs w:val="32"/>
        </w:rPr>
        <w:lastRenderedPageBreak/>
        <w:t>划生育支出285.53万元、节能环保支出1,320.48万元、城乡社区支出5,678.14万元、农林水支出1,792.07万元、交通运输支出11.90万元、资源勘探信息等支出177.20万元、商业服务业等支出0万元、金融支出0万元、援助其他地区支出0万元、国土海洋气象等支出0万元、住房保障支出0万元、粮油物资储备支出0万元、其他支出420.65万元、债务还本支出0万元、债务付息支出0万元。</w:t>
      </w:r>
    </w:p>
    <w:p w:rsidR="001913E9" w:rsidRDefault="0051174B">
      <w:pPr>
        <w:spacing w:line="600" w:lineRule="atLeast"/>
        <w:ind w:firstLine="640"/>
        <w:jc w:val="both"/>
      </w:pPr>
      <w:r>
        <w:rPr>
          <w:rFonts w:ascii="仿宋" w:eastAsia="仿宋" w:hAnsi="仿宋" w:hint="eastAsia"/>
          <w:sz w:val="32"/>
          <w:szCs w:val="32"/>
        </w:rPr>
        <w:t>按支出用途分类，包括人员支出3,286.72万元，日常公用支出102.76万元，项目支出9,943.06万元，事业单位经营支出0万元，对附属单位补助支出0万元，上缴上级支出0万元。</w:t>
      </w:r>
    </w:p>
    <w:p w:rsidR="001913E9" w:rsidRDefault="0051174B">
      <w:pPr>
        <w:spacing w:line="600" w:lineRule="atLeast"/>
        <w:ind w:firstLine="640"/>
        <w:jc w:val="both"/>
      </w:pPr>
      <w:r>
        <w:rPr>
          <w:rFonts w:ascii="仿宋" w:eastAsia="仿宋" w:hAnsi="仿宋" w:hint="eastAsia"/>
          <w:sz w:val="32"/>
          <w:szCs w:val="32"/>
        </w:rPr>
        <w:t>按支出资金性质分类，包括一般公共预算支出6,754.68万元，政府性基金预算支出5,796.79万元，其他各类支出781.06万元。</w:t>
      </w:r>
    </w:p>
    <w:p w:rsidR="001913E9" w:rsidRDefault="0051174B">
      <w:pPr>
        <w:spacing w:line="600" w:lineRule="atLeast"/>
        <w:ind w:firstLine="640"/>
        <w:jc w:val="both"/>
      </w:pPr>
      <w:r>
        <w:rPr>
          <w:rStyle w:val="a4"/>
          <w:rFonts w:ascii="楷体" w:eastAsia="楷体" w:hAnsi="楷体" w:cs="Arial" w:hint="eastAsia"/>
          <w:sz w:val="32"/>
          <w:szCs w:val="32"/>
        </w:rPr>
        <w:t>（四）财政拨款收入支出决算总体情况说明</w:t>
      </w:r>
    </w:p>
    <w:p w:rsidR="00467055" w:rsidRDefault="00467055" w:rsidP="00467055">
      <w:pPr>
        <w:snapToGrid w:val="0"/>
        <w:spacing w:line="600" w:lineRule="atLeast"/>
        <w:ind w:firstLine="640"/>
        <w:jc w:val="both"/>
      </w:pPr>
      <w:r>
        <w:rPr>
          <w:rFonts w:ascii="仿宋" w:eastAsia="仿宋" w:hAnsi="仿宋" w:hint="eastAsia"/>
          <w:sz w:val="32"/>
          <w:szCs w:val="32"/>
        </w:rPr>
        <w:t>台州市温岭市松门镇人民政府单位2017年度财政拨款收、支总计13,286.11万元。与2016年相比，财政拨款收、支总计减少3133.71万元，下降 19%。主要是：</w:t>
      </w:r>
      <w:r>
        <w:rPr>
          <w:rFonts w:hint="eastAsia"/>
        </w:rPr>
        <w:t>政府性基金预算财政拨款减少。</w:t>
      </w:r>
    </w:p>
    <w:p w:rsidR="001913E9" w:rsidRDefault="0051174B">
      <w:pPr>
        <w:spacing w:line="600" w:lineRule="atLeast"/>
        <w:ind w:firstLine="640"/>
        <w:jc w:val="both"/>
      </w:pPr>
      <w:r>
        <w:rPr>
          <w:rStyle w:val="a4"/>
          <w:rFonts w:ascii="楷体" w:eastAsia="楷体" w:hAnsi="楷体" w:cs="Arial" w:hint="eastAsia"/>
          <w:sz w:val="32"/>
          <w:szCs w:val="32"/>
        </w:rPr>
        <w:t>（五）一般公共预算财政拨款支出决算情况说明</w:t>
      </w:r>
    </w:p>
    <w:p w:rsidR="001913E9" w:rsidRDefault="0051174B">
      <w:pPr>
        <w:spacing w:line="600" w:lineRule="atLeast"/>
        <w:ind w:firstLine="640"/>
        <w:jc w:val="both"/>
      </w:pPr>
      <w:r>
        <w:rPr>
          <w:rFonts w:ascii="仿宋" w:eastAsia="仿宋" w:hAnsi="仿宋" w:hint="eastAsia"/>
          <w:sz w:val="32"/>
          <w:szCs w:val="32"/>
        </w:rPr>
        <w:t>1.一般公共预算财政拨款支出决算总体情况。</w:t>
      </w:r>
    </w:p>
    <w:p w:rsidR="00467055" w:rsidRDefault="00467055" w:rsidP="00467055">
      <w:pPr>
        <w:snapToGrid w:val="0"/>
        <w:spacing w:line="600" w:lineRule="atLeast"/>
        <w:ind w:firstLine="640"/>
        <w:jc w:val="both"/>
      </w:pPr>
      <w:r>
        <w:rPr>
          <w:rFonts w:ascii="仿宋" w:eastAsia="仿宋" w:hAnsi="仿宋" w:hint="eastAsia"/>
          <w:sz w:val="32"/>
          <w:szCs w:val="32"/>
        </w:rPr>
        <w:lastRenderedPageBreak/>
        <w:t>台州市温岭市松门镇人民政府单位2017年度一般公共预算财政拨款支出6,754.68万元，占本年支出合计的50.66%。与2016年相比，一般公共预算财政拨款支出增加1230.61万元，增长22%。主要是：</w:t>
      </w:r>
      <w:r>
        <w:rPr>
          <w:rFonts w:hint="eastAsia"/>
        </w:rPr>
        <w:t>2017年</w:t>
      </w:r>
      <w:r w:rsidR="009678CC">
        <w:rPr>
          <w:rFonts w:hint="eastAsia"/>
        </w:rPr>
        <w:t>小</w:t>
      </w:r>
      <w:r w:rsidR="00A01EE5">
        <w:rPr>
          <w:rFonts w:hint="eastAsia"/>
        </w:rPr>
        <w:t>城</w:t>
      </w:r>
      <w:r w:rsidR="009678CC">
        <w:rPr>
          <w:rFonts w:hint="eastAsia"/>
        </w:rPr>
        <w:t>镇整治</w:t>
      </w:r>
      <w:r w:rsidR="00A01EE5">
        <w:rPr>
          <w:rFonts w:hint="eastAsia"/>
        </w:rPr>
        <w:t>达标</w:t>
      </w:r>
      <w:r>
        <w:rPr>
          <w:rFonts w:hint="eastAsia"/>
        </w:rPr>
        <w:t>新项目增加。</w:t>
      </w:r>
    </w:p>
    <w:p w:rsidR="001913E9" w:rsidRDefault="0051174B">
      <w:pPr>
        <w:spacing w:line="600" w:lineRule="atLeast"/>
        <w:ind w:firstLine="640"/>
        <w:jc w:val="both"/>
      </w:pPr>
      <w:r>
        <w:rPr>
          <w:rFonts w:ascii="仿宋" w:eastAsia="仿宋" w:hAnsi="仿宋" w:hint="eastAsia"/>
          <w:sz w:val="32"/>
          <w:szCs w:val="32"/>
        </w:rPr>
        <w:t>2.一般公共预算财政拨款支出决算具体情况。</w:t>
      </w:r>
    </w:p>
    <w:p w:rsidR="00A01EE5" w:rsidRDefault="0051174B" w:rsidP="00A01EE5">
      <w:pPr>
        <w:snapToGrid w:val="0"/>
        <w:spacing w:line="600" w:lineRule="atLeast"/>
        <w:ind w:firstLine="640"/>
        <w:jc w:val="both"/>
      </w:pPr>
      <w:r>
        <w:rPr>
          <w:rFonts w:ascii="仿宋" w:eastAsia="仿宋" w:hAnsi="仿宋" w:hint="eastAsia"/>
          <w:sz w:val="32"/>
          <w:szCs w:val="32"/>
        </w:rPr>
        <w:t>台州市温岭市松门镇人民政府单位2017年度一般公共财政拨款支出年初预算为2,654.47万元，支出决算为6,754.68万元,完成年初预算的254.46%，主要原因是</w:t>
      </w:r>
      <w:r w:rsidR="00A01EE5">
        <w:rPr>
          <w:rFonts w:hint="eastAsia"/>
        </w:rPr>
        <w:t>2017年小城镇整治达标新项目增加。</w:t>
      </w:r>
    </w:p>
    <w:p w:rsidR="001913E9" w:rsidRDefault="0051174B">
      <w:pPr>
        <w:spacing w:line="600" w:lineRule="atLeast"/>
        <w:ind w:firstLine="640"/>
        <w:jc w:val="both"/>
      </w:pPr>
      <w:r>
        <w:rPr>
          <w:rStyle w:val="a4"/>
          <w:rFonts w:ascii="楷体" w:eastAsia="楷体" w:hAnsi="楷体" w:cs="Arial" w:hint="eastAsia"/>
          <w:sz w:val="32"/>
          <w:szCs w:val="32"/>
        </w:rPr>
        <w:t>（六）一般公共预算财政拨款基本支出决算情况说明</w:t>
      </w:r>
    </w:p>
    <w:p w:rsidR="001913E9" w:rsidRDefault="0051174B">
      <w:pPr>
        <w:spacing w:line="600" w:lineRule="atLeast"/>
        <w:ind w:firstLine="640"/>
        <w:jc w:val="both"/>
      </w:pPr>
      <w:r>
        <w:rPr>
          <w:rFonts w:ascii="仿宋" w:eastAsia="仿宋" w:hAnsi="仿宋" w:hint="eastAsia"/>
          <w:sz w:val="32"/>
          <w:szCs w:val="32"/>
        </w:rPr>
        <w:t>台州市温岭市松门镇人民政府单位2017年一般公共预算财政拨款基本支出3,132.21万元，其中：</w:t>
      </w:r>
    </w:p>
    <w:p w:rsidR="001913E9" w:rsidRDefault="0051174B">
      <w:pPr>
        <w:spacing w:line="600" w:lineRule="atLeast"/>
        <w:ind w:firstLine="640"/>
        <w:jc w:val="both"/>
      </w:pPr>
      <w:r>
        <w:rPr>
          <w:rFonts w:ascii="仿宋" w:eastAsia="仿宋" w:hAnsi="仿宋" w:hint="eastAsia"/>
          <w:sz w:val="32"/>
          <w:szCs w:val="32"/>
        </w:rPr>
        <w:t>人员经费3,029.45万元，主要包括：基本工资</w:t>
      </w:r>
      <w:r w:rsidR="0089588C">
        <w:rPr>
          <w:rFonts w:ascii="仿宋" w:eastAsia="仿宋" w:hAnsi="仿宋" w:hint="eastAsia"/>
          <w:sz w:val="32"/>
          <w:szCs w:val="32"/>
        </w:rPr>
        <w:t>532.89万元</w:t>
      </w:r>
      <w:r>
        <w:rPr>
          <w:rFonts w:ascii="仿宋" w:eastAsia="仿宋" w:hAnsi="仿宋" w:hint="eastAsia"/>
          <w:sz w:val="32"/>
          <w:szCs w:val="32"/>
        </w:rPr>
        <w:t>、津贴补贴</w:t>
      </w:r>
      <w:r w:rsidR="0089588C">
        <w:rPr>
          <w:rFonts w:ascii="仿宋" w:eastAsia="仿宋" w:hAnsi="仿宋" w:hint="eastAsia"/>
          <w:sz w:val="32"/>
          <w:szCs w:val="32"/>
        </w:rPr>
        <w:t>524.88万元</w:t>
      </w:r>
      <w:r>
        <w:rPr>
          <w:rFonts w:ascii="仿宋" w:eastAsia="仿宋" w:hAnsi="仿宋" w:hint="eastAsia"/>
          <w:sz w:val="32"/>
          <w:szCs w:val="32"/>
        </w:rPr>
        <w:t>、奖金</w:t>
      </w:r>
      <w:r w:rsidR="0089588C">
        <w:rPr>
          <w:rFonts w:ascii="仿宋" w:eastAsia="仿宋" w:hAnsi="仿宋" w:hint="eastAsia"/>
          <w:sz w:val="32"/>
          <w:szCs w:val="32"/>
        </w:rPr>
        <w:t>566.1万元</w:t>
      </w:r>
      <w:r>
        <w:rPr>
          <w:rFonts w:ascii="仿宋" w:eastAsia="仿宋" w:hAnsi="仿宋" w:hint="eastAsia"/>
          <w:sz w:val="32"/>
          <w:szCs w:val="32"/>
        </w:rPr>
        <w:t>；</w:t>
      </w:r>
    </w:p>
    <w:p w:rsidR="001913E9" w:rsidRDefault="0051174B">
      <w:pPr>
        <w:spacing w:line="600" w:lineRule="atLeast"/>
        <w:ind w:firstLine="640"/>
        <w:jc w:val="both"/>
      </w:pPr>
      <w:r>
        <w:rPr>
          <w:rFonts w:ascii="仿宋" w:eastAsia="仿宋" w:hAnsi="仿宋" w:hint="eastAsia"/>
          <w:sz w:val="32"/>
          <w:szCs w:val="32"/>
        </w:rPr>
        <w:t>公用经费102.76万元，主要包括：</w:t>
      </w:r>
      <w:r w:rsidR="0089588C">
        <w:rPr>
          <w:rFonts w:ascii="仿宋" w:eastAsia="仿宋" w:hAnsi="仿宋" w:hint="eastAsia"/>
          <w:sz w:val="32"/>
          <w:szCs w:val="32"/>
        </w:rPr>
        <w:t>会议费26.5万元</w:t>
      </w:r>
      <w:r>
        <w:rPr>
          <w:rFonts w:ascii="仿宋" w:eastAsia="仿宋" w:hAnsi="仿宋" w:hint="eastAsia"/>
          <w:sz w:val="32"/>
          <w:szCs w:val="32"/>
        </w:rPr>
        <w:t>、</w:t>
      </w:r>
      <w:r w:rsidR="0089588C">
        <w:rPr>
          <w:rFonts w:ascii="仿宋" w:eastAsia="仿宋" w:hAnsi="仿宋" w:hint="eastAsia"/>
          <w:sz w:val="32"/>
          <w:szCs w:val="32"/>
        </w:rPr>
        <w:t>培训费11.71万元，劳务费26.2万元等等</w:t>
      </w:r>
    </w:p>
    <w:p w:rsidR="001913E9" w:rsidRDefault="0051174B">
      <w:pPr>
        <w:spacing w:line="600" w:lineRule="atLeast"/>
        <w:ind w:firstLine="640"/>
        <w:jc w:val="both"/>
        <w:rPr>
          <w:rStyle w:val="a4"/>
          <w:rFonts w:ascii="楷体" w:eastAsia="楷体" w:hAnsi="楷体" w:cs="Arial"/>
          <w:sz w:val="32"/>
          <w:szCs w:val="32"/>
        </w:rPr>
      </w:pPr>
      <w:r>
        <w:rPr>
          <w:rStyle w:val="a4"/>
          <w:rFonts w:ascii="楷体" w:eastAsia="楷体" w:hAnsi="楷体" w:cs="Arial" w:hint="eastAsia"/>
          <w:sz w:val="32"/>
          <w:szCs w:val="32"/>
        </w:rPr>
        <w:t xml:space="preserve">（七）政府性基金财政拨款支出决算情况说明 </w:t>
      </w:r>
    </w:p>
    <w:p w:rsidR="001913E9" w:rsidRDefault="0051174B">
      <w:pPr>
        <w:spacing w:line="600" w:lineRule="atLeast"/>
        <w:ind w:firstLine="640"/>
        <w:jc w:val="both"/>
      </w:pPr>
      <w:r>
        <w:rPr>
          <w:rFonts w:ascii="仿宋" w:eastAsia="仿宋" w:hAnsi="仿宋" w:hint="eastAsia"/>
          <w:sz w:val="32"/>
          <w:szCs w:val="32"/>
        </w:rPr>
        <w:t>2017年年初预算为</w:t>
      </w:r>
      <w:r w:rsidR="00757A12">
        <w:rPr>
          <w:rFonts w:ascii="仿宋" w:eastAsia="仿宋" w:hAnsi="仿宋" w:hint="eastAsia"/>
          <w:sz w:val="32"/>
          <w:szCs w:val="32"/>
        </w:rPr>
        <w:t>0</w:t>
      </w:r>
      <w:r>
        <w:rPr>
          <w:rFonts w:ascii="仿宋" w:eastAsia="仿宋" w:hAnsi="仿宋" w:hint="eastAsia"/>
          <w:sz w:val="32"/>
          <w:szCs w:val="32"/>
        </w:rPr>
        <w:t>万元，2017年决算为</w:t>
      </w:r>
      <w:r w:rsidR="00757A12">
        <w:rPr>
          <w:rFonts w:ascii="仿宋" w:eastAsia="仿宋" w:hAnsi="仿宋" w:hint="eastAsia"/>
          <w:sz w:val="32"/>
          <w:szCs w:val="32"/>
        </w:rPr>
        <w:t>5901.36</w:t>
      </w:r>
      <w:r>
        <w:rPr>
          <w:rFonts w:ascii="仿宋" w:eastAsia="仿宋" w:hAnsi="仿宋" w:hint="eastAsia"/>
          <w:sz w:val="32"/>
          <w:szCs w:val="32"/>
        </w:rPr>
        <w:t>万元，决算数大于预算数的主要原因</w:t>
      </w:r>
      <w:r w:rsidR="00757A12">
        <w:rPr>
          <w:rFonts w:ascii="仿宋" w:eastAsia="仿宋" w:hAnsi="仿宋" w:hint="eastAsia"/>
          <w:sz w:val="32"/>
          <w:szCs w:val="32"/>
        </w:rPr>
        <w:t>市财政项目追加</w:t>
      </w:r>
      <w:r>
        <w:rPr>
          <w:rFonts w:ascii="仿宋" w:eastAsia="仿宋" w:hAnsi="仿宋" w:hint="eastAsia"/>
          <w:sz w:val="32"/>
          <w:szCs w:val="32"/>
        </w:rPr>
        <w:t>。</w:t>
      </w:r>
    </w:p>
    <w:p w:rsidR="001913E9" w:rsidRDefault="0051174B">
      <w:pPr>
        <w:spacing w:line="600" w:lineRule="atLeast"/>
        <w:ind w:firstLine="640"/>
        <w:jc w:val="both"/>
      </w:pPr>
      <w:r>
        <w:rPr>
          <w:rStyle w:val="a4"/>
          <w:rFonts w:ascii="楷体" w:eastAsia="楷体" w:hAnsi="楷体" w:cs="Arial" w:hint="eastAsia"/>
          <w:sz w:val="32"/>
          <w:szCs w:val="32"/>
        </w:rPr>
        <w:t>（八）2017年度一般公共预算财政拨款“三公”经费支出决算情况说明</w:t>
      </w:r>
    </w:p>
    <w:p w:rsidR="001913E9" w:rsidRDefault="0051174B">
      <w:pPr>
        <w:spacing w:line="600" w:lineRule="atLeast"/>
        <w:ind w:firstLine="640"/>
        <w:jc w:val="both"/>
      </w:pPr>
      <w:r>
        <w:rPr>
          <w:rFonts w:ascii="仿宋" w:eastAsia="仿宋" w:hAnsi="仿宋" w:hint="eastAsia"/>
          <w:sz w:val="32"/>
          <w:szCs w:val="32"/>
        </w:rPr>
        <w:lastRenderedPageBreak/>
        <w:t>1.“三公”经费一般公共预算财政拨款支出决算总体情况说明。</w:t>
      </w:r>
    </w:p>
    <w:p w:rsidR="001913E9" w:rsidRDefault="0051174B">
      <w:pPr>
        <w:spacing w:line="600" w:lineRule="atLeast"/>
        <w:ind w:firstLine="640"/>
        <w:jc w:val="both"/>
      </w:pPr>
      <w:r>
        <w:rPr>
          <w:rFonts w:ascii="仿宋" w:eastAsia="仿宋" w:hAnsi="仿宋" w:hint="eastAsia"/>
          <w:sz w:val="32"/>
          <w:szCs w:val="32"/>
        </w:rPr>
        <w:t>2017年度“三公”经费一般公共预算财政拨款支出预算为65.58万元，支出决算为38.07万元，完成预算的58.05%,其中：因公出国（境）费支出决算为0万元，完成预算的0%；公务用车购置及运行费支出决算为15.55万元，完成预算的62.21%；公务接待费支出决算为22.52万元，完成预算的55.50%。2017年度“三公”经费支出决算数</w:t>
      </w:r>
      <w:r w:rsidR="0025743B">
        <w:rPr>
          <w:rFonts w:ascii="仿宋" w:eastAsia="仿宋" w:hAnsi="仿宋" w:hint="eastAsia"/>
          <w:sz w:val="32"/>
          <w:szCs w:val="32"/>
        </w:rPr>
        <w:t>小于</w:t>
      </w:r>
      <w:r>
        <w:rPr>
          <w:rFonts w:ascii="仿宋" w:eastAsia="仿宋" w:hAnsi="仿宋" w:hint="eastAsia"/>
          <w:sz w:val="32"/>
          <w:szCs w:val="32"/>
        </w:rPr>
        <w:t>预算数的主要原因是</w:t>
      </w:r>
      <w:r w:rsidR="0025743B">
        <w:rPr>
          <w:rFonts w:ascii="仿宋" w:eastAsia="仿宋" w:hAnsi="仿宋" w:hint="eastAsia"/>
          <w:sz w:val="32"/>
          <w:szCs w:val="32"/>
        </w:rPr>
        <w:t>1、节约开支，2、部分车辆已车改。</w:t>
      </w:r>
    </w:p>
    <w:p w:rsidR="001913E9" w:rsidRDefault="0051174B">
      <w:pPr>
        <w:spacing w:line="600" w:lineRule="atLeast"/>
        <w:ind w:firstLine="640"/>
        <w:jc w:val="both"/>
      </w:pPr>
      <w:r>
        <w:rPr>
          <w:rFonts w:ascii="仿宋" w:eastAsia="仿宋" w:hAnsi="仿宋" w:hint="eastAsia"/>
          <w:sz w:val="32"/>
          <w:szCs w:val="32"/>
        </w:rPr>
        <w:t>2.“三公”经费一般公共预算财政拨款支出决算具体情况说明。</w:t>
      </w:r>
    </w:p>
    <w:p w:rsidR="001913E9" w:rsidRPr="00602370" w:rsidRDefault="0051174B" w:rsidP="00602370">
      <w:pPr>
        <w:spacing w:line="600" w:lineRule="atLeast"/>
        <w:ind w:firstLine="640"/>
        <w:jc w:val="both"/>
        <w:rPr>
          <w:rFonts w:ascii="仿宋" w:eastAsia="仿宋" w:hAnsi="仿宋"/>
          <w:sz w:val="32"/>
          <w:szCs w:val="32"/>
        </w:rPr>
      </w:pPr>
      <w:r>
        <w:rPr>
          <w:rFonts w:ascii="仿宋" w:eastAsia="仿宋" w:hAnsi="仿宋" w:hint="eastAsia"/>
          <w:sz w:val="32"/>
          <w:szCs w:val="32"/>
        </w:rPr>
        <w:t>2017年度“三公”经费一般公共预算财政拨款支出决算数比2016年减少</w:t>
      </w:r>
      <w:r w:rsidR="00602370">
        <w:rPr>
          <w:rFonts w:ascii="仿宋" w:eastAsia="仿宋" w:hAnsi="仿宋" w:hint="eastAsia"/>
          <w:sz w:val="32"/>
          <w:szCs w:val="32"/>
        </w:rPr>
        <w:t>26.36</w:t>
      </w:r>
      <w:r>
        <w:rPr>
          <w:rFonts w:ascii="仿宋" w:eastAsia="仿宋" w:hAnsi="仿宋" w:hint="eastAsia"/>
          <w:sz w:val="32"/>
          <w:szCs w:val="32"/>
        </w:rPr>
        <w:t>万元，下降</w:t>
      </w:r>
      <w:r w:rsidR="00602370">
        <w:rPr>
          <w:rFonts w:ascii="仿宋" w:eastAsia="仿宋" w:hAnsi="仿宋" w:hint="eastAsia"/>
          <w:sz w:val="32"/>
          <w:szCs w:val="32"/>
        </w:rPr>
        <w:t>40.91</w:t>
      </w:r>
      <w:r>
        <w:rPr>
          <w:rFonts w:ascii="仿宋" w:eastAsia="仿宋" w:hAnsi="仿宋" w:hint="eastAsia"/>
          <w:sz w:val="32"/>
          <w:szCs w:val="32"/>
        </w:rPr>
        <w:t>%，其中：</w:t>
      </w:r>
    </w:p>
    <w:p w:rsidR="0025743B" w:rsidRDefault="0025743B" w:rsidP="0025743B">
      <w:pPr>
        <w:snapToGrid w:val="0"/>
        <w:spacing w:line="600" w:lineRule="atLeast"/>
        <w:ind w:firstLine="640"/>
        <w:jc w:val="both"/>
      </w:pPr>
      <w:r>
        <w:rPr>
          <w:rFonts w:ascii="仿宋" w:eastAsia="仿宋" w:hAnsi="仿宋" w:hint="eastAsia"/>
          <w:sz w:val="32"/>
          <w:szCs w:val="32"/>
        </w:rPr>
        <w:t>（1）因公出国（境）费用：根据外事部门安排的因公出国计划和实际工作需要，2017年度因公出国（境）费用决算0万元，比上年决算数增长（或下降）0%。主要用于机关及下属预算单位人员的……等公务出国（境）的住宿费、国际旅费、培训费、公杂费等支出。增加（或减少）的主要原因是……。</w:t>
      </w:r>
    </w:p>
    <w:p w:rsidR="0025743B" w:rsidRDefault="0025743B" w:rsidP="0025743B">
      <w:pPr>
        <w:snapToGrid w:val="0"/>
        <w:spacing w:line="600" w:lineRule="atLeast"/>
        <w:ind w:firstLine="640"/>
        <w:jc w:val="both"/>
      </w:pPr>
      <w:r>
        <w:rPr>
          <w:rFonts w:ascii="仿宋" w:eastAsia="仿宋" w:hAnsi="仿宋" w:hint="eastAsia"/>
          <w:sz w:val="32"/>
          <w:szCs w:val="32"/>
        </w:rPr>
        <w:t>其中，全年使用一般公共预算财政拨款本单位组织因公出国(境)团组0个；本单位全年因公出国(境)累计0人次。</w:t>
      </w:r>
    </w:p>
    <w:p w:rsidR="0025743B" w:rsidRDefault="0025743B" w:rsidP="0025743B">
      <w:pPr>
        <w:snapToGrid w:val="0"/>
        <w:spacing w:line="600" w:lineRule="atLeast"/>
        <w:ind w:firstLine="640"/>
        <w:jc w:val="both"/>
      </w:pPr>
      <w:r>
        <w:rPr>
          <w:rFonts w:ascii="仿宋" w:eastAsia="仿宋" w:hAnsi="仿宋" w:hint="eastAsia"/>
          <w:sz w:val="32"/>
          <w:szCs w:val="32"/>
        </w:rPr>
        <w:lastRenderedPageBreak/>
        <w:t>（2）公务接待费：2017年度公务接待费决算22.52万元，比上年决算数下降2.51%。全年使用一般公共预算财政拨款国内公务接待232批次，累计2,579人次。</w:t>
      </w:r>
    </w:p>
    <w:p w:rsidR="0025743B" w:rsidRDefault="0025743B" w:rsidP="0025743B">
      <w:pPr>
        <w:snapToGrid w:val="0"/>
        <w:spacing w:line="600" w:lineRule="atLeast"/>
        <w:ind w:firstLine="640"/>
        <w:jc w:val="both"/>
      </w:pPr>
      <w:r>
        <w:rPr>
          <w:rFonts w:ascii="仿宋" w:eastAsia="仿宋" w:hAnsi="仿宋" w:hint="eastAsia"/>
          <w:sz w:val="32"/>
          <w:szCs w:val="32"/>
        </w:rPr>
        <w:t>（3）公务用车购置及运行维护费：2017年度公务用车购置及运行维护费决算15.55万元，比上年决算数下降62.37%。其中，公务用车购置支出0万元（含购置税等附加费用），主要用于经批准购置的0辆公务用车；公务用车运行维护费支出15.55万元，主要用于……等所需的公务用车租用费、燃料费、维修费、过路过桥费、保险费、安全奖励费用等支出；2017年度，本级及所属单位开支一般公共预算财政拨款的公务用车保有量为7辆。减少的主要原因是部分车辆已车改。</w:t>
      </w:r>
    </w:p>
    <w:p w:rsidR="001913E9" w:rsidRDefault="0051174B">
      <w:pPr>
        <w:spacing w:line="600" w:lineRule="atLeast"/>
        <w:ind w:firstLine="640"/>
        <w:jc w:val="both"/>
      </w:pPr>
      <w:r>
        <w:rPr>
          <w:rStyle w:val="a4"/>
          <w:rFonts w:ascii="楷体" w:eastAsia="楷体" w:hAnsi="楷体" w:cs="Arial" w:hint="eastAsia"/>
          <w:sz w:val="32"/>
          <w:szCs w:val="32"/>
        </w:rPr>
        <w:t xml:space="preserve">（九）部门预算绩效情况说明 </w:t>
      </w:r>
    </w:p>
    <w:p w:rsidR="001913E9" w:rsidRDefault="0051174B">
      <w:pPr>
        <w:spacing w:line="600" w:lineRule="atLeast"/>
        <w:ind w:firstLine="640"/>
        <w:jc w:val="both"/>
      </w:pPr>
      <w:r>
        <w:rPr>
          <w:rFonts w:ascii="仿宋" w:eastAsia="仿宋" w:hAnsi="仿宋" w:hint="eastAsia"/>
          <w:sz w:val="32"/>
          <w:szCs w:val="32"/>
        </w:rPr>
        <w:t>1. 2017年度台州市温岭市松门镇人民政府单位XX项目实行预算绩效目标管理，涉及一般公共预算当年预算*****万元，实际支出*****万元。</w:t>
      </w:r>
    </w:p>
    <w:p w:rsidR="001913E9" w:rsidRDefault="0051174B">
      <w:pPr>
        <w:spacing w:line="600" w:lineRule="atLeast"/>
        <w:ind w:firstLine="640"/>
        <w:jc w:val="both"/>
      </w:pPr>
      <w:r>
        <w:rPr>
          <w:rFonts w:ascii="仿宋" w:eastAsia="仿宋" w:hAnsi="仿宋" w:hint="eastAsia"/>
          <w:sz w:val="32"/>
          <w:szCs w:val="32"/>
        </w:rPr>
        <w:t>2.部门决算中项目绩效自评情况：</w:t>
      </w:r>
    </w:p>
    <w:p w:rsidR="001913E9" w:rsidRDefault="0051174B">
      <w:pPr>
        <w:spacing w:line="600" w:lineRule="atLeast"/>
        <w:ind w:firstLine="640"/>
        <w:jc w:val="both"/>
      </w:pPr>
      <w:r>
        <w:rPr>
          <w:rFonts w:ascii="仿宋" w:eastAsia="仿宋" w:hAnsi="仿宋" w:hint="eastAsia"/>
          <w:sz w:val="32"/>
          <w:szCs w:val="32"/>
        </w:rPr>
        <w:t>3.以部门为主体开展的重点项目绩效评价情况：</w:t>
      </w:r>
    </w:p>
    <w:p w:rsidR="001913E9" w:rsidRDefault="0051174B">
      <w:pPr>
        <w:spacing w:line="600" w:lineRule="atLeast"/>
        <w:ind w:firstLine="640"/>
        <w:jc w:val="both"/>
      </w:pPr>
      <w:r>
        <w:rPr>
          <w:rStyle w:val="a4"/>
          <w:rFonts w:ascii="楷体" w:eastAsia="楷体" w:hAnsi="楷体" w:cs="Arial" w:hint="eastAsia"/>
          <w:sz w:val="32"/>
          <w:szCs w:val="32"/>
        </w:rPr>
        <w:t>（十）其他重要事项的情况说明</w:t>
      </w:r>
    </w:p>
    <w:p w:rsidR="001913E9" w:rsidRDefault="0051174B">
      <w:pPr>
        <w:spacing w:line="600" w:lineRule="atLeast"/>
        <w:ind w:firstLine="640"/>
        <w:jc w:val="both"/>
      </w:pPr>
      <w:r>
        <w:rPr>
          <w:rFonts w:ascii="仿宋" w:eastAsia="仿宋" w:hAnsi="仿宋" w:hint="eastAsia"/>
          <w:sz w:val="32"/>
          <w:szCs w:val="32"/>
        </w:rPr>
        <w:t>1.机关运行经费支出情况</w:t>
      </w:r>
    </w:p>
    <w:p w:rsidR="001913E9" w:rsidRDefault="0051174B">
      <w:pPr>
        <w:spacing w:line="600" w:lineRule="atLeast"/>
        <w:ind w:firstLine="640"/>
        <w:jc w:val="both"/>
      </w:pPr>
      <w:r>
        <w:rPr>
          <w:rFonts w:ascii="仿宋" w:eastAsia="仿宋" w:hAnsi="仿宋" w:hint="eastAsia"/>
          <w:sz w:val="32"/>
          <w:szCs w:val="32"/>
        </w:rPr>
        <w:t>2017年度</w:t>
      </w:r>
      <w:r w:rsidR="005A06FB">
        <w:rPr>
          <w:rFonts w:ascii="仿宋" w:eastAsia="仿宋" w:hAnsi="仿宋" w:hint="eastAsia"/>
          <w:sz w:val="32"/>
          <w:szCs w:val="32"/>
        </w:rPr>
        <w:t>温岭市松门镇人民政府</w:t>
      </w:r>
      <w:r>
        <w:rPr>
          <w:rFonts w:ascii="仿宋" w:eastAsia="仿宋" w:hAnsi="仿宋" w:hint="eastAsia"/>
          <w:sz w:val="32"/>
          <w:szCs w:val="32"/>
        </w:rPr>
        <w:t>运行经费一般公共预算支出102.76万元，比上年度减少</w:t>
      </w:r>
      <w:r w:rsidR="00757A12">
        <w:rPr>
          <w:rFonts w:ascii="仿宋" w:eastAsia="仿宋" w:hAnsi="仿宋" w:hint="eastAsia"/>
          <w:sz w:val="32"/>
          <w:szCs w:val="32"/>
        </w:rPr>
        <w:t>503.72</w:t>
      </w:r>
      <w:r>
        <w:rPr>
          <w:rFonts w:ascii="仿宋" w:eastAsia="仿宋" w:hAnsi="仿宋" w:hint="eastAsia"/>
          <w:sz w:val="32"/>
          <w:szCs w:val="32"/>
        </w:rPr>
        <w:t>万元，</w:t>
      </w:r>
      <w:r w:rsidR="005A06FB">
        <w:rPr>
          <w:rFonts w:ascii="仿宋" w:eastAsia="仿宋" w:hAnsi="仿宋" w:hint="eastAsia"/>
          <w:sz w:val="32"/>
          <w:szCs w:val="32"/>
        </w:rPr>
        <w:t>下降83.06</w:t>
      </w:r>
      <w:r>
        <w:rPr>
          <w:rFonts w:ascii="仿宋" w:eastAsia="仿宋" w:hAnsi="仿宋" w:hint="eastAsia"/>
          <w:sz w:val="32"/>
          <w:szCs w:val="32"/>
        </w:rPr>
        <w:t>%，主要原因是</w:t>
      </w:r>
      <w:r w:rsidR="005A06FB">
        <w:rPr>
          <w:rFonts w:ascii="仿宋" w:eastAsia="仿宋" w:hAnsi="仿宋" w:hint="eastAsia"/>
          <w:sz w:val="32"/>
          <w:szCs w:val="32"/>
        </w:rPr>
        <w:t>节约支出</w:t>
      </w:r>
      <w:r>
        <w:rPr>
          <w:rFonts w:ascii="仿宋" w:eastAsia="仿宋" w:hAnsi="仿宋" w:hint="eastAsia"/>
          <w:sz w:val="32"/>
          <w:szCs w:val="32"/>
        </w:rPr>
        <w:t>。</w:t>
      </w:r>
    </w:p>
    <w:p w:rsidR="001913E9" w:rsidRDefault="0051174B">
      <w:pPr>
        <w:spacing w:line="600" w:lineRule="atLeast"/>
        <w:ind w:firstLine="640"/>
        <w:jc w:val="both"/>
      </w:pPr>
      <w:r>
        <w:rPr>
          <w:rFonts w:ascii="仿宋" w:eastAsia="仿宋" w:hAnsi="仿宋" w:hint="eastAsia"/>
          <w:sz w:val="32"/>
          <w:szCs w:val="32"/>
        </w:rPr>
        <w:lastRenderedPageBreak/>
        <w:t>2.政府采购支出情况</w:t>
      </w:r>
    </w:p>
    <w:p w:rsidR="001913E9" w:rsidRDefault="0051174B">
      <w:pPr>
        <w:spacing w:line="600" w:lineRule="atLeast"/>
        <w:ind w:firstLine="640"/>
        <w:jc w:val="both"/>
      </w:pPr>
      <w:r>
        <w:rPr>
          <w:rFonts w:ascii="仿宋" w:eastAsia="仿宋" w:hAnsi="仿宋" w:hint="eastAsia"/>
          <w:sz w:val="32"/>
          <w:szCs w:val="32"/>
        </w:rPr>
        <w:t>2017年度</w:t>
      </w:r>
      <w:r w:rsidR="005222AD">
        <w:rPr>
          <w:rFonts w:ascii="仿宋" w:eastAsia="仿宋" w:hAnsi="仿宋" w:hint="eastAsia"/>
          <w:sz w:val="32"/>
          <w:szCs w:val="32"/>
        </w:rPr>
        <w:t>温岭市松门镇人民政府，</w:t>
      </w:r>
      <w:r>
        <w:rPr>
          <w:rFonts w:ascii="仿宋" w:eastAsia="仿宋" w:hAnsi="仿宋" w:hint="eastAsia"/>
          <w:sz w:val="32"/>
          <w:szCs w:val="32"/>
        </w:rPr>
        <w:t>政府采购支出总额</w:t>
      </w:r>
      <w:r w:rsidR="005222AD">
        <w:rPr>
          <w:rFonts w:ascii="仿宋" w:eastAsia="仿宋" w:hAnsi="仿宋" w:hint="eastAsia"/>
          <w:sz w:val="32"/>
          <w:szCs w:val="32"/>
        </w:rPr>
        <w:t>0.27</w:t>
      </w:r>
      <w:r>
        <w:rPr>
          <w:rFonts w:ascii="仿宋" w:eastAsia="仿宋" w:hAnsi="仿宋" w:hint="eastAsia"/>
          <w:sz w:val="32"/>
          <w:szCs w:val="32"/>
        </w:rPr>
        <w:t>万元，其中：政府采购货物支出</w:t>
      </w:r>
      <w:r w:rsidR="005222AD">
        <w:rPr>
          <w:rFonts w:ascii="仿宋" w:eastAsia="仿宋" w:hAnsi="仿宋" w:hint="eastAsia"/>
          <w:sz w:val="32"/>
          <w:szCs w:val="32"/>
        </w:rPr>
        <w:t>0.27</w:t>
      </w:r>
      <w:r>
        <w:rPr>
          <w:rFonts w:ascii="仿宋" w:eastAsia="仿宋" w:hAnsi="仿宋" w:hint="eastAsia"/>
          <w:sz w:val="32"/>
          <w:szCs w:val="32"/>
        </w:rPr>
        <w:t>万元、政府采购工程支出</w:t>
      </w:r>
      <w:r w:rsidR="005222AD">
        <w:rPr>
          <w:rFonts w:ascii="仿宋" w:eastAsia="仿宋" w:hAnsi="仿宋" w:hint="eastAsia"/>
          <w:sz w:val="32"/>
          <w:szCs w:val="32"/>
        </w:rPr>
        <w:t>0</w:t>
      </w:r>
      <w:r>
        <w:rPr>
          <w:rFonts w:ascii="仿宋" w:eastAsia="仿宋" w:hAnsi="仿宋" w:hint="eastAsia"/>
          <w:sz w:val="32"/>
          <w:szCs w:val="32"/>
        </w:rPr>
        <w:t>万元、政府采购服务支出</w:t>
      </w:r>
      <w:r w:rsidR="005222AD">
        <w:rPr>
          <w:rFonts w:ascii="仿宋" w:eastAsia="仿宋" w:hAnsi="仿宋" w:hint="eastAsia"/>
          <w:sz w:val="32"/>
          <w:szCs w:val="32"/>
        </w:rPr>
        <w:t>0</w:t>
      </w:r>
      <w:r>
        <w:rPr>
          <w:rFonts w:ascii="仿宋" w:eastAsia="仿宋" w:hAnsi="仿宋" w:hint="eastAsia"/>
          <w:sz w:val="32"/>
          <w:szCs w:val="32"/>
        </w:rPr>
        <w:t>万元。授予中小企业合同金额</w:t>
      </w:r>
      <w:r w:rsidR="005222AD">
        <w:rPr>
          <w:rFonts w:ascii="仿宋" w:eastAsia="仿宋" w:hAnsi="仿宋" w:hint="eastAsia"/>
          <w:sz w:val="32"/>
          <w:szCs w:val="32"/>
        </w:rPr>
        <w:t>0</w:t>
      </w:r>
      <w:r>
        <w:rPr>
          <w:rFonts w:ascii="仿宋" w:eastAsia="仿宋" w:hAnsi="仿宋" w:hint="eastAsia"/>
          <w:sz w:val="32"/>
          <w:szCs w:val="32"/>
        </w:rPr>
        <w:t>万元，占政府采购支出总额的</w:t>
      </w:r>
      <w:r w:rsidR="005222AD">
        <w:rPr>
          <w:rFonts w:ascii="仿宋" w:eastAsia="仿宋" w:hAnsi="仿宋" w:hint="eastAsia"/>
          <w:sz w:val="32"/>
          <w:szCs w:val="32"/>
        </w:rPr>
        <w:t>0</w:t>
      </w:r>
      <w:r>
        <w:rPr>
          <w:rFonts w:ascii="仿宋" w:eastAsia="仿宋" w:hAnsi="仿宋" w:hint="eastAsia"/>
          <w:sz w:val="32"/>
          <w:szCs w:val="32"/>
        </w:rPr>
        <w:t>%。其中，授予小微企业合同金额</w:t>
      </w:r>
      <w:r w:rsidR="005222AD">
        <w:rPr>
          <w:rFonts w:ascii="仿宋" w:eastAsia="仿宋" w:hAnsi="仿宋" w:hint="eastAsia"/>
          <w:sz w:val="32"/>
          <w:szCs w:val="32"/>
        </w:rPr>
        <w:t>0万</w:t>
      </w:r>
      <w:r>
        <w:rPr>
          <w:rFonts w:ascii="仿宋" w:eastAsia="仿宋" w:hAnsi="仿宋" w:hint="eastAsia"/>
          <w:sz w:val="32"/>
          <w:szCs w:val="32"/>
        </w:rPr>
        <w:t>元，占政府采购支出总额的</w:t>
      </w:r>
      <w:r w:rsidR="005222AD">
        <w:rPr>
          <w:rFonts w:ascii="仿宋" w:eastAsia="仿宋" w:hAnsi="仿宋" w:hint="eastAsia"/>
          <w:sz w:val="32"/>
          <w:szCs w:val="32"/>
        </w:rPr>
        <w:t>0</w:t>
      </w:r>
      <w:r>
        <w:rPr>
          <w:rFonts w:ascii="仿宋" w:eastAsia="仿宋" w:hAnsi="仿宋" w:hint="eastAsia"/>
          <w:sz w:val="32"/>
          <w:szCs w:val="32"/>
        </w:rPr>
        <w:t>%。</w:t>
      </w:r>
    </w:p>
    <w:p w:rsidR="001913E9" w:rsidRDefault="0051174B">
      <w:pPr>
        <w:spacing w:line="600" w:lineRule="atLeast"/>
        <w:ind w:firstLine="640"/>
        <w:jc w:val="both"/>
      </w:pPr>
      <w:r>
        <w:rPr>
          <w:rFonts w:ascii="仿宋" w:eastAsia="仿宋" w:hAnsi="仿宋" w:hint="eastAsia"/>
          <w:sz w:val="32"/>
          <w:szCs w:val="32"/>
        </w:rPr>
        <w:t>3.国有资产占有使用情况</w:t>
      </w:r>
    </w:p>
    <w:p w:rsidR="001913E9" w:rsidRDefault="0051174B">
      <w:pPr>
        <w:spacing w:line="600" w:lineRule="atLeast"/>
        <w:ind w:firstLine="640"/>
        <w:jc w:val="both"/>
      </w:pPr>
      <w:r>
        <w:rPr>
          <w:rFonts w:ascii="仿宋" w:eastAsia="仿宋" w:hAnsi="仿宋" w:hint="eastAsia"/>
          <w:sz w:val="32"/>
          <w:szCs w:val="32"/>
        </w:rPr>
        <w:t>截至2017年12月31日，</w:t>
      </w:r>
      <w:r w:rsidR="00664B9C">
        <w:rPr>
          <w:rFonts w:ascii="仿宋" w:eastAsia="仿宋" w:hAnsi="仿宋" w:hint="eastAsia"/>
          <w:sz w:val="32"/>
          <w:szCs w:val="32"/>
        </w:rPr>
        <w:t>松门镇人民政府</w:t>
      </w:r>
      <w:r>
        <w:rPr>
          <w:rFonts w:ascii="仿宋" w:eastAsia="仿宋" w:hAnsi="仿宋" w:hint="eastAsia"/>
          <w:sz w:val="32"/>
          <w:szCs w:val="32"/>
        </w:rPr>
        <w:t>共有车辆 98辆，其中，一般公务用车7辆、一般执法执勤用车0辆、特种专业技术用车0辆、其他用车91辆。单价50万元以上通用设备0台（套），单价100万元以上专用设备0台（套）。</w:t>
      </w:r>
    </w:p>
    <w:p w:rsidR="001913E9" w:rsidRDefault="0051174B">
      <w:pPr>
        <w:spacing w:line="600" w:lineRule="atLeast"/>
        <w:ind w:firstLine="640"/>
        <w:jc w:val="both"/>
      </w:pPr>
      <w:r>
        <w:rPr>
          <w:rStyle w:val="a4"/>
          <w:rFonts w:cs="Arial" w:hint="eastAsia"/>
          <w:sz w:val="32"/>
          <w:szCs w:val="32"/>
        </w:rPr>
        <w:t>四、名词解释</w:t>
      </w:r>
    </w:p>
    <w:p w:rsidR="001913E9" w:rsidRDefault="0051174B">
      <w:pPr>
        <w:spacing w:line="600" w:lineRule="atLeast"/>
        <w:ind w:firstLine="640"/>
        <w:jc w:val="both"/>
      </w:pPr>
      <w:r>
        <w:rPr>
          <w:rFonts w:ascii="仿宋" w:eastAsia="仿宋" w:hAnsi="仿宋" w:hint="eastAsia"/>
          <w:sz w:val="32"/>
          <w:szCs w:val="32"/>
        </w:rPr>
        <w:t>1.财政拨款收入：本级财政部门当年拨付的财政预算资金，包括一般公共预算财政拨款和政府性基金预算财政拨款。</w:t>
      </w:r>
    </w:p>
    <w:p w:rsidR="001913E9" w:rsidRDefault="0051174B">
      <w:pPr>
        <w:spacing w:line="600" w:lineRule="atLeast"/>
        <w:ind w:firstLine="640"/>
        <w:jc w:val="both"/>
      </w:pPr>
      <w:r>
        <w:rPr>
          <w:rFonts w:ascii="仿宋" w:eastAsia="仿宋" w:hAnsi="仿宋" w:hint="eastAsia"/>
          <w:sz w:val="32"/>
          <w:szCs w:val="32"/>
        </w:rPr>
        <w:t>2.事业单位专户资金:作为本部门的事业收入，纳入财政专户管理的资金。</w:t>
      </w:r>
    </w:p>
    <w:p w:rsidR="001913E9" w:rsidRDefault="0051174B">
      <w:pPr>
        <w:spacing w:line="600" w:lineRule="atLeast"/>
        <w:ind w:firstLine="640"/>
        <w:jc w:val="both"/>
      </w:pPr>
      <w:r>
        <w:rPr>
          <w:rFonts w:ascii="仿宋" w:eastAsia="仿宋" w:hAnsi="仿宋" w:hint="eastAsia"/>
          <w:sz w:val="32"/>
          <w:szCs w:val="32"/>
        </w:rPr>
        <w:t>3.事业收入：事业单位开展专业业务活动及辅助活动所取得的收入，不含专户资金收入。</w:t>
      </w:r>
    </w:p>
    <w:p w:rsidR="001913E9" w:rsidRDefault="0051174B">
      <w:pPr>
        <w:spacing w:line="600" w:lineRule="atLeast"/>
        <w:ind w:firstLine="640"/>
        <w:jc w:val="both"/>
      </w:pPr>
      <w:r>
        <w:rPr>
          <w:rFonts w:ascii="仿宋" w:eastAsia="仿宋" w:hAnsi="仿宋" w:hint="eastAsia"/>
          <w:sz w:val="32"/>
          <w:szCs w:val="32"/>
        </w:rPr>
        <w:t>4.事业单位经营收入：事业单位在专业业务活动及辅助活动之外开展非独立核算经营活动取得的收入。</w:t>
      </w:r>
    </w:p>
    <w:p w:rsidR="001913E9" w:rsidRDefault="0051174B">
      <w:pPr>
        <w:spacing w:line="600" w:lineRule="atLeast"/>
        <w:ind w:firstLine="640"/>
        <w:jc w:val="both"/>
      </w:pPr>
      <w:r>
        <w:rPr>
          <w:rFonts w:ascii="仿宋" w:eastAsia="仿宋" w:hAnsi="仿宋" w:hint="eastAsia"/>
          <w:sz w:val="32"/>
          <w:szCs w:val="32"/>
        </w:rPr>
        <w:lastRenderedPageBreak/>
        <w:t>5.其他收入：预算单位在“财政拨款”、“事业单位专户资金“、“事业收入”、“事业单位经营收入”、“上级补助收入”、“附属单位上缴收入”等之外取得的各项收入。</w:t>
      </w:r>
    </w:p>
    <w:p w:rsidR="001913E9" w:rsidRDefault="0051174B">
      <w:pPr>
        <w:spacing w:line="600" w:lineRule="atLeast"/>
        <w:ind w:firstLine="640"/>
        <w:jc w:val="both"/>
      </w:pPr>
      <w:r>
        <w:rPr>
          <w:rFonts w:ascii="仿宋" w:eastAsia="仿宋" w:hAnsi="仿宋" w:hint="eastAsia"/>
          <w:sz w:val="32"/>
          <w:szCs w:val="32"/>
        </w:rPr>
        <w:t>6.用事业基金弥补收支差额：指事业单位在用当年的“财政拨款收入”、“专户资金”、“事业收入”、“事业单位经营收入”、 “其他收入”、“上年结转”等不足以安排当年支出的情况下，使用以前年度积累的事业基金弥补本年收支缺口的资金。</w:t>
      </w:r>
    </w:p>
    <w:p w:rsidR="001913E9" w:rsidRDefault="0051174B">
      <w:pPr>
        <w:spacing w:line="600" w:lineRule="atLeast"/>
        <w:ind w:firstLine="640"/>
        <w:jc w:val="both"/>
      </w:pPr>
      <w:r>
        <w:rPr>
          <w:rFonts w:ascii="仿宋" w:eastAsia="仿宋" w:hAnsi="仿宋" w:hint="eastAsia"/>
          <w:sz w:val="32"/>
          <w:szCs w:val="32"/>
        </w:rPr>
        <w:t>7.年初结转结余：指以前年度尚未完成、结转到本年仍按原规定用途继续使用的资金。</w:t>
      </w:r>
    </w:p>
    <w:p w:rsidR="001913E9" w:rsidRDefault="0051174B">
      <w:pPr>
        <w:spacing w:line="600" w:lineRule="atLeast"/>
        <w:ind w:firstLine="640"/>
        <w:jc w:val="both"/>
      </w:pPr>
      <w:r>
        <w:rPr>
          <w:rFonts w:ascii="仿宋" w:eastAsia="仿宋" w:hAnsi="仿宋" w:hint="eastAsia"/>
          <w:sz w:val="32"/>
          <w:szCs w:val="32"/>
        </w:rPr>
        <w:t>8.年末结转和结余：是指预算单位本年底前的收入预算未执行完毕，需结转下年度按照原用途继续使用的结转资金，以及本年底前收支相抵后 盈余或亏损的结余资金，其中包括当年事业单位按照国家规定，用于核算当年应交所得税和提取事业基金、专用基金的分配情况和结果。</w:t>
      </w:r>
    </w:p>
    <w:p w:rsidR="001913E9" w:rsidRDefault="0051174B">
      <w:pPr>
        <w:spacing w:line="600" w:lineRule="atLeast"/>
        <w:ind w:firstLine="640"/>
        <w:jc w:val="both"/>
      </w:pPr>
      <w:r>
        <w:rPr>
          <w:rFonts w:ascii="仿宋" w:eastAsia="仿宋" w:hAnsi="仿宋" w:hint="eastAsia"/>
          <w:sz w:val="32"/>
          <w:szCs w:val="32"/>
        </w:rPr>
        <w:t>9.基本支出：是预算单位为保障其正常运转，完成日常工作任务所发生的支出，包括人员支出和日常公用支出。</w:t>
      </w:r>
    </w:p>
    <w:p w:rsidR="001913E9" w:rsidRDefault="0051174B">
      <w:pPr>
        <w:spacing w:line="600" w:lineRule="atLeast"/>
        <w:ind w:firstLine="640"/>
        <w:jc w:val="both"/>
      </w:pPr>
      <w:r>
        <w:rPr>
          <w:rFonts w:ascii="仿宋" w:eastAsia="仿宋" w:hAnsi="仿宋" w:hint="eastAsia"/>
          <w:sz w:val="32"/>
          <w:szCs w:val="32"/>
        </w:rPr>
        <w:t>10.项目支出：是预算单位为完成其特定的行政工作任务或事业发展目标所发生的支出。</w:t>
      </w:r>
    </w:p>
    <w:p w:rsidR="001913E9" w:rsidRDefault="0051174B">
      <w:pPr>
        <w:spacing w:line="600" w:lineRule="atLeast"/>
        <w:ind w:firstLine="640"/>
        <w:jc w:val="both"/>
      </w:pPr>
      <w:r>
        <w:rPr>
          <w:rFonts w:ascii="仿宋" w:eastAsia="仿宋" w:hAnsi="仿宋" w:hint="eastAsia"/>
          <w:sz w:val="32"/>
          <w:szCs w:val="32"/>
        </w:rPr>
        <w:lastRenderedPageBreak/>
        <w:t xml:space="preserve">11.机关运行经费：是行政单位和参照公务员法管理的事业单位使用一般公共预算财政拨款安排的基本支出中的日常公用经费支出。 </w:t>
      </w:r>
    </w:p>
    <w:p w:rsidR="001913E9" w:rsidRDefault="0051174B">
      <w:pPr>
        <w:spacing w:line="600" w:lineRule="atLeast"/>
        <w:ind w:firstLine="640"/>
        <w:jc w:val="both"/>
      </w:pPr>
      <w:r>
        <w:rPr>
          <w:rFonts w:ascii="仿宋" w:eastAsia="仿宋" w:hAnsi="仿宋" w:hint="eastAsia"/>
          <w:sz w:val="32"/>
          <w:szCs w:val="32"/>
        </w:rPr>
        <w:t>12.XX（类）XX（款）XX（项）：指……。</w:t>
      </w:r>
    </w:p>
    <w:p w:rsidR="001913E9" w:rsidRDefault="0051174B">
      <w:pPr>
        <w:spacing w:line="600" w:lineRule="atLeast"/>
        <w:ind w:firstLine="640"/>
        <w:jc w:val="both"/>
      </w:pPr>
      <w:r>
        <w:rPr>
          <w:rFonts w:ascii="仿宋" w:eastAsia="仿宋" w:hAnsi="仿宋" w:hint="eastAsia"/>
          <w:sz w:val="32"/>
          <w:szCs w:val="32"/>
        </w:rPr>
        <w:t>13.XX（类）XX（款）XX（项）：指……。</w:t>
      </w:r>
    </w:p>
    <w:p w:rsidR="0051174B" w:rsidRDefault="0051174B">
      <w:pPr>
        <w:spacing w:line="600" w:lineRule="atLeast"/>
        <w:ind w:firstLine="640"/>
        <w:jc w:val="both"/>
      </w:pPr>
      <w:r>
        <w:rPr>
          <w:rFonts w:ascii="仿宋" w:eastAsia="仿宋" w:hAnsi="仿宋" w:hint="eastAsia"/>
          <w:sz w:val="32"/>
          <w:szCs w:val="32"/>
        </w:rPr>
        <w:t>14.......</w:t>
      </w:r>
    </w:p>
    <w:sectPr w:rsidR="0051174B" w:rsidSect="001913E9">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93" w:rsidRDefault="001F7093" w:rsidP="00467055">
      <w:r>
        <w:separator/>
      </w:r>
    </w:p>
  </w:endnote>
  <w:endnote w:type="continuationSeparator" w:id="0">
    <w:p w:rsidR="001F7093" w:rsidRDefault="001F7093" w:rsidP="00467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93" w:rsidRDefault="001F7093" w:rsidP="00467055">
      <w:r>
        <w:separator/>
      </w:r>
    </w:p>
  </w:footnote>
  <w:footnote w:type="continuationSeparator" w:id="0">
    <w:p w:rsidR="001F7093" w:rsidRDefault="001F7093" w:rsidP="00467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467055"/>
    <w:rsid w:val="001913E9"/>
    <w:rsid w:val="001F7093"/>
    <w:rsid w:val="0025743B"/>
    <w:rsid w:val="00467055"/>
    <w:rsid w:val="0051174B"/>
    <w:rsid w:val="005222AD"/>
    <w:rsid w:val="005A06FB"/>
    <w:rsid w:val="00602370"/>
    <w:rsid w:val="00664B9C"/>
    <w:rsid w:val="006E7C0C"/>
    <w:rsid w:val="00757A12"/>
    <w:rsid w:val="0089588C"/>
    <w:rsid w:val="009678CC"/>
    <w:rsid w:val="00A01EE5"/>
    <w:rsid w:val="00BE6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E9"/>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3E9"/>
    <w:pPr>
      <w:spacing w:before="100" w:beforeAutospacing="1" w:after="100" w:afterAutospacing="1"/>
    </w:pPr>
  </w:style>
  <w:style w:type="character" w:styleId="a4">
    <w:name w:val="Strong"/>
    <w:basedOn w:val="a0"/>
    <w:uiPriority w:val="22"/>
    <w:qFormat/>
    <w:rsid w:val="001913E9"/>
    <w:rPr>
      <w:b/>
      <w:bCs/>
    </w:rPr>
  </w:style>
  <w:style w:type="paragraph" w:styleId="a5">
    <w:name w:val="header"/>
    <w:basedOn w:val="a"/>
    <w:link w:val="Char"/>
    <w:uiPriority w:val="99"/>
    <w:semiHidden/>
    <w:unhideWhenUsed/>
    <w:rsid w:val="00467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67055"/>
    <w:rPr>
      <w:rFonts w:ascii="宋体" w:eastAsia="宋体" w:hAnsi="宋体" w:cs="宋体"/>
      <w:sz w:val="18"/>
      <w:szCs w:val="18"/>
    </w:rPr>
  </w:style>
  <w:style w:type="paragraph" w:styleId="a6">
    <w:name w:val="footer"/>
    <w:basedOn w:val="a"/>
    <w:link w:val="Char0"/>
    <w:uiPriority w:val="99"/>
    <w:semiHidden/>
    <w:unhideWhenUsed/>
    <w:rsid w:val="00467055"/>
    <w:pPr>
      <w:tabs>
        <w:tab w:val="center" w:pos="4153"/>
        <w:tab w:val="right" w:pos="8306"/>
      </w:tabs>
      <w:snapToGrid w:val="0"/>
    </w:pPr>
    <w:rPr>
      <w:sz w:val="18"/>
      <w:szCs w:val="18"/>
    </w:rPr>
  </w:style>
  <w:style w:type="character" w:customStyle="1" w:styleId="Char0">
    <w:name w:val="页脚 Char"/>
    <w:basedOn w:val="a0"/>
    <w:link w:val="a6"/>
    <w:uiPriority w:val="99"/>
    <w:semiHidden/>
    <w:rsid w:val="00467055"/>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9261493">
      <w:marLeft w:val="0"/>
      <w:marRight w:val="0"/>
      <w:marTop w:val="0"/>
      <w:marBottom w:val="0"/>
      <w:divBdr>
        <w:top w:val="none" w:sz="0" w:space="0" w:color="auto"/>
        <w:left w:val="none" w:sz="0" w:space="0" w:color="auto"/>
        <w:bottom w:val="none" w:sz="0" w:space="0" w:color="auto"/>
        <w:right w:val="none" w:sz="0" w:space="0" w:color="auto"/>
      </w:divBdr>
    </w:div>
    <w:div w:id="910308173">
      <w:marLeft w:val="0"/>
      <w:marRight w:val="0"/>
      <w:marTop w:val="0"/>
      <w:marBottom w:val="0"/>
      <w:divBdr>
        <w:top w:val="none" w:sz="0" w:space="0" w:color="auto"/>
        <w:left w:val="none" w:sz="0" w:space="0" w:color="auto"/>
        <w:bottom w:val="none" w:sz="0" w:space="0" w:color="auto"/>
        <w:right w:val="none" w:sz="0" w:space="0" w:color="auto"/>
      </w:divBdr>
    </w:div>
    <w:div w:id="1133256646">
      <w:marLeft w:val="0"/>
      <w:marRight w:val="0"/>
      <w:marTop w:val="0"/>
      <w:marBottom w:val="0"/>
      <w:divBdr>
        <w:top w:val="none" w:sz="0" w:space="0" w:color="auto"/>
        <w:left w:val="none" w:sz="0" w:space="0" w:color="auto"/>
        <w:bottom w:val="none" w:sz="0" w:space="0" w:color="auto"/>
        <w:right w:val="none" w:sz="0" w:space="0" w:color="auto"/>
      </w:divBdr>
    </w:div>
    <w:div w:id="1417704219">
      <w:marLeft w:val="0"/>
      <w:marRight w:val="0"/>
      <w:marTop w:val="0"/>
      <w:marBottom w:val="0"/>
      <w:divBdr>
        <w:top w:val="none" w:sz="0" w:space="0" w:color="auto"/>
        <w:left w:val="none" w:sz="0" w:space="0" w:color="auto"/>
        <w:bottom w:val="none" w:sz="0" w:space="0" w:color="auto"/>
        <w:right w:val="none" w:sz="0" w:space="0" w:color="auto"/>
      </w:divBdr>
    </w:div>
    <w:div w:id="1641223326">
      <w:marLeft w:val="0"/>
      <w:marRight w:val="0"/>
      <w:marTop w:val="0"/>
      <w:marBottom w:val="0"/>
      <w:divBdr>
        <w:top w:val="none" w:sz="0" w:space="0" w:color="auto"/>
        <w:left w:val="none" w:sz="0" w:space="0" w:color="auto"/>
        <w:bottom w:val="none" w:sz="0" w:space="0" w:color="auto"/>
        <w:right w:val="none" w:sz="0" w:space="0" w:color="auto"/>
      </w:divBdr>
    </w:div>
    <w:div w:id="1965040454">
      <w:marLeft w:val="0"/>
      <w:marRight w:val="0"/>
      <w:marTop w:val="0"/>
      <w:marBottom w:val="0"/>
      <w:divBdr>
        <w:top w:val="none" w:sz="0" w:space="0" w:color="auto"/>
        <w:left w:val="none" w:sz="0" w:space="0" w:color="auto"/>
        <w:bottom w:val="none" w:sz="0" w:space="0" w:color="auto"/>
        <w:right w:val="none" w:sz="0" w:space="0" w:color="auto"/>
      </w:divBdr>
    </w:div>
    <w:div w:id="21337409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850</Words>
  <Characters>4847</Characters>
  <Application>Microsoft Office Word</Application>
  <DocSecurity>0</DocSecurity>
  <Lines>40</Lines>
  <Paragraphs>11</Paragraphs>
  <ScaleCrop>false</ScaleCrop>
  <Company>wlgaj</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ZjWl</dc:creator>
  <cp:lastModifiedBy>user</cp:lastModifiedBy>
  <cp:revision>2</cp:revision>
  <dcterms:created xsi:type="dcterms:W3CDTF">2018-10-26T00:43:00Z</dcterms:created>
  <dcterms:modified xsi:type="dcterms:W3CDTF">2018-10-26T00:43:00Z</dcterms:modified>
</cp:coreProperties>
</file>