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C8" w:rsidRPr="003D23C8" w:rsidRDefault="003D23C8" w:rsidP="003D23C8">
      <w:pPr>
        <w:adjustRightInd w:val="0"/>
        <w:spacing w:line="590" w:lineRule="exact"/>
        <w:jc w:val="center"/>
        <w:rPr>
          <w:rFonts w:ascii="微软雅黑" w:eastAsia="微软雅黑" w:hAnsi="微软雅黑" w:cs="仿宋" w:hint="eastAsia"/>
          <w:b/>
          <w:bCs/>
          <w:sz w:val="32"/>
          <w:szCs w:val="32"/>
        </w:rPr>
      </w:pPr>
      <w:r w:rsidRPr="003D23C8">
        <w:rPr>
          <w:rFonts w:ascii="微软雅黑" w:eastAsia="微软雅黑" w:hAnsi="微软雅黑" w:cs="仿宋" w:hint="eastAsia"/>
          <w:b/>
          <w:bCs/>
          <w:sz w:val="32"/>
          <w:szCs w:val="32"/>
        </w:rPr>
        <w:t>关于调整&lt;温岭市国有土地使用权出让收支管理办法&gt;</w:t>
      </w:r>
    </w:p>
    <w:p w:rsidR="003D23C8" w:rsidRPr="003D23C8" w:rsidRDefault="003D23C8" w:rsidP="003D23C8">
      <w:pPr>
        <w:adjustRightInd w:val="0"/>
        <w:spacing w:line="590" w:lineRule="exact"/>
        <w:ind w:firstLineChars="700" w:firstLine="2240"/>
        <w:rPr>
          <w:rFonts w:ascii="微软雅黑" w:eastAsia="微软雅黑" w:hAnsi="微软雅黑" w:cs="仿宋" w:hint="eastAsia"/>
          <w:b/>
          <w:bCs/>
          <w:sz w:val="32"/>
          <w:szCs w:val="32"/>
        </w:rPr>
      </w:pPr>
      <w:r w:rsidRPr="003D23C8">
        <w:rPr>
          <w:rFonts w:ascii="微软雅黑" w:eastAsia="微软雅黑" w:hAnsi="微软雅黑" w:cs="仿宋" w:hint="eastAsia"/>
          <w:b/>
          <w:bCs/>
          <w:sz w:val="32"/>
          <w:szCs w:val="32"/>
        </w:rPr>
        <w:t>部分条款的通知（征求意见稿）</w:t>
      </w:r>
    </w:p>
    <w:p w:rsidR="003D23C8" w:rsidRDefault="003D23C8" w:rsidP="003D23C8">
      <w:pPr>
        <w:adjustRightInd w:val="0"/>
        <w:spacing w:line="590" w:lineRule="exact"/>
        <w:rPr>
          <w:rFonts w:ascii="微软雅黑" w:eastAsia="微软雅黑" w:hAnsi="微软雅黑" w:cs="仿宋" w:hint="eastAsia"/>
          <w:bCs/>
          <w:sz w:val="28"/>
          <w:szCs w:val="28"/>
        </w:rPr>
      </w:pPr>
    </w:p>
    <w:p w:rsidR="003D23C8" w:rsidRPr="003D23C8" w:rsidRDefault="003D23C8" w:rsidP="003D23C8">
      <w:pPr>
        <w:adjustRightInd w:val="0"/>
        <w:spacing w:line="360" w:lineRule="auto"/>
        <w:rPr>
          <w:rFonts w:ascii="微软雅黑" w:eastAsia="微软雅黑" w:hAnsi="微软雅黑" w:cs="仿宋" w:hint="eastAsia"/>
          <w:bCs/>
          <w:sz w:val="28"/>
          <w:szCs w:val="28"/>
        </w:rPr>
      </w:pPr>
      <w:r w:rsidRPr="003D23C8">
        <w:rPr>
          <w:rFonts w:ascii="微软雅黑" w:eastAsia="微软雅黑" w:hAnsi="微软雅黑" w:cs="仿宋" w:hint="eastAsia"/>
          <w:bCs/>
          <w:sz w:val="28"/>
          <w:szCs w:val="28"/>
        </w:rPr>
        <w:t>各镇人民政府，各街道办事处，市政府直属各单位，在温垂直管理各单位：</w:t>
      </w:r>
    </w:p>
    <w:p w:rsidR="003D23C8" w:rsidRPr="003D23C8" w:rsidRDefault="003D23C8" w:rsidP="003D23C8">
      <w:pPr>
        <w:adjustRightInd w:val="0"/>
        <w:spacing w:line="360" w:lineRule="auto"/>
        <w:rPr>
          <w:rFonts w:ascii="微软雅黑" w:eastAsia="微软雅黑" w:hAnsi="微软雅黑" w:cs="仿宋" w:hint="eastAsia"/>
          <w:bCs/>
          <w:sz w:val="28"/>
          <w:szCs w:val="28"/>
        </w:rPr>
      </w:pPr>
      <w:r w:rsidRPr="003D23C8">
        <w:rPr>
          <w:rFonts w:ascii="微软雅黑" w:eastAsia="微软雅黑" w:hAnsi="微软雅黑" w:cs="仿宋" w:hint="eastAsia"/>
          <w:bCs/>
          <w:sz w:val="28"/>
          <w:szCs w:val="28"/>
        </w:rPr>
        <w:t xml:space="preserve">    根据《中共中央办公厅国务院办公厅&lt;关于调整完善土地出让收入使用范围优先支持乡村振兴的意见&gt;》和上级有关文件规定，经研究决定，现将《温岭市人民政府关于印发&lt;温岭市国有土地使用权出让收支管理办法&gt;的通知》（温政发〔2018〕52号）部分条款作出调整：</w:t>
      </w:r>
    </w:p>
    <w:p w:rsidR="003D23C8" w:rsidRPr="003D23C8" w:rsidRDefault="003D23C8" w:rsidP="003D23C8">
      <w:pPr>
        <w:adjustRightInd w:val="0"/>
        <w:spacing w:line="360" w:lineRule="auto"/>
        <w:ind w:firstLineChars="200" w:firstLine="560"/>
        <w:rPr>
          <w:rFonts w:ascii="微软雅黑" w:eastAsia="微软雅黑" w:hAnsi="微软雅黑" w:cs="仿宋"/>
          <w:bCs/>
          <w:sz w:val="28"/>
          <w:szCs w:val="28"/>
        </w:rPr>
      </w:pPr>
      <w:r w:rsidRPr="003D23C8">
        <w:rPr>
          <w:rFonts w:ascii="微软雅黑" w:eastAsia="微软雅黑" w:hAnsi="微软雅黑" w:cs="仿宋" w:hint="eastAsia"/>
          <w:bCs/>
          <w:sz w:val="28"/>
          <w:szCs w:val="28"/>
        </w:rPr>
        <w:t xml:space="preserve">1、将第十二条中的“按土地出让收益8%的比例安排支农支出”调整为“按土地出让收入10%的比例安排支农支出”。 </w:t>
      </w:r>
    </w:p>
    <w:p w:rsidR="003D23C8" w:rsidRPr="003D23C8" w:rsidRDefault="003D23C8" w:rsidP="003D23C8">
      <w:pPr>
        <w:adjustRightInd w:val="0"/>
        <w:spacing w:line="360" w:lineRule="auto"/>
        <w:ind w:firstLineChars="200" w:firstLine="560"/>
        <w:rPr>
          <w:rFonts w:ascii="微软雅黑" w:eastAsia="微软雅黑" w:hAnsi="微软雅黑" w:cs="仿宋"/>
          <w:bCs/>
          <w:sz w:val="28"/>
          <w:szCs w:val="28"/>
        </w:rPr>
      </w:pPr>
      <w:r w:rsidRPr="003D23C8">
        <w:rPr>
          <w:rFonts w:ascii="微软雅黑" w:eastAsia="微软雅黑" w:hAnsi="微软雅黑" w:cs="仿宋" w:hint="eastAsia"/>
          <w:bCs/>
          <w:sz w:val="28"/>
          <w:szCs w:val="28"/>
        </w:rPr>
        <w:t>2、将第十四条第（三）款中的“根据《浙江省人力资源和社会保障厅等5部门关于完善被征地农民衔接转入企业职工基本养老保险政策的通知》（浙人社发〔2017〕59号）文件规定，按土地出让收入6%的比例提取社会保障风险准备金”调整为：“根据《浙江省社会保障风险准备金管理办法》文件规定，按土地出让收入10%的比例提取社会保障风险准备金”。</w:t>
      </w:r>
    </w:p>
    <w:p w:rsidR="003D23C8" w:rsidRPr="003D23C8" w:rsidRDefault="003D23C8" w:rsidP="003D23C8">
      <w:pPr>
        <w:adjustRightInd w:val="0"/>
        <w:spacing w:line="360" w:lineRule="auto"/>
        <w:ind w:firstLineChars="200" w:firstLine="560"/>
        <w:rPr>
          <w:rFonts w:ascii="微软雅黑" w:eastAsia="微软雅黑" w:hAnsi="微软雅黑" w:cs="仿宋"/>
          <w:bCs/>
          <w:sz w:val="28"/>
          <w:szCs w:val="28"/>
        </w:rPr>
      </w:pPr>
      <w:r w:rsidRPr="003D23C8">
        <w:rPr>
          <w:rFonts w:ascii="微软雅黑" w:eastAsia="微软雅黑" w:hAnsi="微软雅黑" w:cs="仿宋" w:hint="eastAsia"/>
          <w:bCs/>
          <w:sz w:val="28"/>
          <w:szCs w:val="28"/>
        </w:rPr>
        <w:t>3、将第十七条中的“村级留用安置土地所有权转为国有出让的，根据浙人社发〔2017〕59号文件规定，明确按土地出让收入6%的比例计提社会保障风险准备金。”调整为：“村级留用安置土地所有权转为国有出让的，明确按土地出让收入10%的比例计提社会保障风险准备金。”</w:t>
      </w:r>
    </w:p>
    <w:p w:rsidR="003D23C8" w:rsidRPr="003D23C8" w:rsidRDefault="003D23C8" w:rsidP="003D23C8">
      <w:pPr>
        <w:adjustRightInd w:val="0"/>
        <w:spacing w:line="360" w:lineRule="auto"/>
        <w:ind w:firstLine="600"/>
        <w:rPr>
          <w:rFonts w:ascii="微软雅黑" w:eastAsia="微软雅黑" w:hAnsi="微软雅黑" w:cs="仿宋"/>
          <w:bCs/>
          <w:color w:val="FF0000"/>
          <w:sz w:val="28"/>
          <w:szCs w:val="28"/>
        </w:rPr>
      </w:pPr>
      <w:r w:rsidRPr="003D23C8">
        <w:rPr>
          <w:rFonts w:ascii="微软雅黑" w:eastAsia="微软雅黑" w:hAnsi="微软雅黑" w:cs="仿宋" w:hint="eastAsia"/>
          <w:bCs/>
          <w:sz w:val="28"/>
          <w:szCs w:val="28"/>
        </w:rPr>
        <w:t>4、新调整计提比例自2021年1月1日起实施，招拍挂出让以交</w:t>
      </w:r>
      <w:r w:rsidRPr="003D23C8">
        <w:rPr>
          <w:rFonts w:ascii="微软雅黑" w:eastAsia="微软雅黑" w:hAnsi="微软雅黑" w:cs="仿宋" w:hint="eastAsia"/>
          <w:bCs/>
          <w:sz w:val="28"/>
          <w:szCs w:val="28"/>
        </w:rPr>
        <w:lastRenderedPageBreak/>
        <w:t>易结束时间为准，协议出让以国有建设用地使用权出让合同签订时间为准。</w:t>
      </w:r>
    </w:p>
    <w:p w:rsidR="003D23C8" w:rsidRPr="003D23C8" w:rsidRDefault="003D23C8" w:rsidP="003D23C8">
      <w:pPr>
        <w:spacing w:line="360" w:lineRule="auto"/>
        <w:ind w:firstLineChars="250" w:firstLine="700"/>
        <w:rPr>
          <w:rFonts w:ascii="微软雅黑" w:eastAsia="微软雅黑" w:hAnsi="微软雅黑" w:hint="eastAsia"/>
          <w:sz w:val="28"/>
          <w:szCs w:val="28"/>
        </w:rPr>
      </w:pPr>
      <w:r w:rsidRPr="003D23C8">
        <w:rPr>
          <w:rFonts w:ascii="微软雅黑" w:eastAsia="微软雅黑" w:hAnsi="微软雅黑" w:hint="eastAsia"/>
          <w:sz w:val="28"/>
          <w:szCs w:val="28"/>
        </w:rPr>
        <w:t xml:space="preserve">                                    </w:t>
      </w:r>
    </w:p>
    <w:p w:rsidR="003D23C8" w:rsidRPr="003D23C8" w:rsidRDefault="003D23C8" w:rsidP="003D23C8">
      <w:pPr>
        <w:spacing w:line="360" w:lineRule="auto"/>
        <w:ind w:right="1120" w:firstLineChars="250" w:firstLine="700"/>
        <w:jc w:val="right"/>
        <w:rPr>
          <w:rFonts w:ascii="微软雅黑" w:eastAsia="微软雅黑" w:hAnsi="微软雅黑" w:hint="eastAsia"/>
          <w:sz w:val="28"/>
          <w:szCs w:val="28"/>
        </w:rPr>
      </w:pPr>
    </w:p>
    <w:p w:rsidR="003D23C8" w:rsidRPr="003D23C8" w:rsidRDefault="003D23C8" w:rsidP="003D23C8">
      <w:pPr>
        <w:spacing w:line="360" w:lineRule="auto"/>
        <w:ind w:right="670" w:firstLineChars="250" w:firstLine="700"/>
        <w:jc w:val="right"/>
        <w:rPr>
          <w:rFonts w:ascii="微软雅黑" w:eastAsia="微软雅黑" w:hAnsi="微软雅黑" w:cs="仿宋" w:hint="eastAsia"/>
          <w:bCs/>
          <w:sz w:val="28"/>
          <w:szCs w:val="28"/>
        </w:rPr>
      </w:pPr>
      <w:r>
        <w:rPr>
          <w:rFonts w:ascii="微软雅黑" w:eastAsia="微软雅黑" w:hAnsi="微软雅黑" w:cs="仿宋" w:hint="eastAsia"/>
          <w:bCs/>
          <w:sz w:val="28"/>
          <w:szCs w:val="28"/>
        </w:rPr>
        <w:t xml:space="preserve">  </w:t>
      </w:r>
      <w:r w:rsidRPr="003D23C8">
        <w:rPr>
          <w:rFonts w:ascii="微软雅黑" w:eastAsia="微软雅黑" w:hAnsi="微软雅黑" w:cs="仿宋" w:hint="eastAsia"/>
          <w:bCs/>
          <w:sz w:val="28"/>
          <w:szCs w:val="28"/>
        </w:rPr>
        <w:t>温岭市人民政府</w:t>
      </w:r>
    </w:p>
    <w:p w:rsidR="003D23C8" w:rsidRPr="003D23C8" w:rsidRDefault="003D23C8" w:rsidP="003D23C8">
      <w:pPr>
        <w:spacing w:line="360" w:lineRule="auto"/>
        <w:ind w:right="560" w:firstLineChars="250" w:firstLine="700"/>
        <w:jc w:val="center"/>
        <w:rPr>
          <w:rFonts w:ascii="微软雅黑" w:eastAsia="微软雅黑" w:hAnsi="微软雅黑" w:cs="仿宋" w:hint="eastAsia"/>
          <w:bCs/>
          <w:sz w:val="28"/>
          <w:szCs w:val="28"/>
        </w:rPr>
      </w:pPr>
      <w:r>
        <w:rPr>
          <w:rFonts w:ascii="微软雅黑" w:eastAsia="微软雅黑" w:hAnsi="微软雅黑" w:cs="仿宋" w:hint="eastAsia"/>
          <w:bCs/>
          <w:sz w:val="28"/>
          <w:szCs w:val="28"/>
        </w:rPr>
        <w:t xml:space="preserve">                                </w:t>
      </w:r>
      <w:r w:rsidRPr="003D23C8">
        <w:rPr>
          <w:rFonts w:ascii="微软雅黑" w:eastAsia="微软雅黑" w:hAnsi="微软雅黑" w:cs="仿宋" w:hint="eastAsia"/>
          <w:bCs/>
          <w:sz w:val="28"/>
          <w:szCs w:val="28"/>
        </w:rPr>
        <w:t>2021年</w:t>
      </w:r>
      <w:r>
        <w:rPr>
          <w:rFonts w:ascii="微软雅黑" w:eastAsia="微软雅黑" w:hAnsi="微软雅黑" w:cs="仿宋" w:hint="eastAsia"/>
          <w:bCs/>
          <w:sz w:val="28"/>
          <w:szCs w:val="28"/>
        </w:rPr>
        <w:t>1</w:t>
      </w:r>
      <w:r w:rsidRPr="003D23C8">
        <w:rPr>
          <w:rFonts w:ascii="微软雅黑" w:eastAsia="微软雅黑" w:hAnsi="微软雅黑" w:cs="仿宋" w:hint="eastAsia"/>
          <w:bCs/>
          <w:sz w:val="28"/>
          <w:szCs w:val="28"/>
        </w:rPr>
        <w:t>月5日</w:t>
      </w:r>
    </w:p>
    <w:p w:rsidR="003173EF" w:rsidRDefault="003173EF"/>
    <w:sectPr w:rsidR="003173EF" w:rsidSect="00CD3D8E">
      <w:headerReference w:type="default" r:id="rId6"/>
      <w:pgSz w:w="11906" w:h="16838"/>
      <w:pgMar w:top="1304" w:right="1701" w:bottom="124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EF" w:rsidRDefault="003173EF" w:rsidP="003D23C8">
      <w:r>
        <w:separator/>
      </w:r>
    </w:p>
  </w:endnote>
  <w:endnote w:type="continuationSeparator" w:id="1">
    <w:p w:rsidR="003173EF" w:rsidRDefault="003173EF" w:rsidP="003D2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EF" w:rsidRDefault="003173EF" w:rsidP="003D23C8">
      <w:r>
        <w:separator/>
      </w:r>
    </w:p>
  </w:footnote>
  <w:footnote w:type="continuationSeparator" w:id="1">
    <w:p w:rsidR="003173EF" w:rsidRDefault="003173EF" w:rsidP="003D2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74" w:rsidRDefault="003173EF" w:rsidP="00A74ED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3C8"/>
    <w:rsid w:val="003173EF"/>
    <w:rsid w:val="003D23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2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23C8"/>
    <w:rPr>
      <w:sz w:val="18"/>
      <w:szCs w:val="18"/>
    </w:rPr>
  </w:style>
  <w:style w:type="paragraph" w:styleId="a4">
    <w:name w:val="footer"/>
    <w:basedOn w:val="a"/>
    <w:link w:val="Char0"/>
    <w:uiPriority w:val="99"/>
    <w:semiHidden/>
    <w:unhideWhenUsed/>
    <w:rsid w:val="003D23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23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603</Characters>
  <Application>Microsoft Office Word</Application>
  <DocSecurity>0</DocSecurity>
  <Lines>5</Lines>
  <Paragraphs>1</Paragraphs>
  <ScaleCrop>false</ScaleCrop>
  <Company>Microsoft</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2021-01-06T00:50:00Z</dcterms:created>
  <dcterms:modified xsi:type="dcterms:W3CDTF">2021-01-06T00:51:00Z</dcterms:modified>
</cp:coreProperties>
</file>