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widowControl/>
        <w:snapToGrid w:val="0"/>
        <w:jc w:val="center"/>
        <w:rPr>
          <w:rFonts w:hint="eastAsia" w:ascii="黑体" w:hAnsi="宋体" w:eastAsia="黑体" w:cs="黑体"/>
          <w:kern w:val="0"/>
          <w:sz w:val="44"/>
          <w:szCs w:val="44"/>
        </w:rPr>
      </w:pPr>
      <w:bookmarkStart w:id="0" w:name="_GoBack"/>
      <w:r>
        <w:rPr>
          <w:rFonts w:hint="eastAsia" w:ascii="黑体" w:hAnsi="宋体" w:eastAsia="黑体" w:cs="黑体"/>
          <w:kern w:val="0"/>
          <w:sz w:val="44"/>
          <w:szCs w:val="44"/>
        </w:rPr>
        <w:t>台州市温岭市妇女联合会单位2017年度</w:t>
      </w:r>
    </w:p>
    <w:p>
      <w:pPr>
        <w:pStyle w:val="27"/>
        <w:widowControl/>
        <w:snapToGrid w:val="0"/>
        <w:jc w:val="center"/>
        <w:rPr>
          <w:rFonts w:hint="eastAsia" w:ascii="黑体" w:hAnsi="宋体" w:eastAsia="黑体" w:cs="黑体"/>
          <w:kern w:val="0"/>
          <w:sz w:val="44"/>
          <w:szCs w:val="44"/>
        </w:rPr>
      </w:pPr>
      <w:r>
        <w:rPr>
          <w:rFonts w:hint="eastAsia" w:ascii="黑体" w:hAnsi="宋体" w:eastAsia="黑体" w:cs="黑体"/>
          <w:kern w:val="0"/>
          <w:sz w:val="44"/>
          <w:szCs w:val="44"/>
        </w:rPr>
        <w:t>部门决算</w:t>
      </w:r>
      <w:bookmarkEnd w:id="0"/>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一、台州市温岭市妇女联合会单位概况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温岭市妇女联合会（简称温岭市妇联）是温岭市委领导下的全市各界妇女的群众团体，致力于代表和维护妇女权益，促进男女平等。核定行政编制6人，行政工勤人员1人，事业编制5人，实有13人，内设主席室、副主席室、办公室、维权发展部、妇儿工委办室、妇女儿童活动中心。</w:t>
      </w:r>
    </w:p>
    <w:p>
      <w:pPr>
        <w:keepNext w:val="0"/>
        <w:keepLines w:val="0"/>
        <w:widowControl/>
        <w:suppressLineNumbers w:val="0"/>
        <w:snapToGrid w:val="0"/>
        <w:spacing w:before="0" w:beforeAutospacing="0" w:after="0" w:afterAutospacing="0" w:line="600" w:lineRule="atLeast"/>
        <w:ind w:left="0" w:right="0" w:firstLine="643" w:firstLineChars="200"/>
        <w:jc w:val="both"/>
        <w:rPr>
          <w:rFonts w:hint="eastAsia" w:ascii="仿宋" w:hAnsi="仿宋" w:eastAsia="仿宋" w:cs="仿宋"/>
          <w:kern w:val="0"/>
          <w:sz w:val="32"/>
          <w:szCs w:val="32"/>
        </w:rPr>
      </w:pPr>
      <w:r>
        <w:rPr>
          <w:rStyle w:val="14"/>
          <w:rFonts w:hint="eastAsia" w:ascii="宋体" w:hAnsi="宋体" w:eastAsia="宋体" w:cs="宋体"/>
          <w:b/>
          <w:sz w:val="32"/>
          <w:szCs w:val="32"/>
          <w:lang w:val="en-US" w:eastAsia="zh-CN" w:bidi="ar"/>
        </w:rPr>
        <w:t>（一）主要职能</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1、宣传、执行国家和上级主管部门有关妇女政策的法律、法规，深入开展巾帼志愿服务活动，培育和践行社会主义核心价值观。</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2、深入推进女性创业创新，团结、动员妇女投身改革，参与经济建设，促进社会发展。</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3、依法维护妇女儿童的合法权益；</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4、加强妇女组织建设，提倡“四自精神”；</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5、推进未成年人思想道德建设，普及家庭教育知识，开展“家庭文明”创建活动。</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6、通过项目化发展，品牌化推进，平台化运作，将市妇女儿童活动中心打造成全市妇女儿童的成长乐园和精神家园。</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14"/>
          <w:rFonts w:hint="eastAsia" w:ascii="宋体" w:hAnsi="宋体" w:eastAsia="宋体" w:cs="宋体"/>
          <w:b/>
          <w:sz w:val="32"/>
          <w:szCs w:val="32"/>
          <w:lang w:val="en-US" w:eastAsia="zh-CN" w:bidi="ar"/>
        </w:rPr>
        <w:t>（二）部门决算单位构成</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从预算单位构成看，温岭市妇联部门决算仅包括本级决算。</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二、台州市温岭市妇女联合会单位2017年度部门决算公开表</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详见附表。</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三、台州市温岭市妇女联合会单位2017年度部门决算情况说明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（一）收入支出决算总体情况说明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台州市温岭市妇女联合会单位2017年度收、支总计650.94万元。与2016年相比，收、支总计增加240.88万元，增长58.74%。主要是：2017年奖金和养老保险缴费标准有所提升；2017年编内人员和编外人员各新增一名；2017年市妇女儿童活动中心开始运营，运行经费和项目经费增加（包括市妇女儿童活动中心基建工程款54.7万）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（二）收入决算情况说明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本年收入合计650.94万元，包括财政拨款收入650.94万元（其中，一般公共预算650.94万元，政府性基金预算0万元），占100.00%；事业单位专户资金0万元，占0%；事业收入（不含专户资金）0万元，占0%；事业单位经营收入0万元，占0%；其他收入0万元，占0%。上级补助收入0万元，占0%。附属单位上缴收入0万元，占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Style w:val="4"/>
          <w:rFonts w:hint="eastAsia" w:ascii="宋体" w:hAnsi="宋体" w:eastAsia="宋体" w:cs="宋体"/>
          <w:b/>
          <w:sz w:val="32"/>
          <w:szCs w:val="32"/>
          <w:lang w:val="en-US" w:eastAsia="zh-CN" w:bidi="ar"/>
        </w:rPr>
        <w:t>（三）支出决算情况说明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本年支出合计650.94万元，其中基本支出326.10万元，占50.10%；项目支出324.84万元，占49.90%； 经营支出0万元，占0%。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按支出功能分类，包括一般公共服务支出569.57万元、国防支出0万元、公共安全支出0万元、教育支出0万元、科学技术支出0万元、文化体育与传媒支出44.24万元、社会保障和就业支出37.13万元、医疗卫生与计划生育支出0万元、节能环保支出0万元、城乡社区支出0万元、农林水支出0万元、交通运输支出0万元、资源勘探信息等支出0万元、商业服务业等支出0万元、金融支出0万元、援助其他地区支出0万元、国土海洋气象等支出0万元、住房保障支出0万元、粮油物资储备支出0万元、其他支出0万元、债务还本支出0万元、债务付息支出0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按支出用途分类，包括人员支出296.56万元，日常公用支出29.54万元，项目支出324.84万元，事业单位经营支出0万元，对附属单位补助支出0万元，上缴上级支出0万元。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按支出资金性质分类，包括一般公共预算支出650.94万元，政府性基金预算支出0万元，其他各类支出0万元。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（四）财政拨款收入支出决算总体情况说明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台州市温岭市妇女联合会单位2017年度财政拨款收、支总计650.94万元。与2016年相比，财政拨款收、支总计增加240.88万元，增长58.74%。主要是：2017年奖金和养老保险缴费标准有所提升；2017年编内人员和编外人员各新增一名；2017年市妇女儿童活动中心开始运营，运行经费和项目经费增加（包括市妇女儿童活动中心基建工程款54.7万）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（五）一般公共预算财政拨款支出决算情况说明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1.一般公共预算财政拨款支出决算总体情况。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台州市温岭市妇女联合会单位2017年度一般公共预算财政拨款支出650.94万元，占本年支出合计的100.00%。与2016年相比，一般公共预算财政拨款支出增加240.88万元，增长58.74%。主要是：2017年奖金和养老保险缴费标准有所提升；2017年编内人员和编外人员各新增一名；2017年市妇女儿童活动中心开始运营，运行经费和项目经费增加（包括市妇女儿童活动中心基建工程款54.7万）       </w:t>
      </w:r>
    </w:p>
    <w:p>
      <w:pPr>
        <w:keepNext w:val="0"/>
        <w:keepLines w:val="0"/>
        <w:widowControl/>
        <w:suppressLineNumbers w:val="0"/>
        <w:snapToGrid w:val="0"/>
        <w:spacing w:before="0" w:beforeAutospacing="0" w:after="0" w:afterAutospacing="0" w:line="600" w:lineRule="atLeast"/>
        <w:ind w:left="0" w:right="0" w:firstLine="640" w:firstLineChars="20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2.一般公共预算财政拨款支出决算具体情况。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仿宋" w:cs="宋体"/>
          <w:b/>
          <w:i/>
          <w:kern w:val="0"/>
          <w:sz w:val="24"/>
          <w:szCs w:val="24"/>
        </w:rPr>
      </w:pPr>
      <w:r>
        <w:rPr>
          <w:rFonts w:hint="eastAsia" w:ascii="仿宋" w:hAnsi="仿宋" w:eastAsia="仿宋" w:cs="仿宋"/>
          <w:kern w:val="0"/>
          <w:sz w:val="32"/>
          <w:szCs w:val="32"/>
          <w:lang w:val="en-US" w:eastAsia="zh-CN" w:bidi="ar"/>
        </w:rPr>
        <w:t>台州市温岭市妇女联合会单位2017年度一般公共财政拨款支出年初预算为516.32万元，支出决算为650.94万元,完成年初预算的126.07%，主要原因是奖金及项目年中追加。其中</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 xml:space="preserve"> 一般公共服务支出（类）群众团体事务（款）行政运行（项）。2017年年初预算为132.61万元，2017年决算为132.05万元，完成年初预算的99.58%， 决算数小于预算数的主要原因决算数与预算数基本一致。</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 xml:space="preserve"> 一般公共服务支出（类）群众团体事务（款）事业运行（项）。2017年年初预算为59.22万元，2017年决算为61.81万元，完成年初预算的104.37%，决算数大于预算数的主要原因决算数与预算数基本一致。</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 一般公共服务支出（类）群众团体事务（款）其他群团事务支出（项）。2017年年初预算为286.98万元，2017年决算为281.21万元，完成年初预算的97.99%，决算数小于预算数的主要原因决算数与预算数基本一致。</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一般公共服务支出（类）其他一般公共服务支出（款）其他一般公共服务支出（项）。2017年年初预算为0万元，2017年决算为94.51万元，决算数大于预算数的主要原因追加用于奖金发放及派遣人员劳务费。</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文化体育与传媒支出（类）文化（款）图书馆（项）。2017年年初预算为0万元，2017年决算为  44.24万元，决算数大于预算数的主要原因年中项目新增，年初预算下达后经费追加。</w:t>
      </w:r>
    </w:p>
    <w:p>
      <w:pPr>
        <w:keepNext w:val="0"/>
        <w:keepLines w:val="0"/>
        <w:widowControl/>
        <w:suppressLineNumbers w:val="0"/>
        <w:snapToGrid w:val="0"/>
        <w:spacing w:before="0" w:beforeAutospacing="0" w:after="0" w:afterAutospacing="0" w:line="600" w:lineRule="atLeast"/>
        <w:ind w:left="0" w:right="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社会保障和就业支出（类）行政事业单位离退休（款）未归口行政事业单位离退休（项）。2017年年初预算为6.29万元，2017年决算为5.89万元，完成年初预算的93.64%，决算数小于预算数的主要原因决算数与预算数基本一致。</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 社会保障和就业支出（类）行政事业单位离退休（款）机关事业单位基本养老保险缴费支出（项）。2017年年初预算为22.5万元，2017年决算为22.5万元，完成年初预算的100。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社会保障和就业支出（类）行政事业单位离退休（款）机关事业单位职业年金缴费支出（项）。2017年年初预算为8.73万元，2017年决算为8.73万元，完成年初预算的100%。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 xml:space="preserve"> </w:t>
      </w:r>
      <w:r>
        <w:rPr>
          <w:rStyle w:val="4"/>
          <w:rFonts w:hint="eastAsia" w:ascii="宋体" w:hAnsi="宋体" w:eastAsia="宋体" w:cs="宋体"/>
          <w:b/>
          <w:sz w:val="32"/>
          <w:szCs w:val="32"/>
          <w:lang w:val="en-US" w:eastAsia="zh-CN" w:bidi="ar"/>
        </w:rPr>
        <w:t>（六）一般公共预算财政拨款基本支出决算情况说明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台州市温岭市妇女联合会单位2017年一般公共预算财政拨款基本支出326.10万元，其中：</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人员经费296.56万元，主要包括：基本工资、津贴补贴、奖金、绩效工资、机关事业单位基本养老保险缴费、职业年金缴费、医疗费、住房公积金；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公用经费29.54万元，主要包括：办公费、邮电费、差旅费、劳务费、工会经费、福利费、其他交通费。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（七）政府性基金财政拨款支出决算情况说明</w:t>
      </w:r>
      <w:r>
        <w:rPr>
          <w:rStyle w:val="4"/>
          <w:rFonts w:hint="eastAsia" w:ascii="楷体" w:hAnsi="楷体" w:eastAsia="楷体" w:cs="Arial"/>
          <w:b/>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  2017年 政府性基金财政拨款支出0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（八）</w:t>
      </w:r>
      <w:r>
        <w:rPr>
          <w:rStyle w:val="4"/>
          <w:rFonts w:hint="eastAsia" w:ascii="楷体" w:hAnsi="楷体" w:eastAsia="楷体" w:cs="Arial"/>
          <w:b/>
          <w:sz w:val="32"/>
          <w:szCs w:val="32"/>
          <w:lang w:val="en-US" w:eastAsia="zh-CN" w:bidi="ar"/>
        </w:rPr>
        <w:t>2017</w:t>
      </w:r>
      <w:r>
        <w:rPr>
          <w:rStyle w:val="4"/>
          <w:rFonts w:hint="eastAsia" w:ascii="宋体" w:hAnsi="宋体" w:eastAsia="宋体" w:cs="宋体"/>
          <w:b/>
          <w:sz w:val="32"/>
          <w:szCs w:val="32"/>
          <w:lang w:val="en-US" w:eastAsia="zh-CN" w:bidi="ar"/>
        </w:rPr>
        <w:t>年度一般公共预算财政拨款</w:t>
      </w:r>
      <w:r>
        <w:rPr>
          <w:rStyle w:val="4"/>
          <w:rFonts w:hint="eastAsia" w:ascii="楷体" w:hAnsi="楷体" w:eastAsia="楷体" w:cs="Arial"/>
          <w:b/>
          <w:sz w:val="32"/>
          <w:szCs w:val="32"/>
          <w:lang w:val="en-US" w:eastAsia="zh-CN" w:bidi="ar"/>
        </w:rPr>
        <w:t>“</w:t>
      </w:r>
      <w:r>
        <w:rPr>
          <w:rStyle w:val="4"/>
          <w:rFonts w:hint="eastAsia" w:ascii="宋体" w:hAnsi="宋体" w:eastAsia="宋体" w:cs="宋体"/>
          <w:b/>
          <w:sz w:val="32"/>
          <w:szCs w:val="32"/>
          <w:lang w:val="en-US" w:eastAsia="zh-CN" w:bidi="ar"/>
        </w:rPr>
        <w:t>三公</w:t>
      </w:r>
      <w:r>
        <w:rPr>
          <w:rStyle w:val="4"/>
          <w:rFonts w:hint="eastAsia" w:ascii="楷体" w:hAnsi="楷体" w:eastAsia="楷体" w:cs="Arial"/>
          <w:b/>
          <w:sz w:val="32"/>
          <w:szCs w:val="32"/>
          <w:lang w:val="en-US" w:eastAsia="zh-CN" w:bidi="ar"/>
        </w:rPr>
        <w:t>”</w:t>
      </w:r>
      <w:r>
        <w:rPr>
          <w:rStyle w:val="4"/>
          <w:rFonts w:hint="eastAsia" w:ascii="宋体" w:hAnsi="宋体" w:eastAsia="宋体" w:cs="宋体"/>
          <w:b/>
          <w:sz w:val="32"/>
          <w:szCs w:val="32"/>
          <w:lang w:val="en-US" w:eastAsia="zh-CN" w:bidi="ar"/>
        </w:rPr>
        <w:t>经费支出决算情况说明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1.“三公”经费一般公共预算财政拨款支出决算总体情况说明。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2017年度“三公”经费一般公共预算财政拨款支出预算为3.75万元，支出决算为2.36万元，完成预算的62.93%,其中：因公出国（境）费支出决算为0万元，完成预算的0%；公务用车购置及运行费支出决算为0万元，完成预算的0%；公务接待费支出决算为2.36万元，完成预算的74.5%。2017年度“三公”经费支出决算数小于预算数的主要原因是本着节约原则，公务接待批次减少，标准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2.“三公”经费一般公共预算财政拨款支出决算具体情况说明。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2017年度“三公”经费一般公共预算财政拨款支出决算数比2016年减少1.9万元，下降44.6%，其中：</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因公出国（境）费用：根据外事部门安排的因公出国计划和实际工作需要，2017年度因公出国（境）费用决算0万元，比上年决算数下降0%。主要用于机关及下属预算单位人员的公务出国（境）的住宿费、国际旅费、培训费、公杂费等支出。上下年对比无变化。</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其中，全年使用一般公共预算财政拨款本单位组织因公出国(境)团组0个；本单位全年因公出国(境)累计0人次。</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公务接待费：2017年度公务接待费决算2.36万元，比上年决算数增长3.5%。主要用于接待各级妇联调研考察等支出。增加的主要原因是市妇联儿童活动中心运行后，各地参观学习交流增多。全年使用一般公共预算财政拨款国内公务接待19批次，累计232人次。</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公务用车购置及运行维护费：2017年度公务用车购置及运行维护费决算0万元，比上年决算数下降1.97万元。其中，公务用车购置支出0万元（含购置税等附加费用），主要用于经批准购置的0辆公务用车；公务用车运行维护费支出0万元，主要用于车改后公务用车保障中心等所需的公务用车租用费、燃料费、维修费、过路过桥费、保险费、安全奖励费用等支出；2017年度，本级及所属单位开支一般公共预算财政拨款的公务用车保有量为0辆。减少的主要原因是车改后，单位没有公车，所以无公车运行维护费。</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（九）部门预算绩效情况说明</w:t>
      </w:r>
      <w:r>
        <w:rPr>
          <w:rStyle w:val="4"/>
          <w:rFonts w:hint="eastAsia" w:ascii="楷体" w:hAnsi="楷体" w:eastAsia="楷体" w:cs="Arial"/>
          <w:b/>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 2017年度台州市温岭市妇女联合会单位2个项目实行预算绩效目标管理，涉及一般公共预算当年预算101.38万元，实际支出80.91万元。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部门决算中项目绩效自评情况：20万上项目共2个，包括妇女儿童活动中心运行经费78.38万和文化长廊创业展示中心桌椅23万，妇女儿童活动中心运行经费因充电智能桩及门禁工程没有结算，所以运行经费预算全年执行率为86.25%；文化长廊创业展示桌椅因书法教室学员课程安排时间冲突，导致采购没有按计划完成，全年执行率75.5%。预算执行率偏低，但总体运行情况良好，全年接待妇女儿童人次达1.5万人次，书香家阅读中心借阅量达8万人次，女性课堂服务5000人，儿童课堂参与1000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3.以部门为主体开展的重点项目绩效评价情况：无重点项目。</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（十）其他重要事项的情况说明</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1.机关运行经费支出情况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2017年度市妇联本级1家参公管理事业单位的机关运行经费一般公共预算支出29.54万元，比上年度增加（减少）9.62万元，增长48.29%，主要原因是单位整体搬出市政府后日常运行经费增加及新人员招录后经费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2.政府采购支出情况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2017年度市妇联本级政府采购支出总额49.43万元，其中：政府采购货物支出49.43万元、政府采购工程支出0万元、政府采购服务支出0元。授予中小企业合同金额0万元，占政府采购支出总额的0%。其中，授予小微企业合同金额0万元，占政府采购支出总额的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3.国有资产占有使用情况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截至2017年12月31日，市妇联本级共有车辆 0辆，其中，一般公务用车0辆、一般执法执勤用车0辆、特种专业技术用车0辆、其他用车0辆。单价50万元以上通用设备0台（套），单价100万元以上专用设备0台（套）。</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4"/>
          <w:rFonts w:hint="eastAsia" w:ascii="宋体" w:hAnsi="宋体" w:eastAsia="宋体" w:cs="宋体"/>
          <w:b/>
          <w:sz w:val="32"/>
          <w:szCs w:val="32"/>
          <w:lang w:val="en-US" w:eastAsia="zh-CN" w:bidi="ar"/>
        </w:rPr>
        <w:t>四、名词解释</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1.财政拨款收入：本级财政部门当年拨付的财政预算资金，包括一般公共预算财政拨款和政府性基金预算财政拨款。</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2.事业单位专户资金:作为本部门的事业收入，纳入财政专户管理的资金。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3.事业收入：事业单位开展专业业务活动及辅助活动所取得的收入，不含专户资金收入。</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4.事业单位经营收入：事业单位在专业业务活动及辅助活动之外开展非独立核算经营活动取得的收入。</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5.其他收入：预算单位在“财政拨款”、“事业单位专户资金“、“事业收入”、“事业单位经营收入”、“上级补助收入”、“附属单位上缴收入”等之外取得的各项收入。</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6.用事业基金弥补收支差额：指事业单位在用当年的“财政拨款收入”、“专户资金”、“事业收入”、“事业单位经营收入”、 “其他收入”、“上年结转”等不足以安排当年支出的情况下，使用以前年度积累的事业基金弥补本年收支缺口的资金。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7.年初结转结余：指以前年度尚未完成、结转到本年仍按原规定用途继续使用的资金。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8.年末结转和结余：是指预算单位本年底前的收入预算未执行完毕，需结转下年度按照原用途继续使用的结转资金，以及本年底前收支相抵后 盈余或亏损的结余资金，其中包括当年事业单位按照国家规定，用于核算当年应交所得税和提取事业基金、专用基金的分配情况和结果。</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9.基本支出：是预算单位为保障其正常运转，完成日常工作任务所发生的支出，包括人员支出和日常公用支出。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10.项目支出：是预算单位为完成其特定的行政工作任务或事业发展目标所发生的支出。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11.机关运行经费：是行政单位和参照公务员法管理的事业单位使用一般公共预算财政拨款安排的基本支出中的日常公用经费支出。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12.一般公共服务支出（类）群众团体事务（款）行政运行（项）。反映行政单位（包括实行公务员管理的事业单位）的基本支出。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13.一般公共服务支出（类）群众团体事务（款）事业运行（项）。反映事业单位的基本支出，不包括行政单位（包括实行公务员管理的事业单位）后勤服务中心、医务室等附属事业单位。。</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14.社会保障和就业支出（类）行政事业单位离退休（款）未归口行政事业单位离退休（项）。反映未实行归口管理的行政单位（包括实行公务员管理的事业单位）开支的离退休支出。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15. 社会保障和就业支出（类）行政事业单位离退休（款）机关事业单位基本养老保险缴费支出（项）。反映机关事业单位实施养老保险制度由单位缴纳的基本养老保险费支出。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16.社会保障和就业支出（类）行政事业单位离退休（款）机关事业单位职业年金缴费支出（项）。反映机关事业单位实施养老保险制度由单位实际缴纳的职业年金支出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013E8"/>
    <w:rsid w:val="58C27D46"/>
    <w:rsid w:val="66C57D6D"/>
    <w:rsid w:val="7D30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customStyle="1" w:styleId="4">
    <w:name w:val="22"/>
    <w:basedOn w:val="3"/>
    <w:uiPriority w:val="0"/>
    <w:rPr>
      <w:rFonts w:hint="default" w:ascii="Times New Roman" w:hAnsi="Times New Roman" w:cs="Times New Roman"/>
      <w:b/>
    </w:rPr>
  </w:style>
  <w:style w:type="character" w:customStyle="1" w:styleId="5">
    <w:name w:val="29"/>
    <w:basedOn w:val="3"/>
    <w:uiPriority w:val="0"/>
    <w:rPr>
      <w:rFonts w:hint="default" w:ascii="Cambria" w:hAnsi="Cambria" w:eastAsia="宋体" w:cs="Times New Roman"/>
      <w:b/>
      <w:sz w:val="32"/>
      <w:szCs w:val="32"/>
    </w:rPr>
  </w:style>
  <w:style w:type="character" w:customStyle="1" w:styleId="6">
    <w:name w:val="15"/>
    <w:basedOn w:val="3"/>
    <w:uiPriority w:val="0"/>
    <w:rPr>
      <w:rFonts w:hint="default" w:ascii="Times New Roman" w:hAnsi="Times New Roman" w:cs="Times New Roman"/>
    </w:rPr>
  </w:style>
  <w:style w:type="character" w:customStyle="1" w:styleId="7">
    <w:name w:val="18"/>
    <w:basedOn w:val="3"/>
    <w:uiPriority w:val="0"/>
    <w:rPr>
      <w:rFonts w:hint="default" w:ascii="Times New Roman" w:hAnsi="Times New Roman" w:cs="Times New Roman"/>
    </w:rPr>
  </w:style>
  <w:style w:type="character" w:customStyle="1" w:styleId="8">
    <w:name w:val="20"/>
    <w:basedOn w:val="3"/>
    <w:uiPriority w:val="0"/>
    <w:rPr>
      <w:rFonts w:hint="eastAsia" w:ascii="宋体" w:hAnsi="宋体" w:eastAsia="宋体" w:cs="宋体"/>
      <w:sz w:val="18"/>
      <w:szCs w:val="18"/>
    </w:rPr>
  </w:style>
  <w:style w:type="character" w:customStyle="1" w:styleId="9">
    <w:name w:val="31"/>
    <w:basedOn w:val="3"/>
    <w:uiPriority w:val="0"/>
    <w:rPr>
      <w:rFonts w:hint="eastAsia" w:ascii="宋体" w:hAnsi="宋体" w:eastAsia="宋体" w:cs="宋体"/>
      <w:b/>
      <w:sz w:val="28"/>
      <w:szCs w:val="28"/>
    </w:rPr>
  </w:style>
  <w:style w:type="character" w:customStyle="1" w:styleId="10">
    <w:name w:val="25"/>
    <w:basedOn w:val="3"/>
    <w:uiPriority w:val="0"/>
    <w:rPr>
      <w:rFonts w:hint="default" w:ascii="Times New Roman" w:hAnsi="Times New Roman" w:cs="Times New Roman"/>
    </w:rPr>
  </w:style>
  <w:style w:type="character" w:customStyle="1" w:styleId="11">
    <w:name w:val="36"/>
    <w:basedOn w:val="3"/>
    <w:uiPriority w:val="0"/>
    <w:rPr>
      <w:rFonts w:hint="default" w:ascii="Times New Roman" w:hAnsi="Times New Roman" w:cs="Times New Roman"/>
    </w:rPr>
  </w:style>
  <w:style w:type="character" w:customStyle="1" w:styleId="12">
    <w:name w:val="30"/>
    <w:basedOn w:val="3"/>
    <w:qFormat/>
    <w:uiPriority w:val="0"/>
    <w:rPr>
      <w:rFonts w:hint="default" w:ascii="Times New Roman" w:hAnsi="Times New Roman" w:cs="Times New Roman"/>
    </w:rPr>
  </w:style>
  <w:style w:type="character" w:customStyle="1" w:styleId="13">
    <w:name w:val="34"/>
    <w:basedOn w:val="3"/>
    <w:qFormat/>
    <w:uiPriority w:val="0"/>
    <w:rPr>
      <w:rFonts w:hint="eastAsia" w:ascii="宋体" w:hAnsi="宋体" w:eastAsia="宋体" w:cs="宋体"/>
      <w:b/>
      <w:kern w:val="44"/>
      <w:sz w:val="44"/>
      <w:szCs w:val="44"/>
    </w:rPr>
  </w:style>
  <w:style w:type="character" w:customStyle="1" w:styleId="14">
    <w:name w:val="32"/>
    <w:basedOn w:val="3"/>
    <w:qFormat/>
    <w:uiPriority w:val="0"/>
    <w:rPr>
      <w:rFonts w:hint="default" w:ascii="Times New Roman" w:hAnsi="Times New Roman" w:cs="Times New Roman"/>
      <w:b/>
    </w:rPr>
  </w:style>
  <w:style w:type="character" w:customStyle="1" w:styleId="15">
    <w:name w:val="27"/>
    <w:basedOn w:val="3"/>
    <w:qFormat/>
    <w:uiPriority w:val="0"/>
    <w:rPr>
      <w:rFonts w:hint="default" w:ascii="Cambria" w:hAnsi="Cambria" w:eastAsia="宋体" w:cs="Times New Roman"/>
      <w:b/>
      <w:sz w:val="24"/>
      <w:szCs w:val="24"/>
    </w:rPr>
  </w:style>
  <w:style w:type="character" w:customStyle="1" w:styleId="16">
    <w:name w:val="24"/>
    <w:basedOn w:val="3"/>
    <w:uiPriority w:val="0"/>
    <w:rPr>
      <w:rFonts w:hint="default" w:ascii="Times New Roman" w:hAnsi="Times New Roman" w:cs="Times New Roman"/>
    </w:rPr>
  </w:style>
  <w:style w:type="character" w:customStyle="1" w:styleId="17">
    <w:name w:val="10"/>
    <w:basedOn w:val="3"/>
    <w:qFormat/>
    <w:uiPriority w:val="0"/>
    <w:rPr>
      <w:rFonts w:hint="default" w:ascii="Times New Roman" w:hAnsi="Times New Roman" w:cs="Times New Roman"/>
    </w:rPr>
  </w:style>
  <w:style w:type="character" w:customStyle="1" w:styleId="18">
    <w:name w:val="16"/>
    <w:basedOn w:val="3"/>
    <w:uiPriority w:val="0"/>
    <w:rPr>
      <w:rFonts w:hint="default" w:ascii="Times New Roman" w:hAnsi="Times New Roman" w:cs="Times New Roman"/>
    </w:rPr>
  </w:style>
  <w:style w:type="character" w:customStyle="1" w:styleId="19">
    <w:name w:val="17"/>
    <w:basedOn w:val="3"/>
    <w:uiPriority w:val="0"/>
    <w:rPr>
      <w:rFonts w:hint="eastAsia" w:ascii="宋体" w:hAnsi="宋体" w:eastAsia="宋体" w:cs="宋体"/>
      <w:b/>
      <w:sz w:val="32"/>
      <w:szCs w:val="32"/>
    </w:rPr>
  </w:style>
  <w:style w:type="character" w:customStyle="1" w:styleId="20">
    <w:name w:val="33"/>
    <w:basedOn w:val="3"/>
    <w:uiPriority w:val="0"/>
    <w:rPr>
      <w:rFonts w:hint="default" w:ascii="Times New Roman" w:hAnsi="Times New Roman" w:cs="Times New Roman"/>
    </w:rPr>
  </w:style>
  <w:style w:type="character" w:customStyle="1" w:styleId="21">
    <w:name w:val="19"/>
    <w:basedOn w:val="3"/>
    <w:uiPriority w:val="0"/>
    <w:rPr>
      <w:rFonts w:hint="default" w:ascii="Times New Roman" w:hAnsi="Times New Roman" w:cs="Times New Roman"/>
    </w:rPr>
  </w:style>
  <w:style w:type="character" w:customStyle="1" w:styleId="22">
    <w:name w:val="21"/>
    <w:basedOn w:val="3"/>
    <w:qFormat/>
    <w:uiPriority w:val="0"/>
    <w:rPr>
      <w:rFonts w:hint="eastAsia" w:ascii="宋体" w:hAnsi="宋体" w:eastAsia="宋体" w:cs="宋体"/>
      <w:sz w:val="18"/>
      <w:szCs w:val="18"/>
    </w:rPr>
  </w:style>
  <w:style w:type="character" w:customStyle="1" w:styleId="23">
    <w:name w:val="23"/>
    <w:basedOn w:val="3"/>
    <w:uiPriority w:val="0"/>
    <w:rPr>
      <w:rFonts w:hint="default" w:ascii="Times New Roman" w:hAnsi="Times New Roman" w:cs="Times New Roman"/>
    </w:rPr>
  </w:style>
  <w:style w:type="character" w:customStyle="1" w:styleId="24">
    <w:name w:val="26"/>
    <w:basedOn w:val="3"/>
    <w:uiPriority w:val="0"/>
    <w:rPr>
      <w:rFonts w:hint="default" w:ascii="Courier New" w:hAnsi="Courier New" w:eastAsia="宋体" w:cs="Courier New"/>
    </w:rPr>
  </w:style>
  <w:style w:type="character" w:customStyle="1" w:styleId="25">
    <w:name w:val="28"/>
    <w:basedOn w:val="3"/>
    <w:qFormat/>
    <w:uiPriority w:val="0"/>
    <w:rPr>
      <w:rFonts w:hint="default" w:ascii="Cambria" w:hAnsi="Cambria" w:eastAsia="宋体" w:cs="Times New Roman"/>
      <w:b/>
      <w:sz w:val="28"/>
      <w:szCs w:val="28"/>
    </w:rPr>
  </w:style>
  <w:style w:type="character" w:customStyle="1" w:styleId="26">
    <w:name w:val="35"/>
    <w:basedOn w:val="3"/>
    <w:qFormat/>
    <w:uiPriority w:val="0"/>
    <w:rPr>
      <w:rFonts w:hint="default" w:ascii="Times New Roman" w:hAnsi="Times New Roman" w:cs="Times New Roman"/>
    </w:rPr>
  </w:style>
  <w:style w:type="paragraph" w:customStyle="1" w:styleId="27">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2019-02-15T01:46:00Z</dcterms:created>
  <dc:creator>Administrator</dc:creator>
  <cp:lastModifiedBy>浙江台温律师事务所</cp:lastModifiedBy>
  <dcterms:modified xsi:type="dcterms:W3CDTF">2022-08-22T02:45:49Z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