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jc w:val="center"/>
        <w:rPr>
          <w:rStyle w:val="7"/>
          <w:rFonts w:ascii="方正小标宋简体" w:hAnsi="黑体" w:eastAsia="方正小标宋简体"/>
          <w:b w:val="0"/>
          <w:sz w:val="44"/>
          <w:szCs w:val="44"/>
        </w:rPr>
      </w:pPr>
      <w:r>
        <w:rPr>
          <w:rStyle w:val="7"/>
          <w:rFonts w:hint="eastAsia" w:ascii="方正小标宋简体" w:hAnsi="黑体" w:eastAsia="方正小标宋简体"/>
          <w:b w:val="0"/>
          <w:sz w:val="44"/>
          <w:szCs w:val="44"/>
        </w:rPr>
        <w:t>温岭市住房和城乡建设局（本级）</w:t>
      </w:r>
    </w:p>
    <w:p>
      <w:pPr>
        <w:pStyle w:val="4"/>
        <w:spacing w:before="0" w:beforeAutospacing="0" w:after="0" w:afterAutospacing="0" w:line="600" w:lineRule="exact"/>
        <w:jc w:val="center"/>
        <w:rPr>
          <w:rStyle w:val="7"/>
        </w:rPr>
      </w:pPr>
      <w:r>
        <w:rPr>
          <w:rStyle w:val="7"/>
          <w:rFonts w:ascii="方正小标宋简体" w:hAnsi="黑体" w:eastAsia="方正小标宋简体"/>
          <w:b w:val="0"/>
          <w:sz w:val="44"/>
          <w:szCs w:val="44"/>
        </w:rPr>
        <w:t>2020</w:t>
      </w:r>
      <w:r>
        <w:rPr>
          <w:rStyle w:val="7"/>
          <w:rFonts w:hint="eastAsia" w:ascii="方正小标宋简体" w:hAnsi="黑体" w:eastAsia="方正小标宋简体"/>
          <w:b w:val="0"/>
          <w:sz w:val="44"/>
          <w:szCs w:val="44"/>
        </w:rPr>
        <w:t>年度单位决算</w:t>
      </w:r>
    </w:p>
    <w:p>
      <w:pPr>
        <w:pStyle w:val="4"/>
        <w:jc w:val="center"/>
        <w:rPr>
          <w:rFonts w:ascii="方正小标宋简体" w:eastAsia="方正小标宋简体" w:cs="Times New Roman"/>
          <w:b/>
          <w:bCs/>
          <w:sz w:val="44"/>
          <w:szCs w:val="44"/>
        </w:rPr>
      </w:pPr>
      <w:r>
        <w:rPr>
          <w:rStyle w:val="7"/>
          <w:rFonts w:hint="eastAsia" w:ascii="方正小标宋简体" w:eastAsia="方正小标宋简体" w:cs="方正小标宋简体"/>
          <w:b w:val="0"/>
          <w:bCs w:val="0"/>
          <w:sz w:val="44"/>
          <w:szCs w:val="44"/>
        </w:rPr>
        <w:t>目</w:t>
      </w:r>
      <w:r>
        <w:rPr>
          <w:rStyle w:val="7"/>
          <w:rFonts w:ascii="方正小标宋简体" w:eastAsia="方正小标宋简体" w:cs="方正小标宋简体"/>
          <w:b w:val="0"/>
          <w:bCs w:val="0"/>
          <w:sz w:val="44"/>
          <w:szCs w:val="44"/>
        </w:rPr>
        <w:t xml:space="preserve">      </w:t>
      </w:r>
      <w:r>
        <w:rPr>
          <w:rStyle w:val="7"/>
          <w:rFonts w:hint="eastAsia" w:ascii="方正小标宋简体" w:eastAsia="方正小标宋简体" w:cs="方正小标宋简体"/>
          <w:b w:val="0"/>
          <w:bCs w:val="0"/>
          <w:sz w:val="44"/>
          <w:szCs w:val="44"/>
        </w:rPr>
        <w:t>录</w:t>
      </w:r>
    </w:p>
    <w:p>
      <w:pPr>
        <w:tabs>
          <w:tab w:val="center" w:leader="dot" w:pos="8100"/>
        </w:tabs>
        <w:spacing w:line="500" w:lineRule="exact"/>
        <w:rPr>
          <w:rFonts w:ascii="仿宋_GB2312" w:eastAsia="仿宋_GB2312" w:cs="仿宋_GB2312"/>
        </w:rPr>
      </w:pPr>
      <w:r>
        <w:rPr>
          <w:rFonts w:hint="eastAsia" w:ascii="仿宋_GB2312" w:eastAsia="仿宋_GB2312" w:cs="仿宋_GB2312"/>
        </w:rPr>
        <w:t>一、概况</w:t>
      </w:r>
      <w:r>
        <w:rPr>
          <w:rFonts w:ascii="仿宋_GB2312" w:eastAsia="仿宋_GB2312" w:cs="Times New Roman"/>
        </w:rPr>
        <w:tab/>
      </w:r>
      <w:r>
        <w:rPr>
          <w:rFonts w:hint="eastAsia" w:ascii="仿宋_GB2312" w:eastAsia="仿宋_GB2312" w:cs="仿宋_GB2312"/>
        </w:rPr>
        <w:t>1</w:t>
      </w:r>
    </w:p>
    <w:p>
      <w:pPr>
        <w:tabs>
          <w:tab w:val="center" w:leader="dot" w:pos="8100"/>
        </w:tabs>
        <w:spacing w:line="500" w:lineRule="exact"/>
        <w:rPr>
          <w:rFonts w:ascii="仿宋_GB2312" w:eastAsia="仿宋_GB2312" w:cs="仿宋_GB2312"/>
        </w:rPr>
      </w:pPr>
      <w:r>
        <w:rPr>
          <w:rFonts w:hint="eastAsia" w:ascii="仿宋_GB2312" w:eastAsia="仿宋_GB2312" w:cs="仿宋_GB2312"/>
        </w:rPr>
        <w:t>（一）部门（单位）职责</w:t>
      </w:r>
      <w:r>
        <w:rPr>
          <w:rFonts w:ascii="仿宋_GB2312" w:eastAsia="仿宋_GB2312" w:cs="Times New Roman"/>
        </w:rPr>
        <w:tab/>
      </w:r>
      <w:r>
        <w:rPr>
          <w:rFonts w:hint="eastAsia" w:ascii="仿宋_GB2312" w:eastAsia="仿宋_GB2312" w:cs="仿宋_GB2312"/>
        </w:rPr>
        <w:t>1</w:t>
      </w:r>
    </w:p>
    <w:p>
      <w:pPr>
        <w:tabs>
          <w:tab w:val="center" w:leader="dot" w:pos="8100"/>
        </w:tabs>
        <w:spacing w:line="500" w:lineRule="exact"/>
        <w:rPr>
          <w:rFonts w:ascii="仿宋_GB2312" w:eastAsia="仿宋_GB2312" w:cs="仿宋_GB2312"/>
        </w:rPr>
      </w:pPr>
      <w:r>
        <w:rPr>
          <w:rFonts w:hint="eastAsia" w:ascii="仿宋_GB2312" w:eastAsia="仿宋_GB2312" w:cs="仿宋_GB2312"/>
        </w:rPr>
        <w:t>（二）机构设置</w:t>
      </w:r>
      <w:r>
        <w:rPr>
          <w:rFonts w:ascii="仿宋_GB2312" w:eastAsia="仿宋_GB2312" w:cs="Times New Roman"/>
        </w:rPr>
        <w:tab/>
      </w:r>
      <w:r>
        <w:rPr>
          <w:rFonts w:hint="eastAsia" w:ascii="仿宋_GB2312" w:eastAsia="仿宋_GB2312" w:cs="仿宋_GB2312"/>
        </w:rPr>
        <w:t>2</w:t>
      </w:r>
    </w:p>
    <w:p>
      <w:pPr>
        <w:tabs>
          <w:tab w:val="center" w:leader="dot" w:pos="8100"/>
        </w:tabs>
        <w:spacing w:line="500" w:lineRule="exact"/>
        <w:rPr>
          <w:rFonts w:ascii="仿宋_GB2312" w:eastAsia="仿宋_GB2312" w:cs="仿宋_GB2312"/>
        </w:rPr>
      </w:pPr>
      <w:r>
        <w:rPr>
          <w:rFonts w:hint="eastAsia" w:ascii="仿宋_GB2312" w:eastAsia="仿宋_GB2312" w:cs="仿宋_GB2312"/>
        </w:rPr>
        <w:t>二、</w:t>
      </w:r>
      <w:r>
        <w:rPr>
          <w:rFonts w:ascii="仿宋_GB2312" w:eastAsia="仿宋_GB2312" w:cs="仿宋_GB2312"/>
        </w:rPr>
        <w:t>2020</w:t>
      </w:r>
      <w:r>
        <w:rPr>
          <w:rFonts w:hint="eastAsia" w:ascii="仿宋_GB2312" w:eastAsia="仿宋_GB2312" w:cs="仿宋_GB2312"/>
        </w:rPr>
        <w:t>年度部门（单位）决算公开表</w:t>
      </w:r>
      <w:r>
        <w:rPr>
          <w:rFonts w:ascii="仿宋_GB2312" w:eastAsia="仿宋_GB2312" w:cs="Times New Roman"/>
        </w:rPr>
        <w:tab/>
      </w:r>
      <w:r>
        <w:rPr>
          <w:rFonts w:hint="eastAsia" w:ascii="仿宋_GB2312" w:eastAsia="仿宋_GB2312" w:cs="仿宋_GB2312"/>
        </w:rPr>
        <w:t>6</w:t>
      </w:r>
    </w:p>
    <w:p>
      <w:pPr>
        <w:tabs>
          <w:tab w:val="center" w:leader="dot" w:pos="8100"/>
        </w:tabs>
        <w:spacing w:line="500" w:lineRule="exact"/>
        <w:rPr>
          <w:rFonts w:ascii="仿宋_GB2312" w:eastAsia="仿宋_GB2312" w:cs="仿宋_GB2312"/>
        </w:rPr>
      </w:pPr>
      <w:r>
        <w:rPr>
          <w:rFonts w:hint="eastAsia" w:ascii="仿宋_GB2312" w:eastAsia="仿宋_GB2312" w:cs="仿宋_GB2312"/>
        </w:rPr>
        <w:t>三、</w:t>
      </w:r>
      <w:r>
        <w:rPr>
          <w:rFonts w:ascii="仿宋_GB2312" w:eastAsia="仿宋_GB2312" w:cs="仿宋_GB2312"/>
        </w:rPr>
        <w:t>2020</w:t>
      </w:r>
      <w:r>
        <w:rPr>
          <w:rFonts w:hint="eastAsia" w:ascii="仿宋_GB2312" w:eastAsia="仿宋_GB2312" w:cs="仿宋_GB2312"/>
        </w:rPr>
        <w:t>年度部门（单位）决算情况说明</w:t>
      </w:r>
      <w:r>
        <w:rPr>
          <w:rFonts w:ascii="仿宋_GB2312" w:eastAsia="仿宋_GB2312" w:cs="Times New Roman"/>
        </w:rPr>
        <w:tab/>
      </w:r>
      <w:r>
        <w:rPr>
          <w:rFonts w:hint="eastAsia" w:ascii="仿宋_GB2312" w:eastAsia="仿宋_GB2312" w:cs="仿宋_GB2312"/>
        </w:rPr>
        <w:t>6</w:t>
      </w:r>
    </w:p>
    <w:p>
      <w:pPr>
        <w:tabs>
          <w:tab w:val="center" w:leader="dot" w:pos="8100"/>
        </w:tabs>
        <w:spacing w:line="500" w:lineRule="exact"/>
        <w:rPr>
          <w:rFonts w:ascii="仿宋_GB2312" w:eastAsia="仿宋_GB2312" w:cs="仿宋_GB2312"/>
        </w:rPr>
      </w:pPr>
      <w:r>
        <w:rPr>
          <w:rFonts w:hint="eastAsia" w:ascii="仿宋_GB2312" w:eastAsia="仿宋_GB2312" w:cs="仿宋_GB2312"/>
        </w:rPr>
        <w:t>（一）收入支出决算总体情况说明</w:t>
      </w:r>
      <w:r>
        <w:rPr>
          <w:rFonts w:ascii="仿宋_GB2312" w:eastAsia="仿宋_GB2312" w:cs="Times New Roman"/>
        </w:rPr>
        <w:tab/>
      </w:r>
      <w:r>
        <w:rPr>
          <w:rFonts w:hint="eastAsia" w:ascii="仿宋_GB2312" w:eastAsia="仿宋_GB2312" w:cs="仿宋_GB2312"/>
        </w:rPr>
        <w:t>6</w:t>
      </w:r>
    </w:p>
    <w:p>
      <w:pPr>
        <w:tabs>
          <w:tab w:val="center" w:leader="dot" w:pos="8100"/>
        </w:tabs>
        <w:spacing w:line="500" w:lineRule="exact"/>
        <w:rPr>
          <w:rFonts w:ascii="仿宋_GB2312" w:eastAsia="仿宋_GB2312" w:cs="仿宋_GB2312"/>
        </w:rPr>
      </w:pPr>
      <w:r>
        <w:rPr>
          <w:rFonts w:hint="eastAsia" w:ascii="仿宋_GB2312" w:eastAsia="仿宋_GB2312" w:cs="仿宋_GB2312"/>
        </w:rPr>
        <w:t>（二）收入决算情况说明</w:t>
      </w:r>
      <w:r>
        <w:rPr>
          <w:rFonts w:ascii="仿宋_GB2312" w:eastAsia="仿宋_GB2312" w:cs="Times New Roman"/>
        </w:rPr>
        <w:tab/>
      </w:r>
      <w:r>
        <w:rPr>
          <w:rFonts w:hint="eastAsia" w:ascii="仿宋_GB2312" w:eastAsia="仿宋_GB2312" w:cs="仿宋_GB2312"/>
        </w:rPr>
        <w:t>6</w:t>
      </w:r>
    </w:p>
    <w:p>
      <w:pPr>
        <w:tabs>
          <w:tab w:val="center" w:leader="dot" w:pos="8100"/>
        </w:tabs>
        <w:spacing w:line="500" w:lineRule="exact"/>
        <w:rPr>
          <w:rFonts w:ascii="仿宋_GB2312" w:eastAsia="仿宋_GB2312" w:cs="仿宋_GB2312"/>
        </w:rPr>
      </w:pPr>
      <w:r>
        <w:rPr>
          <w:rFonts w:hint="eastAsia" w:ascii="仿宋_GB2312" w:eastAsia="仿宋_GB2312" w:cs="仿宋_GB2312"/>
        </w:rPr>
        <w:t>（三）支出决算情况说明</w:t>
      </w:r>
      <w:r>
        <w:rPr>
          <w:rFonts w:ascii="仿宋_GB2312" w:eastAsia="仿宋_GB2312" w:cs="Times New Roman"/>
        </w:rPr>
        <w:tab/>
      </w:r>
      <w:r>
        <w:rPr>
          <w:rFonts w:hint="eastAsia" w:ascii="仿宋_GB2312" w:eastAsia="仿宋_GB2312" w:cs="仿宋_GB2312"/>
        </w:rPr>
        <w:t>6</w:t>
      </w:r>
    </w:p>
    <w:p>
      <w:pPr>
        <w:tabs>
          <w:tab w:val="center" w:leader="dot" w:pos="8100"/>
        </w:tabs>
        <w:spacing w:line="500" w:lineRule="exact"/>
        <w:rPr>
          <w:rFonts w:ascii="仿宋_GB2312" w:eastAsia="仿宋_GB2312" w:cs="仿宋_GB2312"/>
        </w:rPr>
      </w:pPr>
      <w:r>
        <w:rPr>
          <w:rFonts w:hint="eastAsia" w:ascii="仿宋_GB2312" w:eastAsia="仿宋_GB2312" w:cs="仿宋_GB2312"/>
        </w:rPr>
        <w:t>（四）财政拨款收入支出决算总体情况说明</w:t>
      </w:r>
      <w:r>
        <w:rPr>
          <w:rFonts w:ascii="仿宋_GB2312" w:eastAsia="仿宋_GB2312" w:cs="Times New Roman"/>
        </w:rPr>
        <w:tab/>
      </w:r>
      <w:r>
        <w:rPr>
          <w:rFonts w:hint="eastAsia" w:ascii="仿宋_GB2312" w:eastAsia="仿宋_GB2312" w:cs="仿宋_GB2312"/>
        </w:rPr>
        <w:t>7</w:t>
      </w:r>
    </w:p>
    <w:p>
      <w:pPr>
        <w:tabs>
          <w:tab w:val="center" w:leader="dot" w:pos="8100"/>
        </w:tabs>
        <w:spacing w:line="500" w:lineRule="exact"/>
        <w:rPr>
          <w:rFonts w:ascii="仿宋_GB2312" w:eastAsia="仿宋_GB2312" w:cs="仿宋_GB2312"/>
        </w:rPr>
      </w:pPr>
      <w:r>
        <w:rPr>
          <w:rFonts w:hint="eastAsia" w:ascii="仿宋_GB2312" w:eastAsia="仿宋_GB2312" w:cs="仿宋_GB2312"/>
        </w:rPr>
        <w:t>（五）一般公共预算财政拨款支出决算情况说明</w:t>
      </w:r>
      <w:r>
        <w:rPr>
          <w:rFonts w:ascii="仿宋_GB2312" w:eastAsia="仿宋_GB2312" w:cs="Times New Roman"/>
        </w:rPr>
        <w:tab/>
      </w:r>
      <w:r>
        <w:rPr>
          <w:rFonts w:hint="eastAsia" w:ascii="仿宋_GB2312" w:eastAsia="仿宋_GB2312" w:cs="仿宋_GB2312"/>
        </w:rPr>
        <w:t>7</w:t>
      </w:r>
    </w:p>
    <w:p>
      <w:pPr>
        <w:tabs>
          <w:tab w:val="center" w:leader="dot" w:pos="8100"/>
        </w:tabs>
        <w:spacing w:line="500" w:lineRule="exact"/>
        <w:rPr>
          <w:rFonts w:ascii="仿宋_GB2312" w:eastAsia="仿宋_GB2312" w:cs="仿宋_GB2312"/>
        </w:rPr>
      </w:pPr>
      <w:r>
        <w:rPr>
          <w:rFonts w:hint="eastAsia" w:ascii="仿宋_GB2312" w:eastAsia="仿宋_GB2312" w:cs="仿宋_GB2312"/>
        </w:rPr>
        <w:t>（六）一般公共预算财政拨款基本支出决算情况说明</w:t>
      </w:r>
      <w:r>
        <w:rPr>
          <w:rFonts w:ascii="仿宋_GB2312" w:eastAsia="仿宋_GB2312" w:cs="Times New Roman"/>
        </w:rPr>
        <w:tab/>
      </w:r>
      <w:r>
        <w:rPr>
          <w:rFonts w:hint="eastAsia" w:ascii="仿宋_GB2312" w:eastAsia="仿宋_GB2312" w:cs="仿宋_GB2312"/>
        </w:rPr>
        <w:t>12</w:t>
      </w:r>
    </w:p>
    <w:p>
      <w:pPr>
        <w:tabs>
          <w:tab w:val="center" w:leader="dot" w:pos="8100"/>
        </w:tabs>
        <w:spacing w:line="500" w:lineRule="exact"/>
        <w:rPr>
          <w:rFonts w:ascii="仿宋_GB2312" w:eastAsia="仿宋_GB2312" w:cs="仿宋_GB2312"/>
        </w:rPr>
      </w:pPr>
      <w:r>
        <w:rPr>
          <w:rFonts w:hint="eastAsia" w:ascii="仿宋_GB2312" w:eastAsia="仿宋_GB2312" w:cs="仿宋_GB2312"/>
        </w:rPr>
        <w:t>（七）政府性基金预算财政拨款支出决算总体情况说明</w:t>
      </w:r>
      <w:r>
        <w:rPr>
          <w:rFonts w:ascii="仿宋_GB2312" w:eastAsia="仿宋_GB2312" w:cs="Times New Roman"/>
        </w:rPr>
        <w:tab/>
      </w:r>
      <w:r>
        <w:rPr>
          <w:rFonts w:hint="eastAsia" w:ascii="仿宋_GB2312" w:eastAsia="仿宋_GB2312" w:cs="仿宋_GB2312"/>
        </w:rPr>
        <w:t>12</w:t>
      </w:r>
    </w:p>
    <w:p>
      <w:pPr>
        <w:tabs>
          <w:tab w:val="center" w:leader="dot" w:pos="8100"/>
        </w:tabs>
        <w:spacing w:line="500" w:lineRule="exact"/>
        <w:rPr>
          <w:rFonts w:ascii="仿宋_GB2312" w:eastAsia="仿宋_GB2312" w:cs="仿宋_GB2312"/>
        </w:rPr>
      </w:pPr>
      <w:r>
        <w:rPr>
          <w:rFonts w:hint="eastAsia" w:ascii="仿宋_GB2312" w:eastAsia="仿宋_GB2312" w:cs="仿宋_GB2312"/>
        </w:rPr>
        <w:t>（八）国有资本经营预算财政拨款支出决算总体情况说明</w:t>
      </w:r>
      <w:r>
        <w:rPr>
          <w:rFonts w:ascii="仿宋_GB2312" w:eastAsia="仿宋_GB2312" w:cs="Times New Roman"/>
        </w:rPr>
        <w:tab/>
      </w:r>
      <w:r>
        <w:rPr>
          <w:rFonts w:hint="eastAsia" w:ascii="仿宋_GB2312" w:eastAsia="仿宋_GB2312" w:cs="仿宋_GB2312"/>
        </w:rPr>
        <w:t>14</w:t>
      </w:r>
    </w:p>
    <w:p>
      <w:pPr>
        <w:tabs>
          <w:tab w:val="center" w:leader="dot" w:pos="8100"/>
        </w:tabs>
        <w:spacing w:line="500" w:lineRule="exact"/>
        <w:rPr>
          <w:rFonts w:ascii="仿宋_GB2312" w:eastAsia="仿宋_GB2312" w:cs="仿宋_GB2312"/>
        </w:rPr>
      </w:pPr>
      <w:r>
        <w:rPr>
          <w:rFonts w:hint="eastAsia" w:ascii="仿宋_GB2312" w:eastAsia="仿宋_GB2312" w:cs="仿宋_GB2312"/>
        </w:rPr>
        <w:t>（九）一般公共预算财政拨款“三公”经费支出决算情况说明</w:t>
      </w:r>
      <w:r>
        <w:rPr>
          <w:rFonts w:ascii="仿宋_GB2312" w:eastAsia="仿宋_GB2312" w:cs="Times New Roman"/>
        </w:rPr>
        <w:tab/>
      </w:r>
      <w:r>
        <w:rPr>
          <w:rFonts w:hint="eastAsia" w:ascii="仿宋_GB2312" w:eastAsia="仿宋_GB2312" w:cs="仿宋_GB2312"/>
        </w:rPr>
        <w:t>14</w:t>
      </w:r>
    </w:p>
    <w:p>
      <w:pPr>
        <w:tabs>
          <w:tab w:val="center" w:leader="dot" w:pos="8100"/>
        </w:tabs>
        <w:spacing w:line="500" w:lineRule="exact"/>
        <w:rPr>
          <w:rFonts w:ascii="仿宋_GB2312" w:eastAsia="仿宋_GB2312" w:cs="仿宋_GB2312"/>
        </w:rPr>
      </w:pPr>
      <w:r>
        <w:rPr>
          <w:rFonts w:hint="eastAsia" w:ascii="仿宋_GB2312" w:eastAsia="仿宋_GB2312" w:cs="仿宋_GB2312"/>
        </w:rPr>
        <w:t>（十）机关运行经费支出说明</w:t>
      </w:r>
      <w:r>
        <w:rPr>
          <w:rFonts w:ascii="仿宋_GB2312" w:eastAsia="仿宋_GB2312" w:cs="Times New Roman"/>
        </w:rPr>
        <w:tab/>
      </w:r>
      <w:r>
        <w:rPr>
          <w:rFonts w:hint="eastAsia" w:ascii="仿宋_GB2312" w:eastAsia="仿宋_GB2312" w:cs="仿宋_GB2312"/>
        </w:rPr>
        <w:t>16</w:t>
      </w:r>
    </w:p>
    <w:p>
      <w:pPr>
        <w:tabs>
          <w:tab w:val="center" w:leader="dot" w:pos="8100"/>
        </w:tabs>
        <w:spacing w:line="500" w:lineRule="exact"/>
        <w:rPr>
          <w:rFonts w:ascii="仿宋_GB2312" w:eastAsia="仿宋_GB2312" w:cs="仿宋_GB2312"/>
        </w:rPr>
      </w:pPr>
      <w:r>
        <w:rPr>
          <w:rFonts w:hint="eastAsia" w:ascii="仿宋_GB2312" w:eastAsia="仿宋_GB2312" w:cs="仿宋_GB2312"/>
        </w:rPr>
        <w:t>（十一）政府采购支出说明</w:t>
      </w:r>
      <w:r>
        <w:rPr>
          <w:rFonts w:ascii="仿宋_GB2312" w:eastAsia="仿宋_GB2312" w:cs="Times New Roman"/>
        </w:rPr>
        <w:tab/>
      </w:r>
      <w:r>
        <w:rPr>
          <w:rFonts w:hint="eastAsia" w:ascii="仿宋_GB2312" w:eastAsia="仿宋_GB2312" w:cs="仿宋_GB2312"/>
        </w:rPr>
        <w:t>17</w:t>
      </w:r>
    </w:p>
    <w:p>
      <w:pPr>
        <w:tabs>
          <w:tab w:val="center" w:leader="dot" w:pos="8100"/>
        </w:tabs>
        <w:spacing w:line="500" w:lineRule="exact"/>
        <w:rPr>
          <w:rFonts w:ascii="仿宋_GB2312" w:eastAsia="仿宋_GB2312" w:cs="仿宋_GB2312"/>
        </w:rPr>
      </w:pPr>
      <w:r>
        <w:rPr>
          <w:rFonts w:hint="eastAsia" w:ascii="仿宋_GB2312" w:eastAsia="仿宋_GB2312" w:cs="仿宋_GB2312"/>
        </w:rPr>
        <w:t>（十二）国有资产占有情况说明</w:t>
      </w:r>
      <w:r>
        <w:rPr>
          <w:rFonts w:ascii="仿宋_GB2312" w:eastAsia="仿宋_GB2312" w:cs="Times New Roman"/>
        </w:rPr>
        <w:tab/>
      </w:r>
      <w:r>
        <w:rPr>
          <w:rFonts w:hint="eastAsia" w:ascii="仿宋_GB2312" w:eastAsia="仿宋_GB2312" w:cs="仿宋_GB2312"/>
        </w:rPr>
        <w:t>17</w:t>
      </w:r>
    </w:p>
    <w:p>
      <w:pPr>
        <w:tabs>
          <w:tab w:val="center" w:leader="dot" w:pos="8100"/>
        </w:tabs>
        <w:spacing w:line="500" w:lineRule="exact"/>
        <w:rPr>
          <w:rFonts w:ascii="仿宋_GB2312" w:eastAsia="仿宋_GB2312" w:cs="仿宋_GB2312"/>
        </w:rPr>
      </w:pPr>
      <w:r>
        <w:rPr>
          <w:rFonts w:hint="eastAsia" w:ascii="仿宋_GB2312" w:eastAsia="仿宋_GB2312" w:cs="仿宋_GB2312"/>
        </w:rPr>
        <w:t>（十三）预算绩效情况说明</w:t>
      </w:r>
      <w:r>
        <w:rPr>
          <w:rFonts w:ascii="仿宋_GB2312" w:eastAsia="仿宋_GB2312" w:cs="Times New Roman"/>
        </w:rPr>
        <w:tab/>
      </w:r>
      <w:r>
        <w:rPr>
          <w:rFonts w:hint="eastAsia" w:ascii="仿宋_GB2312" w:eastAsia="仿宋_GB2312" w:cs="仿宋_GB2312"/>
        </w:rPr>
        <w:t>17</w:t>
      </w:r>
    </w:p>
    <w:p>
      <w:pPr>
        <w:tabs>
          <w:tab w:val="center" w:leader="dot" w:pos="8100"/>
        </w:tabs>
        <w:spacing w:line="500" w:lineRule="exact"/>
        <w:rPr>
          <w:rFonts w:ascii="仿宋_GB2312" w:eastAsia="仿宋_GB2312" w:cs="仿宋_GB2312"/>
        </w:rPr>
      </w:pPr>
      <w:r>
        <w:rPr>
          <w:rFonts w:hint="eastAsia" w:ascii="仿宋_GB2312" w:eastAsia="仿宋_GB2312" w:cs="仿宋_GB2312"/>
        </w:rPr>
        <w:t>四、名词解释</w:t>
      </w:r>
      <w:r>
        <w:rPr>
          <w:rFonts w:ascii="仿宋_GB2312" w:eastAsia="仿宋_GB2312" w:cs="Times New Roman"/>
        </w:rPr>
        <w:tab/>
      </w:r>
      <w:r>
        <w:rPr>
          <w:rFonts w:hint="eastAsia" w:ascii="仿宋_GB2312" w:eastAsia="仿宋_GB2312" w:cs="仿宋_GB2312"/>
        </w:rPr>
        <w:t>24</w:t>
      </w:r>
    </w:p>
    <w:p>
      <w:pPr>
        <w:rPr>
          <w:rFonts w:cs="Times New Roman"/>
        </w:rPr>
      </w:pPr>
    </w:p>
    <w:p>
      <w:pPr>
        <w:rPr>
          <w:rFonts w:cs="Times New Roman"/>
        </w:rPr>
      </w:pPr>
    </w:p>
    <w:p>
      <w:pPr>
        <w:rPr>
          <w:rFonts w:cs="Times New Roman"/>
        </w:rPr>
      </w:pPr>
    </w:p>
    <w:p>
      <w:pPr>
        <w:rPr>
          <w:rFonts w:cs="Times New Roman"/>
        </w:rPr>
      </w:pPr>
    </w:p>
    <w:p>
      <w:pPr>
        <w:rPr>
          <w:rFonts w:cs="Times New Roman"/>
        </w:rPr>
      </w:pPr>
      <w:bookmarkStart w:id="0" w:name="_GoBack"/>
      <w:bookmarkEnd w:id="0"/>
    </w:p>
    <w:p>
      <w:pPr>
        <w:spacing w:line="600" w:lineRule="exact"/>
        <w:ind w:firstLine="640"/>
        <w:jc w:val="both"/>
        <w:rPr>
          <w:rFonts w:cs="Times New Roman"/>
        </w:rPr>
      </w:pPr>
      <w:r>
        <w:rPr>
          <w:rStyle w:val="7"/>
          <w:rFonts w:hint="eastAsia" w:ascii="黑体" w:hAnsi="黑体" w:eastAsia="黑体" w:cs="黑体"/>
          <w:sz w:val="32"/>
          <w:szCs w:val="32"/>
        </w:rPr>
        <w:t>一、概况</w:t>
      </w:r>
    </w:p>
    <w:p>
      <w:pPr>
        <w:spacing w:line="600" w:lineRule="exact"/>
        <w:ind w:firstLine="640"/>
        <w:jc w:val="both"/>
        <w:rPr>
          <w:rFonts w:cs="Times New Roman"/>
        </w:rPr>
      </w:pPr>
      <w:r>
        <w:rPr>
          <w:rStyle w:val="7"/>
          <w:rFonts w:hint="eastAsia" w:ascii="楷体" w:hAnsi="楷体" w:eastAsia="楷体" w:cs="楷体"/>
          <w:sz w:val="32"/>
          <w:szCs w:val="32"/>
        </w:rPr>
        <w:t>（一）部门（单位）职责</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组织编制城镇住房保障发展规划和年度计划并监督实施，拟订城镇住房保障政策并指导实施。牵头监督指导全市保障性安居工程建设，负责城镇低收入住房困难家庭基本住房保障。会同有关部门承担保障性安居工程资金安排等相关工作。</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、拟订全市住房建设规划、住房政策并指导实施。指导住房建设和住房制度改革，研究住房和城乡建设的重大问题。</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负责住房和城乡建设领域资质资格管理，按照职责分工指导或组织对住房和城乡建设领域违法违规行为进行查处。落实建筑活动监管中的生态环境保护要求，按照职责分工指导协调城市建筑工地、城镇管理基础设施涉及的污染防治工作。负责建筑、房地产行业安全生产监督管理，指导城市建设的安全生产管理工作。</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、拟订全市工程建设和工程造价计价行政规范性文件并指导监督实施；负责公共服务设施（不含通信设施）建设标准的监督实施，指导监督各类工程建设标准定额实施和工程造价计价，组织发布工程造价信息。</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拟订房地产市场监管政策并监督执行，组织开展房地产市场的监测分析，提出房地产业的行业发展规划和产业政策建议，负责房地产开发、房屋交易、房屋租赁、直管公房、房屋面积、房地产估价与经纪、物业管理、房屋征收补偿、房屋使用安全、房屋白蚁防治等管理制度的实施和监督。</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、拟订全市城乡建设事业的政策、发展规划并指导监督实施，参与推进城市化工作，指导全市城乡排水、燃气、园林绿化、城市道路、污水处理等市政公用基础设施规划建设、运营安全和应急管理工作。</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、拟订村镇建设管理、城市管理行政规范性文件并指导实施；参与全市农村人居环境提升相关工作，参与乡村振兴战略和美丽乡村建设。指导农房设计、农村住房建设和安全及危房改造。</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贯彻执行国家、省和台州市关于城市管理工作的法律法规规章和方针政策，负责编制城市管理发展战略、中长期发展规划和年度计划，并组织实施。负责对全市市政公用设施运行管理、园林绿化管理、物业管理工作的指导、协调、检查和监督。按照职责分工指导协调城镇基础设施运行管理涉及的污染防治工作。指导城市管理与运行的安全生产管理工作。做好城市管理领域城镇减排工作。负责市管的市政公用设施运行管理、园林绿化管理、物业管理及涉及到的相关行政许可。会同财政部门编制城市管理维护经费年度计划，并组织实施和监管使用。</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9</w:t>
      </w:r>
      <w:r>
        <w:rPr>
          <w:rFonts w:hint="eastAsia" w:ascii="仿宋_GB2312" w:hAnsi="仿宋" w:eastAsia="仿宋_GB2312" w:cs="仿宋_GB2312"/>
          <w:sz w:val="32"/>
          <w:szCs w:val="32"/>
        </w:rPr>
        <w:t>、制定建筑业、勘察设计业、监理造价咨询业发展规划、产业政策并组织实施，制定建筑市场制度和信用标准并监督执行，组织推进建筑工业化、工程总承包、全过程工程咨询，指导建筑业企业对外承包工程，按照职责分工对建设工程招标投标活动实施监督。</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10</w:t>
      </w:r>
      <w:r>
        <w:rPr>
          <w:rFonts w:hint="eastAsia" w:ascii="仿宋_GB2312" w:hAnsi="仿宋" w:eastAsia="仿宋_GB2312" w:cs="仿宋_GB2312"/>
          <w:sz w:val="32"/>
          <w:szCs w:val="32"/>
        </w:rPr>
        <w:t>、制定建筑工程质量安全发展战略、规划并组织实施。制定建筑工程施工、建筑工程质量、建筑安全生产和竣工验收备案的政策、规章制度并监督执行。组织或参与工程较大质量、安全事故的调查处理，制定建筑业技术政策并指导实施，组织推进工程质量安全标准化管理和品牌工程创建工作。</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11</w:t>
      </w:r>
      <w:r>
        <w:rPr>
          <w:rFonts w:hint="eastAsia" w:ascii="仿宋_GB2312" w:hAnsi="仿宋" w:eastAsia="仿宋_GB2312" w:cs="仿宋_GB2312"/>
          <w:sz w:val="32"/>
          <w:szCs w:val="32"/>
        </w:rPr>
        <w:t>、拟订全市住房和城乡建设的科技发展规划和政策，会同有关部门拟订建筑节能与绿色建筑的政策、规划并监督实施，按照职责分工推进住房和城乡建设领域城镇减排工作。指导历史文化名城名镇名村保护、城市地下空间开发利用建设管理、城市雕塑建设等工作。</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12</w:t>
      </w:r>
      <w:r>
        <w:rPr>
          <w:rFonts w:hint="eastAsia" w:ascii="仿宋_GB2312" w:hAnsi="仿宋" w:eastAsia="仿宋_GB2312" w:cs="仿宋_GB2312"/>
          <w:sz w:val="32"/>
          <w:szCs w:val="32"/>
        </w:rPr>
        <w:t>、组织实施住房和城乡建设管理方面的国际金融组织贷款项目和对外交流合作。</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13</w:t>
      </w:r>
      <w:r>
        <w:rPr>
          <w:rFonts w:hint="eastAsia" w:ascii="仿宋_GB2312" w:hAnsi="仿宋" w:eastAsia="仿宋_GB2312" w:cs="仿宋_GB2312"/>
          <w:sz w:val="32"/>
          <w:szCs w:val="32"/>
        </w:rPr>
        <w:t>、受市政府委托管理市住房委员会办公室。</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14</w:t>
      </w:r>
      <w:r>
        <w:rPr>
          <w:rFonts w:hint="eastAsia" w:ascii="仿宋_GB2312" w:hAnsi="仿宋" w:eastAsia="仿宋_GB2312" w:cs="仿宋_GB2312"/>
          <w:sz w:val="32"/>
          <w:szCs w:val="32"/>
        </w:rPr>
        <w:t>、拟订人民防空规范性文件。负责人民防空专项规划（人民防空工程建设规划）编制、报批并监督实施。组织开展人民防空战备工作。负责人民防空信息化建设。会同有关部门编制重要经济目标防护目录。组织人民防空工程建设。参与军民融合建设。负责人民防空宣传教育。负责人民防空科学技术管理工作。战时根据市委、市政府和军事指挥机构决定，发布人民防空的有关命令和指示。</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15</w:t>
      </w:r>
      <w:r>
        <w:rPr>
          <w:rFonts w:hint="eastAsia" w:ascii="仿宋_GB2312" w:hAnsi="仿宋" w:eastAsia="仿宋_GB2312" w:cs="仿宋_GB2312"/>
          <w:sz w:val="32"/>
          <w:szCs w:val="32"/>
        </w:rPr>
        <w:t>、指导与监督管理建设工程消防设计审查验收。</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16</w:t>
      </w:r>
      <w:r>
        <w:rPr>
          <w:rFonts w:hint="eastAsia" w:ascii="仿宋_GB2312" w:hAnsi="仿宋" w:eastAsia="仿宋_GB2312" w:cs="仿宋_GB2312"/>
          <w:sz w:val="32"/>
          <w:szCs w:val="32"/>
        </w:rPr>
        <w:t>、完成市委、市政府和市人武部、市国防动员委员会交办的其他任务。</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17</w:t>
      </w:r>
      <w:r>
        <w:rPr>
          <w:rFonts w:hint="eastAsia" w:ascii="仿宋_GB2312" w:hAnsi="仿宋" w:eastAsia="仿宋_GB2312" w:cs="仿宋_GB2312"/>
          <w:sz w:val="32"/>
          <w:szCs w:val="32"/>
        </w:rPr>
        <w:t>、职能转变。按照“两个高水平”建设目标，全面推进基础设施现代化和城乡一体化建设，加强城市基础设施配套保障，提升城市综合承载力和辐射力，高质量推进城乡环境整治，改善城乡人居环境。加强房地产市场分类调控，全面实施多主体供给、多渠道保障、租购并举的住房制度，稳步扩大住房保障覆盖面，全面提升保障性住房建设管理水平。深入推进住房和城乡建设领域“最多跑一次”改革，继续牵头深化工程建设项目审批制度改革，不断优化审批流程。继续精简、取消、下放建设行业的办事事项，推进行业治理体系和治理能力现代化。</w:t>
      </w:r>
    </w:p>
    <w:p>
      <w:pPr>
        <w:spacing w:line="600" w:lineRule="exact"/>
        <w:ind w:firstLine="641"/>
        <w:jc w:val="both"/>
        <w:rPr>
          <w:rFonts w:ascii="仿宋_GB2312" w:hAnsi="仿宋" w:eastAsia="仿宋_GB2312" w:cs="Times New Roman"/>
          <w:sz w:val="32"/>
          <w:szCs w:val="32"/>
        </w:rPr>
      </w:pPr>
      <w:r>
        <w:rPr>
          <w:rFonts w:hint="eastAsia" w:ascii="仿宋_GB2312" w:hAnsi="仿宋" w:eastAsia="仿宋_GB2312" w:cs="仿宋_GB2312"/>
          <w:sz w:val="32"/>
          <w:szCs w:val="32"/>
        </w:rPr>
        <w:t>切实履行战时防空、平时服务、应急支援使命任务，推动人防建设与经济社会民生深度融合，构建形成全民防护体系，铸就坚不可摧的护民之盾。坚持战备建设牵引，推进人民防空指挥部常态化建设，构建适应现代战争的人防组织指挥体系。坚持城市防护与重要经济目标防护并重，提升人防建设信息化水平，构建基于信息系统的综合防护体系。坚持平战结合，深度开发利用人防资产资源，不断提高战备效益、社会效益和经济效益。深化“放管服”改革，推进简政放权，努力构建现代人防建设市场体系。</w:t>
      </w:r>
    </w:p>
    <w:p>
      <w:pPr>
        <w:spacing w:line="600" w:lineRule="exact"/>
        <w:ind w:firstLine="641"/>
        <w:jc w:val="both"/>
        <w:rPr>
          <w:rFonts w:ascii="仿宋_GB2312" w:hAnsi="仿宋" w:eastAsia="仿宋_GB2312" w:cs="Times New Roman"/>
          <w:sz w:val="32"/>
          <w:szCs w:val="32"/>
        </w:rPr>
      </w:pPr>
      <w:r>
        <w:rPr>
          <w:rFonts w:ascii="仿宋_GB2312" w:hAnsi="仿宋" w:eastAsia="仿宋_GB2312" w:cs="仿宋_GB2312"/>
          <w:sz w:val="32"/>
          <w:szCs w:val="32"/>
        </w:rPr>
        <w:t>18</w:t>
      </w:r>
      <w:r>
        <w:rPr>
          <w:rFonts w:hint="eastAsia" w:ascii="仿宋_GB2312" w:hAnsi="仿宋" w:eastAsia="仿宋_GB2312" w:cs="仿宋_GB2312"/>
          <w:sz w:val="32"/>
          <w:szCs w:val="32"/>
        </w:rPr>
        <w:t>、关于重要经济目标防护建设的职责分工。市发展和改革局会同市住房和城乡建设局按照重要经济目标建设和管理有关规定，健全完善目录管理，协调行业主管部门编制重要经济目标建设防护规划，履行管理职能。市住房和城乡建设局会同市发展和改革局编制重要经济目标防护目录，依照规定对重要经济目标防护建设进行监督检查，指导重要经济目标单位开展防护专业队伍建设和训练演练。　</w:t>
      </w:r>
    </w:p>
    <w:p>
      <w:pPr>
        <w:spacing w:line="600" w:lineRule="exact"/>
        <w:ind w:firstLine="640"/>
        <w:jc w:val="both"/>
        <w:rPr>
          <w:rFonts w:cs="Times New Roman"/>
        </w:rPr>
      </w:pPr>
      <w:r>
        <w:rPr>
          <w:rStyle w:val="7"/>
          <w:rFonts w:hint="eastAsia" w:ascii="楷体" w:hAnsi="楷体" w:eastAsia="楷体" w:cs="楷体"/>
          <w:sz w:val="32"/>
          <w:szCs w:val="32"/>
        </w:rPr>
        <w:t>（二）机构设置</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从预算单位构成看，本单位是温岭市住房和城乡建设局下的二级预算单位。</w:t>
      </w:r>
    </w:p>
    <w:p>
      <w:pPr>
        <w:spacing w:line="600" w:lineRule="exact"/>
        <w:ind w:firstLine="640"/>
        <w:jc w:val="both"/>
        <w:rPr>
          <w:rFonts w:ascii="仿宋_GB2312" w:hAnsi="仿宋" w:eastAsia="仿宋_GB2312" w:cs="Times New Roman"/>
          <w:sz w:val="32"/>
          <w:szCs w:val="32"/>
        </w:rPr>
      </w:pPr>
      <w:r>
        <w:rPr>
          <w:rFonts w:hint="eastAsia" w:ascii="仿宋_GB2312" w:hAnsi="仿宋" w:eastAsia="仿宋_GB2312" w:cs="仿宋_GB2312"/>
          <w:sz w:val="32"/>
          <w:szCs w:val="32"/>
        </w:rPr>
        <w:t>纳入台州市温岭市住房和城乡建设局（本级）</w:t>
      </w:r>
      <w:r>
        <w:rPr>
          <w:rFonts w:ascii="仿宋_GB2312" w:hAnsi="仿宋" w:eastAsia="仿宋_GB2312" w:cs="仿宋_GB2312"/>
          <w:sz w:val="32"/>
          <w:szCs w:val="32"/>
        </w:rPr>
        <w:t>2020</w:t>
      </w:r>
      <w:r>
        <w:rPr>
          <w:rFonts w:hint="eastAsia" w:ascii="仿宋_GB2312" w:hAnsi="仿宋" w:eastAsia="仿宋_GB2312" w:cs="仿宋_GB2312"/>
          <w:sz w:val="32"/>
          <w:szCs w:val="32"/>
        </w:rPr>
        <w:t>年度部门决算编制范围的二级预算单位包括：</w:t>
      </w:r>
    </w:p>
    <w:p>
      <w:pPr>
        <w:spacing w:line="600" w:lineRule="exact"/>
        <w:ind w:firstLine="480" w:firstLineChars="150"/>
        <w:jc w:val="both"/>
        <w:rPr>
          <w:rFonts w:ascii="仿宋_GB2312" w:eastAsia="仿宋_GB2312" w:cs="Times New Roman"/>
        </w:rPr>
      </w:pPr>
      <w:r>
        <w:rPr>
          <w:rFonts w:ascii="仿宋_GB2312" w:hAnsi="仿宋" w:eastAsia="仿宋_GB2312" w:cs="仿宋_GB2312"/>
          <w:sz w:val="32"/>
          <w:szCs w:val="32"/>
        </w:rPr>
        <w:t xml:space="preserve"> 1. </w:t>
      </w:r>
      <w:r>
        <w:rPr>
          <w:rFonts w:hint="eastAsia" w:ascii="仿宋_GB2312" w:hAnsi="仿宋" w:eastAsia="仿宋_GB2312" w:cs="仿宋_GB2312"/>
          <w:sz w:val="32"/>
          <w:szCs w:val="32"/>
        </w:rPr>
        <w:t>温岭市住房和城乡建设局（本级）</w:t>
      </w:r>
    </w:p>
    <w:p>
      <w:pPr>
        <w:spacing w:line="600" w:lineRule="exact"/>
        <w:ind w:firstLine="640"/>
        <w:jc w:val="both"/>
        <w:rPr>
          <w:rFonts w:ascii="仿宋_GB2312" w:hAnsi="仿宋" w:eastAsia="仿宋_GB2312" w:cs="Times New Roman"/>
          <w:sz w:val="32"/>
          <w:szCs w:val="32"/>
        </w:rPr>
      </w:pPr>
      <w:r>
        <w:rPr>
          <w:rFonts w:ascii="仿宋_GB2312" w:hAnsi="仿宋" w:eastAsia="仿宋_GB2312" w:cs="仿宋_GB2312"/>
          <w:sz w:val="32"/>
          <w:szCs w:val="32"/>
        </w:rPr>
        <w:t xml:space="preserve">2. </w:t>
      </w:r>
      <w:r>
        <w:rPr>
          <w:rFonts w:hint="eastAsia" w:ascii="仿宋_GB2312" w:hAnsi="仿宋" w:eastAsia="仿宋_GB2312" w:cs="仿宋_GB2312"/>
          <w:sz w:val="32"/>
          <w:szCs w:val="32"/>
        </w:rPr>
        <w:t>温岭市人防工程实务所</w:t>
      </w:r>
    </w:p>
    <w:p>
      <w:pPr>
        <w:spacing w:line="600" w:lineRule="exact"/>
        <w:ind w:firstLine="640"/>
        <w:jc w:val="both"/>
        <w:rPr>
          <w:rFonts w:ascii="仿宋_GB2312" w:hAnsi="仿宋" w:eastAsia="仿宋_GB2312" w:cs="Times New Roman"/>
          <w:sz w:val="32"/>
          <w:szCs w:val="32"/>
        </w:rPr>
      </w:pPr>
      <w:r>
        <w:rPr>
          <w:rFonts w:ascii="仿宋_GB2312" w:hAnsi="仿宋" w:eastAsia="仿宋_GB2312" w:cs="仿宋_GB2312"/>
          <w:sz w:val="32"/>
          <w:szCs w:val="32"/>
        </w:rPr>
        <w:t xml:space="preserve">3. </w:t>
      </w:r>
      <w:r>
        <w:rPr>
          <w:rFonts w:hint="eastAsia" w:ascii="仿宋_GB2312" w:hAnsi="仿宋" w:eastAsia="仿宋_GB2312" w:cs="仿宋_GB2312"/>
          <w:sz w:val="32"/>
          <w:szCs w:val="32"/>
        </w:rPr>
        <w:t>温岭市园林绿化养护事务中心</w:t>
      </w:r>
    </w:p>
    <w:p>
      <w:pPr>
        <w:spacing w:line="600" w:lineRule="exact"/>
        <w:ind w:firstLine="640"/>
        <w:jc w:val="both"/>
        <w:rPr>
          <w:rFonts w:ascii="仿宋_GB2312" w:hAnsi="仿宋" w:eastAsia="仿宋_GB2312" w:cs="Times New Roman"/>
          <w:sz w:val="32"/>
          <w:szCs w:val="32"/>
        </w:rPr>
      </w:pPr>
      <w:r>
        <w:rPr>
          <w:rFonts w:ascii="仿宋_GB2312" w:hAnsi="仿宋" w:eastAsia="仿宋_GB2312" w:cs="仿宋_GB2312"/>
          <w:sz w:val="32"/>
          <w:szCs w:val="32"/>
        </w:rPr>
        <w:t xml:space="preserve">4. </w:t>
      </w:r>
      <w:r>
        <w:rPr>
          <w:rFonts w:hint="eastAsia" w:ascii="仿宋_GB2312" w:hAnsi="仿宋" w:eastAsia="仿宋_GB2312" w:cs="仿宋_GB2312"/>
          <w:sz w:val="32"/>
          <w:szCs w:val="32"/>
        </w:rPr>
        <w:t>温岭市城建档案馆</w:t>
      </w:r>
    </w:p>
    <w:p>
      <w:pPr>
        <w:spacing w:line="600" w:lineRule="exact"/>
        <w:ind w:firstLine="640"/>
        <w:jc w:val="both"/>
        <w:rPr>
          <w:rFonts w:ascii="仿宋_GB2312" w:hAnsi="仿宋" w:eastAsia="仿宋_GB2312" w:cs="Times New Roman"/>
          <w:sz w:val="32"/>
          <w:szCs w:val="32"/>
        </w:rPr>
      </w:pPr>
      <w:r>
        <w:rPr>
          <w:rFonts w:ascii="仿宋_GB2312" w:hAnsi="仿宋" w:eastAsia="仿宋_GB2312" w:cs="仿宋_GB2312"/>
          <w:sz w:val="32"/>
          <w:szCs w:val="32"/>
        </w:rPr>
        <w:t xml:space="preserve">5. </w:t>
      </w:r>
      <w:r>
        <w:rPr>
          <w:rFonts w:hint="eastAsia" w:ascii="仿宋_GB2312" w:hAnsi="仿宋" w:eastAsia="仿宋_GB2312" w:cs="仿宋_GB2312"/>
          <w:sz w:val="32"/>
          <w:szCs w:val="32"/>
        </w:rPr>
        <w:t>温岭市建筑工程事务中心</w:t>
      </w:r>
    </w:p>
    <w:p>
      <w:pPr>
        <w:spacing w:line="600" w:lineRule="exact"/>
        <w:ind w:firstLine="640"/>
        <w:jc w:val="both"/>
        <w:rPr>
          <w:rFonts w:ascii="仿宋_GB2312" w:hAnsi="仿宋" w:eastAsia="仿宋_GB2312" w:cs="Times New Roman"/>
          <w:sz w:val="32"/>
          <w:szCs w:val="32"/>
        </w:rPr>
      </w:pPr>
      <w:r>
        <w:rPr>
          <w:rFonts w:ascii="仿宋_GB2312" w:hAnsi="仿宋" w:eastAsia="仿宋_GB2312" w:cs="仿宋_GB2312"/>
          <w:sz w:val="32"/>
          <w:szCs w:val="32"/>
        </w:rPr>
        <w:t xml:space="preserve">6. </w:t>
      </w:r>
      <w:r>
        <w:rPr>
          <w:rFonts w:hint="eastAsia" w:ascii="仿宋_GB2312" w:hAnsi="仿宋" w:eastAsia="仿宋_GB2312" w:cs="仿宋_GB2312"/>
          <w:sz w:val="32"/>
          <w:szCs w:val="32"/>
        </w:rPr>
        <w:t>温岭市建设工程安全服务中心</w:t>
      </w:r>
    </w:p>
    <w:p>
      <w:pPr>
        <w:spacing w:line="600" w:lineRule="exact"/>
        <w:ind w:firstLine="640"/>
        <w:jc w:val="both"/>
        <w:rPr>
          <w:rFonts w:ascii="仿宋_GB2312" w:hAnsi="仿宋" w:eastAsia="仿宋_GB2312" w:cs="Times New Roman"/>
          <w:sz w:val="32"/>
          <w:szCs w:val="32"/>
        </w:rPr>
      </w:pPr>
      <w:r>
        <w:rPr>
          <w:rFonts w:ascii="仿宋_GB2312" w:hAnsi="仿宋" w:eastAsia="仿宋_GB2312" w:cs="仿宋_GB2312"/>
          <w:sz w:val="32"/>
          <w:szCs w:val="32"/>
        </w:rPr>
        <w:t xml:space="preserve">7. </w:t>
      </w:r>
      <w:r>
        <w:rPr>
          <w:rFonts w:hint="eastAsia" w:ascii="仿宋_GB2312" w:hAnsi="仿宋" w:eastAsia="仿宋_GB2312" w:cs="仿宋_GB2312"/>
          <w:sz w:val="32"/>
          <w:szCs w:val="32"/>
        </w:rPr>
        <w:t>温岭市市政公用工程建设中心</w:t>
      </w:r>
    </w:p>
    <w:p>
      <w:pPr>
        <w:spacing w:line="600" w:lineRule="exact"/>
        <w:ind w:firstLine="640"/>
        <w:jc w:val="both"/>
        <w:rPr>
          <w:rFonts w:ascii="仿宋_GB2312" w:hAnsi="仿宋" w:eastAsia="仿宋_GB2312" w:cs="Times New Roman"/>
          <w:sz w:val="32"/>
          <w:szCs w:val="32"/>
        </w:rPr>
      </w:pPr>
      <w:r>
        <w:rPr>
          <w:rFonts w:hint="eastAsia" w:ascii="仿宋_GB2312" w:hAnsi="仿宋" w:eastAsia="仿宋_GB2312" w:cs="仿宋_GB2312"/>
          <w:sz w:val="32"/>
          <w:szCs w:val="32"/>
        </w:rPr>
        <w:t>从预算单位构成看，本单位内设：办公室（挂法制监察科牌子）、房地产市场监管科（挂物业管理办公室牌子）、城乡建设科（挂安全生产办公室牌子）、建筑市场监管科、工程质量安全监管科、人防管理科（挂指挥通信科牌子）、行政审批科、消防设计审查验收科。</w:t>
      </w:r>
    </w:p>
    <w:p>
      <w:pPr>
        <w:spacing w:line="600" w:lineRule="exact"/>
        <w:ind w:firstLine="640"/>
        <w:jc w:val="both"/>
        <w:rPr>
          <w:rFonts w:cs="Times New Roman"/>
        </w:rPr>
      </w:pPr>
      <w:r>
        <w:rPr>
          <w:rStyle w:val="7"/>
          <w:rFonts w:hint="eastAsia" w:ascii="黑体" w:hAnsi="黑体" w:eastAsia="黑体" w:cs="黑体"/>
          <w:sz w:val="32"/>
          <w:szCs w:val="32"/>
        </w:rPr>
        <w:t>二、</w:t>
      </w:r>
      <w:r>
        <w:rPr>
          <w:rStyle w:val="7"/>
          <w:rFonts w:ascii="黑体" w:hAnsi="黑体" w:eastAsia="黑体" w:cs="黑体"/>
          <w:sz w:val="32"/>
          <w:szCs w:val="32"/>
        </w:rPr>
        <w:t>2020</w:t>
      </w:r>
      <w:r>
        <w:rPr>
          <w:rStyle w:val="7"/>
          <w:rFonts w:hint="eastAsia" w:ascii="黑体" w:hAnsi="黑体" w:eastAsia="黑体" w:cs="黑体"/>
          <w:sz w:val="32"/>
          <w:szCs w:val="32"/>
        </w:rPr>
        <w:t>年度部门（单位）决算公开表</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详见附表。</w:t>
      </w:r>
    </w:p>
    <w:p>
      <w:pPr>
        <w:spacing w:line="600" w:lineRule="exact"/>
        <w:ind w:firstLine="640"/>
        <w:jc w:val="both"/>
        <w:rPr>
          <w:rFonts w:cs="Times New Roman"/>
        </w:rPr>
      </w:pPr>
      <w:r>
        <w:rPr>
          <w:rStyle w:val="7"/>
          <w:rFonts w:hint="eastAsia" w:ascii="黑体" w:hAnsi="黑体" w:eastAsia="黑体" w:cs="黑体"/>
          <w:sz w:val="32"/>
          <w:szCs w:val="32"/>
        </w:rPr>
        <w:t>三、</w:t>
      </w:r>
      <w:r>
        <w:rPr>
          <w:rStyle w:val="7"/>
          <w:rFonts w:ascii="黑体" w:hAnsi="黑体" w:eastAsia="黑体" w:cs="黑体"/>
          <w:sz w:val="32"/>
          <w:szCs w:val="32"/>
        </w:rPr>
        <w:t>2020</w:t>
      </w:r>
      <w:r>
        <w:rPr>
          <w:rStyle w:val="7"/>
          <w:rFonts w:hint="eastAsia" w:ascii="黑体" w:hAnsi="黑体" w:eastAsia="黑体" w:cs="黑体"/>
          <w:sz w:val="32"/>
          <w:szCs w:val="32"/>
        </w:rPr>
        <w:t>年度部门（单位）决算情况说明</w:t>
      </w:r>
    </w:p>
    <w:p>
      <w:pPr>
        <w:spacing w:line="600" w:lineRule="exact"/>
        <w:ind w:firstLine="640"/>
        <w:jc w:val="both"/>
        <w:rPr>
          <w:rStyle w:val="7"/>
          <w:rFonts w:ascii="楷体" w:hAnsi="楷体" w:eastAsia="楷体" w:cs="Times New Roman"/>
          <w:sz w:val="32"/>
          <w:szCs w:val="32"/>
        </w:rPr>
      </w:pPr>
      <w:r>
        <w:rPr>
          <w:rStyle w:val="7"/>
          <w:rFonts w:hint="eastAsia" w:ascii="楷体" w:hAnsi="楷体" w:eastAsia="楷体" w:cs="楷体"/>
          <w:sz w:val="32"/>
          <w:szCs w:val="32"/>
        </w:rPr>
        <w:t>（一）收入支出决算总体情况说明</w:t>
      </w:r>
    </w:p>
    <w:p>
      <w:pPr>
        <w:spacing w:line="60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年度收入总计</w:t>
      </w:r>
      <w:r>
        <w:rPr>
          <w:rFonts w:ascii="仿宋_GB2312" w:hAnsi="仿宋" w:eastAsia="仿宋_GB2312" w:cs="仿宋_GB2312"/>
          <w:sz w:val="32"/>
          <w:szCs w:val="32"/>
        </w:rPr>
        <w:t>36,179.23</w:t>
      </w:r>
      <w:r>
        <w:rPr>
          <w:rFonts w:hint="eastAsia" w:ascii="仿宋_GB2312" w:hAnsi="仿宋" w:eastAsia="仿宋_GB2312" w:cs="仿宋_GB2312"/>
          <w:sz w:val="32"/>
          <w:szCs w:val="32"/>
        </w:rPr>
        <w:t>万元，支出总计</w:t>
      </w:r>
      <w:r>
        <w:rPr>
          <w:rFonts w:ascii="仿宋_GB2312" w:hAnsi="仿宋" w:eastAsia="仿宋_GB2312" w:cs="仿宋_GB2312"/>
          <w:sz w:val="32"/>
          <w:szCs w:val="32"/>
        </w:rPr>
        <w:t>36,179.23</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与</w:t>
      </w:r>
      <w:r>
        <w:rPr>
          <w:rFonts w:ascii="仿宋_GB2312" w:hAnsi="仿宋" w:eastAsia="仿宋_GB2312" w:cs="仿宋_GB2312"/>
          <w:sz w:val="32"/>
          <w:szCs w:val="32"/>
        </w:rPr>
        <w:t>2019</w:t>
      </w:r>
      <w:r>
        <w:rPr>
          <w:rFonts w:hint="eastAsia" w:ascii="仿宋_GB2312" w:hAnsi="仿宋" w:eastAsia="仿宋_GB2312" w:cs="仿宋_GB2312"/>
          <w:sz w:val="32"/>
          <w:szCs w:val="32"/>
        </w:rPr>
        <w:t>年度相比，各减少</w:t>
      </w:r>
      <w:r>
        <w:rPr>
          <w:rFonts w:ascii="仿宋_GB2312" w:hAnsi="仿宋" w:eastAsia="仿宋_GB2312" w:cs="仿宋_GB2312"/>
          <w:sz w:val="32"/>
          <w:szCs w:val="32"/>
        </w:rPr>
        <w:t>4,642.72</w:t>
      </w:r>
      <w:r>
        <w:rPr>
          <w:rFonts w:hint="eastAsia" w:ascii="仿宋_GB2312" w:hAnsi="仿宋" w:eastAsia="仿宋_GB2312" w:cs="仿宋_GB2312"/>
          <w:sz w:val="32"/>
          <w:szCs w:val="32"/>
        </w:rPr>
        <w:t>万元，下降</w:t>
      </w:r>
      <w:r>
        <w:rPr>
          <w:rFonts w:ascii="仿宋_GB2312" w:hAnsi="仿宋" w:eastAsia="仿宋_GB2312" w:cs="仿宋_GB2312"/>
          <w:sz w:val="32"/>
          <w:szCs w:val="32"/>
        </w:rPr>
        <w:t>11.37%</w:t>
      </w:r>
      <w:r>
        <w:rPr>
          <w:rFonts w:hint="eastAsia" w:ascii="仿宋_GB2312" w:hAnsi="仿宋" w:eastAsia="仿宋_GB2312" w:cs="仿宋_GB2312"/>
          <w:sz w:val="32"/>
          <w:szCs w:val="32"/>
        </w:rPr>
        <w:t>。主要原因是：</w:t>
      </w:r>
      <w:r>
        <w:rPr>
          <w:rFonts w:ascii="仿宋_GB2312" w:hAnsi="仿宋" w:eastAsia="仿宋_GB2312" w:cs="仿宋_GB2312"/>
          <w:sz w:val="32"/>
          <w:szCs w:val="32"/>
        </w:rPr>
        <w:t>2020</w:t>
      </w:r>
      <w:r>
        <w:rPr>
          <w:rFonts w:hint="eastAsia" w:ascii="仿宋_GB2312" w:hAnsi="仿宋" w:eastAsia="仿宋_GB2312" w:cs="仿宋_GB2312"/>
          <w:sz w:val="32"/>
          <w:szCs w:val="32"/>
        </w:rPr>
        <w:t>年度项目支出减少。</w:t>
      </w:r>
    </w:p>
    <w:p>
      <w:pPr>
        <w:spacing w:line="600" w:lineRule="exact"/>
        <w:ind w:firstLine="640"/>
        <w:jc w:val="both"/>
        <w:rPr>
          <w:rFonts w:cs="Times New Roman"/>
        </w:rPr>
      </w:pPr>
      <w:r>
        <w:rPr>
          <w:rStyle w:val="7"/>
          <w:rFonts w:hint="eastAsia" w:ascii="楷体" w:hAnsi="楷体" w:eastAsia="楷体" w:cs="楷体"/>
          <w:sz w:val="32"/>
          <w:szCs w:val="32"/>
        </w:rPr>
        <w:t>（二）收入决算情况说明</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本年收入合计</w:t>
      </w:r>
      <w:r>
        <w:rPr>
          <w:rFonts w:ascii="仿宋_GB2312" w:hAnsi="仿宋" w:eastAsia="仿宋_GB2312" w:cs="仿宋_GB2312"/>
          <w:sz w:val="32"/>
          <w:szCs w:val="32"/>
        </w:rPr>
        <w:t>36,148.78</w:t>
      </w:r>
      <w:r>
        <w:rPr>
          <w:rFonts w:hint="eastAsia" w:ascii="仿宋_GB2312" w:hAnsi="仿宋" w:eastAsia="仿宋_GB2312" w:cs="仿宋_GB2312"/>
          <w:sz w:val="32"/>
          <w:szCs w:val="32"/>
        </w:rPr>
        <w:t>万元；包括财政拨款收入</w:t>
      </w:r>
      <w:r>
        <w:rPr>
          <w:rFonts w:ascii="仿宋_GB2312" w:hAnsi="仿宋" w:eastAsia="仿宋_GB2312" w:cs="仿宋_GB2312"/>
          <w:sz w:val="32"/>
          <w:szCs w:val="32"/>
        </w:rPr>
        <w:t>35,357.45</w:t>
      </w:r>
      <w:r>
        <w:rPr>
          <w:rFonts w:hint="eastAsia" w:ascii="仿宋_GB2312" w:hAnsi="仿宋" w:eastAsia="仿宋_GB2312" w:cs="仿宋_GB2312"/>
          <w:sz w:val="32"/>
          <w:szCs w:val="32"/>
        </w:rPr>
        <w:t>万元（其中，一般公共预算</w:t>
      </w:r>
      <w:r>
        <w:rPr>
          <w:rFonts w:ascii="仿宋_GB2312" w:hAnsi="仿宋" w:eastAsia="仿宋_GB2312" w:cs="仿宋_GB2312"/>
          <w:sz w:val="32"/>
          <w:szCs w:val="32"/>
        </w:rPr>
        <w:t>25,142.65</w:t>
      </w:r>
      <w:r>
        <w:rPr>
          <w:rFonts w:hint="eastAsia" w:ascii="仿宋_GB2312" w:hAnsi="仿宋" w:eastAsia="仿宋_GB2312" w:cs="仿宋_GB2312"/>
          <w:sz w:val="32"/>
          <w:szCs w:val="32"/>
        </w:rPr>
        <w:t>万元，政府性基金预算</w:t>
      </w:r>
      <w:r>
        <w:rPr>
          <w:rFonts w:ascii="仿宋_GB2312" w:hAnsi="仿宋" w:eastAsia="仿宋_GB2312" w:cs="仿宋_GB2312"/>
          <w:sz w:val="32"/>
          <w:szCs w:val="32"/>
        </w:rPr>
        <w:t>10,214.80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国有资本经营预算</w:t>
      </w:r>
      <w:r>
        <w:rPr>
          <w:rFonts w:ascii="仿宋_GB2312" w:hAnsi="仿宋" w:eastAsia="仿宋_GB2312" w:cs="仿宋_GB2312"/>
          <w:sz w:val="32"/>
          <w:szCs w:val="32"/>
        </w:rPr>
        <w:t>0</w:t>
      </w:r>
      <w:r>
        <w:rPr>
          <w:rFonts w:hint="eastAsia" w:ascii="仿宋_GB2312" w:hAnsi="仿宋" w:eastAsia="仿宋_GB2312" w:cs="仿宋_GB2312"/>
          <w:sz w:val="32"/>
          <w:szCs w:val="32"/>
        </w:rPr>
        <w:t>万元），占收入合计</w:t>
      </w:r>
      <w:r>
        <w:rPr>
          <w:rFonts w:ascii="仿宋_GB2312" w:hAnsi="仿宋" w:eastAsia="仿宋_GB2312" w:cs="仿宋_GB2312"/>
          <w:sz w:val="32"/>
          <w:szCs w:val="32"/>
        </w:rPr>
        <w:t>97.81%</w:t>
      </w:r>
      <w:r>
        <w:rPr>
          <w:rFonts w:hint="eastAsia" w:ascii="仿宋_GB2312" w:hAnsi="仿宋" w:eastAsia="仿宋_GB2312" w:cs="仿宋_GB2312"/>
          <w:sz w:val="32"/>
          <w:szCs w:val="32"/>
        </w:rPr>
        <w:t>；上级补助收入</w:t>
      </w:r>
      <w:r>
        <w:rPr>
          <w:rFonts w:ascii="仿宋_GB2312" w:hAnsi="仿宋" w:eastAsia="仿宋_GB2312" w:cs="仿宋_GB2312"/>
          <w:sz w:val="32"/>
          <w:szCs w:val="32"/>
        </w:rPr>
        <w:t>0</w:t>
      </w:r>
      <w:r>
        <w:rPr>
          <w:rFonts w:hint="eastAsia" w:ascii="仿宋_GB2312" w:hAnsi="仿宋" w:eastAsia="仿宋_GB2312" w:cs="仿宋_GB2312"/>
          <w:sz w:val="32"/>
          <w:szCs w:val="32"/>
        </w:rPr>
        <w:t>万元，占收入合计</w:t>
      </w:r>
      <w:r>
        <w:rPr>
          <w:rFonts w:ascii="仿宋_GB2312" w:hAnsi="仿宋" w:eastAsia="仿宋_GB2312" w:cs="仿宋_GB2312"/>
          <w:sz w:val="32"/>
          <w:szCs w:val="32"/>
        </w:rPr>
        <w:t>0%</w:t>
      </w:r>
      <w:r>
        <w:rPr>
          <w:rFonts w:hint="eastAsia" w:ascii="仿宋_GB2312" w:hAnsi="仿宋" w:eastAsia="仿宋_GB2312" w:cs="仿宋_GB2312"/>
          <w:sz w:val="32"/>
          <w:szCs w:val="32"/>
        </w:rPr>
        <w:t>；事业收入</w:t>
      </w:r>
      <w:r>
        <w:rPr>
          <w:rFonts w:ascii="仿宋_GB2312" w:hAnsi="仿宋" w:eastAsia="仿宋_GB2312" w:cs="仿宋_GB2312"/>
          <w:sz w:val="32"/>
          <w:szCs w:val="32"/>
        </w:rPr>
        <w:t>0</w:t>
      </w:r>
      <w:r>
        <w:rPr>
          <w:rFonts w:hint="eastAsia" w:ascii="仿宋_GB2312" w:hAnsi="仿宋" w:eastAsia="仿宋_GB2312" w:cs="仿宋_GB2312"/>
          <w:sz w:val="32"/>
          <w:szCs w:val="32"/>
        </w:rPr>
        <w:t>万元，占收入合计</w:t>
      </w:r>
      <w:r>
        <w:rPr>
          <w:rFonts w:ascii="仿宋_GB2312" w:hAnsi="仿宋" w:eastAsia="仿宋_GB2312" w:cs="仿宋_GB2312"/>
          <w:sz w:val="32"/>
          <w:szCs w:val="32"/>
        </w:rPr>
        <w:t>0%</w:t>
      </w:r>
      <w:r>
        <w:rPr>
          <w:rFonts w:hint="eastAsia" w:ascii="仿宋_GB2312" w:hAnsi="仿宋" w:eastAsia="仿宋_GB2312" w:cs="仿宋_GB2312"/>
          <w:sz w:val="32"/>
          <w:szCs w:val="32"/>
        </w:rPr>
        <w:t>；经营收入</w:t>
      </w:r>
      <w:r>
        <w:rPr>
          <w:rFonts w:ascii="仿宋_GB2312" w:hAnsi="仿宋" w:eastAsia="仿宋_GB2312" w:cs="仿宋_GB2312"/>
          <w:sz w:val="32"/>
          <w:szCs w:val="32"/>
        </w:rPr>
        <w:t>0</w:t>
      </w:r>
      <w:r>
        <w:rPr>
          <w:rFonts w:hint="eastAsia" w:ascii="仿宋_GB2312" w:hAnsi="仿宋" w:eastAsia="仿宋_GB2312" w:cs="仿宋_GB2312"/>
          <w:sz w:val="32"/>
          <w:szCs w:val="32"/>
        </w:rPr>
        <w:t>万元，占收入合计</w:t>
      </w:r>
      <w:r>
        <w:rPr>
          <w:rFonts w:ascii="仿宋_GB2312" w:hAnsi="仿宋" w:eastAsia="仿宋_GB2312" w:cs="仿宋_GB2312"/>
          <w:sz w:val="32"/>
          <w:szCs w:val="32"/>
        </w:rPr>
        <w:t>0%</w:t>
      </w:r>
      <w:r>
        <w:rPr>
          <w:rFonts w:hint="eastAsia" w:ascii="仿宋_GB2312" w:hAnsi="仿宋" w:eastAsia="仿宋_GB2312" w:cs="仿宋_GB2312"/>
          <w:sz w:val="32"/>
          <w:szCs w:val="32"/>
        </w:rPr>
        <w:t>；附属单位上缴收入</w:t>
      </w:r>
      <w:r>
        <w:rPr>
          <w:rFonts w:ascii="仿宋_GB2312" w:hAnsi="仿宋" w:eastAsia="仿宋_GB2312" w:cs="仿宋_GB2312"/>
          <w:sz w:val="32"/>
          <w:szCs w:val="32"/>
        </w:rPr>
        <w:t>0</w:t>
      </w:r>
      <w:r>
        <w:rPr>
          <w:rFonts w:hint="eastAsia" w:ascii="仿宋_GB2312" w:hAnsi="仿宋" w:eastAsia="仿宋_GB2312" w:cs="仿宋_GB2312"/>
          <w:sz w:val="32"/>
          <w:szCs w:val="32"/>
        </w:rPr>
        <w:t>万元，占收入合计</w:t>
      </w:r>
      <w:r>
        <w:rPr>
          <w:rFonts w:ascii="仿宋_GB2312" w:hAnsi="仿宋" w:eastAsia="仿宋_GB2312" w:cs="仿宋_GB2312"/>
          <w:sz w:val="32"/>
          <w:szCs w:val="32"/>
        </w:rPr>
        <w:t>0%</w:t>
      </w:r>
      <w:r>
        <w:rPr>
          <w:rFonts w:hint="eastAsia" w:ascii="仿宋_GB2312" w:hAnsi="仿宋" w:eastAsia="仿宋_GB2312" w:cs="仿宋_GB2312"/>
          <w:sz w:val="32"/>
          <w:szCs w:val="32"/>
        </w:rPr>
        <w:t>；其他收入</w:t>
      </w:r>
      <w:r>
        <w:rPr>
          <w:rFonts w:ascii="仿宋_GB2312" w:hAnsi="仿宋" w:eastAsia="仿宋_GB2312" w:cs="仿宋_GB2312"/>
          <w:sz w:val="32"/>
          <w:szCs w:val="32"/>
        </w:rPr>
        <w:t>791.33</w:t>
      </w:r>
      <w:r>
        <w:rPr>
          <w:rFonts w:hint="eastAsia" w:ascii="仿宋_GB2312" w:hAnsi="仿宋" w:eastAsia="仿宋_GB2312" w:cs="仿宋_GB2312"/>
          <w:sz w:val="32"/>
          <w:szCs w:val="32"/>
        </w:rPr>
        <w:t>万元，占收入合计</w:t>
      </w:r>
      <w:r>
        <w:rPr>
          <w:rFonts w:ascii="仿宋_GB2312" w:hAnsi="仿宋" w:eastAsia="仿宋_GB2312" w:cs="仿宋_GB2312"/>
          <w:sz w:val="32"/>
          <w:szCs w:val="32"/>
        </w:rPr>
        <w:t>2.19%</w:t>
      </w:r>
      <w:r>
        <w:rPr>
          <w:rFonts w:hint="eastAsia" w:ascii="仿宋_GB2312" w:hAnsi="仿宋" w:eastAsia="仿宋_GB2312" w:cs="仿宋_GB2312"/>
          <w:sz w:val="32"/>
          <w:szCs w:val="32"/>
        </w:rPr>
        <w:t>。</w:t>
      </w:r>
    </w:p>
    <w:p>
      <w:pPr>
        <w:spacing w:line="600" w:lineRule="exact"/>
        <w:ind w:firstLine="640"/>
        <w:jc w:val="both"/>
        <w:rPr>
          <w:rFonts w:cs="Times New Roman"/>
        </w:rPr>
      </w:pPr>
      <w:r>
        <w:rPr>
          <w:rStyle w:val="7"/>
          <w:rFonts w:hint="eastAsia" w:ascii="楷体" w:hAnsi="楷体" w:eastAsia="楷体" w:cs="楷体"/>
          <w:sz w:val="32"/>
          <w:szCs w:val="32"/>
        </w:rPr>
        <w:t>（三）支出决算情况说明</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本年支出合计</w:t>
      </w:r>
      <w:r>
        <w:rPr>
          <w:rFonts w:ascii="仿宋_GB2312" w:hAnsi="仿宋" w:eastAsia="仿宋_GB2312" w:cs="仿宋_GB2312"/>
          <w:sz w:val="32"/>
          <w:szCs w:val="32"/>
        </w:rPr>
        <w:t>36,148.78</w:t>
      </w:r>
      <w:r>
        <w:rPr>
          <w:rFonts w:hint="eastAsia" w:ascii="仿宋_GB2312" w:hAnsi="仿宋" w:eastAsia="仿宋_GB2312" w:cs="仿宋_GB2312"/>
          <w:sz w:val="32"/>
          <w:szCs w:val="32"/>
        </w:rPr>
        <w:t>万元，其中基本支出</w:t>
      </w:r>
      <w:r>
        <w:rPr>
          <w:rFonts w:ascii="仿宋_GB2312" w:hAnsi="仿宋" w:eastAsia="仿宋_GB2312" w:cs="仿宋_GB2312"/>
          <w:sz w:val="32"/>
          <w:szCs w:val="32"/>
        </w:rPr>
        <w:t>2,403.05</w:t>
      </w:r>
      <w:r>
        <w:rPr>
          <w:rFonts w:hint="eastAsia" w:ascii="仿宋_GB2312" w:hAnsi="仿宋" w:eastAsia="仿宋_GB2312" w:cs="仿宋_GB2312"/>
          <w:sz w:val="32"/>
          <w:szCs w:val="32"/>
        </w:rPr>
        <w:t>万元，占</w:t>
      </w:r>
      <w:r>
        <w:rPr>
          <w:rFonts w:ascii="仿宋_GB2312" w:hAnsi="仿宋" w:eastAsia="仿宋_GB2312" w:cs="仿宋_GB2312"/>
          <w:sz w:val="32"/>
          <w:szCs w:val="32"/>
        </w:rPr>
        <w:t>6.65%</w:t>
      </w:r>
      <w:r>
        <w:rPr>
          <w:rFonts w:hint="eastAsia" w:ascii="仿宋_GB2312" w:hAnsi="仿宋" w:eastAsia="仿宋_GB2312" w:cs="仿宋_GB2312"/>
          <w:sz w:val="32"/>
          <w:szCs w:val="32"/>
        </w:rPr>
        <w:t>；项目支出</w:t>
      </w:r>
      <w:r>
        <w:rPr>
          <w:rFonts w:ascii="仿宋_GB2312" w:hAnsi="仿宋" w:eastAsia="仿宋_GB2312" w:cs="仿宋_GB2312"/>
          <w:sz w:val="32"/>
          <w:szCs w:val="32"/>
        </w:rPr>
        <w:t>33,745.73</w:t>
      </w:r>
      <w:r>
        <w:rPr>
          <w:rFonts w:hint="eastAsia" w:ascii="仿宋_GB2312" w:hAnsi="仿宋" w:eastAsia="仿宋_GB2312" w:cs="仿宋_GB2312"/>
          <w:sz w:val="32"/>
          <w:szCs w:val="32"/>
        </w:rPr>
        <w:t>万元，占</w:t>
      </w:r>
      <w:r>
        <w:rPr>
          <w:rFonts w:ascii="仿宋_GB2312" w:hAnsi="仿宋" w:eastAsia="仿宋_GB2312" w:cs="仿宋_GB2312"/>
          <w:sz w:val="32"/>
          <w:szCs w:val="32"/>
        </w:rPr>
        <w:t>93.35%</w:t>
      </w:r>
      <w:r>
        <w:rPr>
          <w:rFonts w:hint="eastAsia" w:ascii="仿宋_GB2312" w:hAnsi="仿宋" w:eastAsia="仿宋_GB2312" w:cs="仿宋_GB2312"/>
          <w:sz w:val="32"/>
          <w:szCs w:val="32"/>
        </w:rPr>
        <w:t>；上缴上级支出</w:t>
      </w:r>
      <w:r>
        <w:rPr>
          <w:rFonts w:ascii="仿宋_GB2312" w:hAnsi="仿宋" w:eastAsia="仿宋_GB2312" w:cs="仿宋_GB2312"/>
          <w:sz w:val="32"/>
          <w:szCs w:val="32"/>
        </w:rPr>
        <w:t>0</w:t>
      </w:r>
      <w:r>
        <w:rPr>
          <w:rFonts w:hint="eastAsia" w:ascii="仿宋_GB2312" w:hAnsi="仿宋" w:eastAsia="仿宋_GB2312" w:cs="仿宋_GB2312"/>
          <w:sz w:val="32"/>
          <w:szCs w:val="32"/>
        </w:rPr>
        <w:t>万元，占</w:t>
      </w:r>
      <w:r>
        <w:rPr>
          <w:rFonts w:ascii="仿宋_GB2312" w:hAnsi="仿宋" w:eastAsia="仿宋_GB2312" w:cs="仿宋_GB2312"/>
          <w:sz w:val="32"/>
          <w:szCs w:val="32"/>
        </w:rPr>
        <w:t>0%</w:t>
      </w:r>
      <w:r>
        <w:rPr>
          <w:rFonts w:hint="eastAsia" w:ascii="仿宋_GB2312" w:hAnsi="仿宋" w:eastAsia="仿宋_GB2312" w:cs="仿宋_GB2312"/>
          <w:sz w:val="32"/>
          <w:szCs w:val="32"/>
        </w:rPr>
        <w:t>；经营支出</w:t>
      </w:r>
      <w:r>
        <w:rPr>
          <w:rFonts w:ascii="仿宋_GB2312" w:hAnsi="仿宋" w:eastAsia="仿宋_GB2312" w:cs="仿宋_GB2312"/>
          <w:sz w:val="32"/>
          <w:szCs w:val="32"/>
        </w:rPr>
        <w:t>0</w:t>
      </w:r>
      <w:r>
        <w:rPr>
          <w:rFonts w:hint="eastAsia" w:ascii="仿宋_GB2312" w:hAnsi="仿宋" w:eastAsia="仿宋_GB2312" w:cs="仿宋_GB2312"/>
          <w:sz w:val="32"/>
          <w:szCs w:val="32"/>
        </w:rPr>
        <w:t>万元，占</w:t>
      </w:r>
      <w:r>
        <w:rPr>
          <w:rFonts w:ascii="仿宋_GB2312" w:hAnsi="仿宋" w:eastAsia="仿宋_GB2312" w:cs="仿宋_GB2312"/>
          <w:sz w:val="32"/>
          <w:szCs w:val="32"/>
        </w:rPr>
        <w:t>0%</w:t>
      </w:r>
      <w:r>
        <w:rPr>
          <w:rFonts w:hint="eastAsia" w:ascii="仿宋_GB2312" w:hAnsi="仿宋" w:eastAsia="仿宋_GB2312" w:cs="仿宋_GB2312"/>
          <w:sz w:val="32"/>
          <w:szCs w:val="32"/>
        </w:rPr>
        <w:t>；对附属单位补助支出</w:t>
      </w:r>
      <w:r>
        <w:rPr>
          <w:rFonts w:ascii="仿宋_GB2312" w:hAnsi="仿宋" w:eastAsia="仿宋_GB2312" w:cs="仿宋_GB2312"/>
          <w:sz w:val="32"/>
          <w:szCs w:val="32"/>
        </w:rPr>
        <w:t>0</w:t>
      </w:r>
      <w:r>
        <w:rPr>
          <w:rFonts w:hint="eastAsia" w:ascii="仿宋_GB2312" w:hAnsi="仿宋" w:eastAsia="仿宋_GB2312" w:cs="仿宋_GB2312"/>
          <w:sz w:val="32"/>
          <w:szCs w:val="32"/>
        </w:rPr>
        <w:t>万元，占</w:t>
      </w:r>
      <w:r>
        <w:rPr>
          <w:rFonts w:ascii="仿宋_GB2312" w:hAnsi="仿宋" w:eastAsia="仿宋_GB2312" w:cs="仿宋_GB2312"/>
          <w:sz w:val="32"/>
          <w:szCs w:val="32"/>
        </w:rPr>
        <w:t>0%</w:t>
      </w:r>
      <w:r>
        <w:rPr>
          <w:rFonts w:hint="eastAsia" w:ascii="仿宋_GB2312" w:hAnsi="仿宋" w:eastAsia="仿宋_GB2312" w:cs="仿宋_GB2312"/>
          <w:sz w:val="32"/>
          <w:szCs w:val="32"/>
        </w:rPr>
        <w:t>。</w:t>
      </w:r>
    </w:p>
    <w:p>
      <w:pPr>
        <w:spacing w:line="600" w:lineRule="exact"/>
        <w:ind w:firstLine="640"/>
        <w:jc w:val="both"/>
        <w:rPr>
          <w:rStyle w:val="7"/>
          <w:rFonts w:ascii="楷体" w:hAnsi="楷体" w:eastAsia="楷体" w:cs="Times New Roman"/>
          <w:sz w:val="32"/>
          <w:szCs w:val="32"/>
        </w:rPr>
      </w:pPr>
      <w:r>
        <w:rPr>
          <w:rStyle w:val="7"/>
          <w:rFonts w:hint="eastAsia" w:ascii="楷体" w:hAnsi="楷体" w:eastAsia="楷体" w:cs="楷体"/>
          <w:sz w:val="32"/>
          <w:szCs w:val="32"/>
        </w:rPr>
        <w:t>（四）财政拨款收入支出决算总体情况说明</w:t>
      </w:r>
    </w:p>
    <w:p>
      <w:pPr>
        <w:spacing w:line="60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年度财政拨款收入总计</w:t>
      </w:r>
      <w:r>
        <w:rPr>
          <w:rFonts w:ascii="仿宋_GB2312" w:hAnsi="仿宋" w:eastAsia="仿宋_GB2312" w:cs="仿宋_GB2312"/>
          <w:sz w:val="32"/>
          <w:szCs w:val="32"/>
        </w:rPr>
        <w:t>35,357.45</w:t>
      </w:r>
      <w:r>
        <w:rPr>
          <w:rFonts w:hint="eastAsia" w:ascii="仿宋_GB2312" w:hAnsi="仿宋" w:eastAsia="仿宋_GB2312" w:cs="仿宋_GB2312"/>
          <w:sz w:val="32"/>
          <w:szCs w:val="32"/>
        </w:rPr>
        <w:t>万元，支出总计</w:t>
      </w:r>
      <w:r>
        <w:rPr>
          <w:rFonts w:ascii="仿宋_GB2312" w:hAnsi="仿宋" w:eastAsia="仿宋_GB2312" w:cs="仿宋_GB2312"/>
          <w:sz w:val="32"/>
          <w:szCs w:val="32"/>
        </w:rPr>
        <w:t>35,357.45</w:t>
      </w:r>
      <w:r>
        <w:rPr>
          <w:rFonts w:hint="eastAsia" w:ascii="仿宋_GB2312" w:hAnsi="仿宋" w:eastAsia="仿宋_GB2312" w:cs="仿宋_GB2312"/>
          <w:sz w:val="32"/>
          <w:szCs w:val="32"/>
        </w:rPr>
        <w:t>万元，与</w:t>
      </w:r>
      <w:r>
        <w:rPr>
          <w:rFonts w:ascii="仿宋_GB2312" w:hAnsi="仿宋" w:eastAsia="仿宋_GB2312" w:cs="仿宋_GB2312"/>
          <w:sz w:val="32"/>
          <w:szCs w:val="32"/>
        </w:rPr>
        <w:t>2019</w:t>
      </w:r>
      <w:r>
        <w:rPr>
          <w:rFonts w:hint="eastAsia" w:ascii="仿宋_GB2312" w:hAnsi="仿宋" w:eastAsia="仿宋_GB2312" w:cs="仿宋_GB2312"/>
          <w:sz w:val="32"/>
          <w:szCs w:val="32"/>
        </w:rPr>
        <w:t>年相比，各减少</w:t>
      </w:r>
      <w:r>
        <w:rPr>
          <w:rFonts w:ascii="仿宋_GB2312" w:hAnsi="仿宋" w:eastAsia="仿宋_GB2312" w:cs="仿宋_GB2312"/>
          <w:sz w:val="32"/>
          <w:szCs w:val="32"/>
        </w:rPr>
        <w:t>5,464.50</w:t>
      </w:r>
      <w:r>
        <w:rPr>
          <w:rFonts w:hint="eastAsia" w:ascii="仿宋_GB2312" w:hAnsi="仿宋" w:eastAsia="仿宋_GB2312" w:cs="仿宋_GB2312"/>
          <w:sz w:val="32"/>
          <w:szCs w:val="32"/>
        </w:rPr>
        <w:t>万元，下降</w:t>
      </w:r>
      <w:r>
        <w:rPr>
          <w:rFonts w:ascii="仿宋_GB2312" w:hAnsi="仿宋" w:eastAsia="仿宋_GB2312" w:cs="仿宋_GB2312"/>
          <w:sz w:val="32"/>
          <w:szCs w:val="32"/>
        </w:rPr>
        <w:t>13.39%</w:t>
      </w:r>
      <w:r>
        <w:rPr>
          <w:rFonts w:hint="eastAsia" w:ascii="仿宋_GB2312" w:hAnsi="仿宋" w:eastAsia="仿宋_GB2312" w:cs="仿宋_GB2312"/>
          <w:sz w:val="32"/>
          <w:szCs w:val="32"/>
        </w:rPr>
        <w:t>。主要原因是</w:t>
      </w:r>
      <w:r>
        <w:rPr>
          <w:rFonts w:ascii="仿宋_GB2312" w:hAnsi="仿宋" w:eastAsia="仿宋_GB2312" w:cs="仿宋_GB2312"/>
          <w:sz w:val="32"/>
          <w:szCs w:val="32"/>
        </w:rPr>
        <w:t>2020</w:t>
      </w:r>
      <w:r>
        <w:rPr>
          <w:rFonts w:hint="eastAsia" w:ascii="仿宋_GB2312" w:hAnsi="仿宋" w:eastAsia="仿宋_GB2312" w:cs="仿宋_GB2312"/>
          <w:sz w:val="32"/>
          <w:szCs w:val="32"/>
        </w:rPr>
        <w:t>年度项目支出减少；财政拨款支出年初预算数35063.31万元，完成年初预算的100.84</w:t>
      </w:r>
      <w:r>
        <w:rPr>
          <w:rFonts w:ascii="仿宋_GB2312" w:hAnsi="仿宋" w:eastAsia="仿宋_GB2312" w:cs="仿宋_GB2312"/>
          <w:sz w:val="32"/>
          <w:szCs w:val="32"/>
        </w:rPr>
        <w:t>%</w:t>
      </w:r>
      <w:r>
        <w:rPr>
          <w:rFonts w:hint="eastAsia" w:ascii="仿宋_GB2312" w:hAnsi="仿宋" w:eastAsia="仿宋_GB2312" w:cs="仿宋_GB2312"/>
          <w:sz w:val="32"/>
          <w:szCs w:val="32"/>
        </w:rPr>
        <w:t>，主要原因是人员经费及省补资金追加。</w:t>
      </w:r>
    </w:p>
    <w:p>
      <w:pPr>
        <w:spacing w:line="600" w:lineRule="exact"/>
        <w:ind w:firstLine="640"/>
        <w:jc w:val="both"/>
        <w:rPr>
          <w:rFonts w:cs="Times New Roman"/>
        </w:rPr>
      </w:pPr>
      <w:r>
        <w:rPr>
          <w:rStyle w:val="7"/>
          <w:rFonts w:hint="eastAsia" w:ascii="楷体" w:hAnsi="楷体" w:eastAsia="楷体" w:cs="楷体"/>
          <w:sz w:val="32"/>
          <w:szCs w:val="32"/>
        </w:rPr>
        <w:t>（五）一般公共预算财政拨款支出决算情况说明</w:t>
      </w:r>
    </w:p>
    <w:p>
      <w:pPr>
        <w:spacing w:line="600" w:lineRule="exact"/>
        <w:ind w:firstLine="640"/>
        <w:jc w:val="both"/>
        <w:rPr>
          <w:rStyle w:val="7"/>
          <w:rFonts w:ascii="仿宋_GB2312" w:hAnsi="仿宋" w:eastAsia="仿宋_GB2312" w:cs="Times New Roman"/>
          <w:sz w:val="32"/>
          <w:szCs w:val="32"/>
        </w:rPr>
      </w:pPr>
      <w:r>
        <w:rPr>
          <w:rStyle w:val="7"/>
          <w:rFonts w:ascii="仿宋_GB2312" w:hAnsi="仿宋" w:eastAsia="仿宋_GB2312" w:cs="仿宋_GB2312"/>
          <w:sz w:val="32"/>
          <w:szCs w:val="32"/>
        </w:rPr>
        <w:t>1.</w:t>
      </w:r>
      <w:r>
        <w:rPr>
          <w:rStyle w:val="7"/>
          <w:rFonts w:hint="eastAsia" w:ascii="仿宋_GB2312" w:hAnsi="仿宋" w:eastAsia="仿宋_GB2312" w:cs="仿宋_GB2312"/>
          <w:sz w:val="32"/>
          <w:szCs w:val="32"/>
        </w:rPr>
        <w:t>一般公共预算财政拨款支出决算总体情况。</w:t>
      </w:r>
    </w:p>
    <w:p>
      <w:pPr>
        <w:spacing w:line="60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年度一般公共预算财政拨款支出</w:t>
      </w:r>
      <w:r>
        <w:rPr>
          <w:rFonts w:ascii="仿宋_GB2312" w:hAnsi="仿宋" w:eastAsia="仿宋_GB2312" w:cs="仿宋_GB2312"/>
          <w:sz w:val="32"/>
          <w:szCs w:val="32"/>
        </w:rPr>
        <w:t>25,142.65</w:t>
      </w:r>
      <w:r>
        <w:rPr>
          <w:rFonts w:hint="eastAsia" w:ascii="仿宋_GB2312" w:hAnsi="仿宋" w:eastAsia="仿宋_GB2312" w:cs="仿宋_GB2312"/>
          <w:sz w:val="32"/>
          <w:szCs w:val="32"/>
        </w:rPr>
        <w:t>万元，占本年支出合计的</w:t>
      </w:r>
      <w:r>
        <w:rPr>
          <w:rFonts w:ascii="仿宋_GB2312" w:hAnsi="仿宋" w:eastAsia="仿宋_GB2312" w:cs="仿宋_GB2312"/>
          <w:sz w:val="32"/>
          <w:szCs w:val="32"/>
        </w:rPr>
        <w:t>69.55%</w:t>
      </w:r>
      <w:r>
        <w:rPr>
          <w:rFonts w:hint="eastAsia" w:ascii="仿宋_GB2312" w:hAnsi="仿宋" w:eastAsia="仿宋_GB2312" w:cs="仿宋_GB2312"/>
          <w:sz w:val="32"/>
          <w:szCs w:val="32"/>
        </w:rPr>
        <w:t>。与</w:t>
      </w:r>
      <w:r>
        <w:rPr>
          <w:rFonts w:ascii="仿宋_GB2312" w:hAnsi="仿宋" w:eastAsia="仿宋_GB2312" w:cs="仿宋_GB2312"/>
          <w:sz w:val="32"/>
          <w:szCs w:val="32"/>
        </w:rPr>
        <w:t>2019</w:t>
      </w:r>
      <w:r>
        <w:rPr>
          <w:rFonts w:hint="eastAsia" w:ascii="仿宋_GB2312" w:hAnsi="仿宋" w:eastAsia="仿宋_GB2312" w:cs="仿宋_GB2312"/>
          <w:sz w:val="32"/>
          <w:szCs w:val="32"/>
        </w:rPr>
        <w:t>年相比，一般公共预算财政拨款支出减少</w:t>
      </w:r>
      <w:r>
        <w:rPr>
          <w:rFonts w:ascii="仿宋_GB2312" w:hAnsi="仿宋" w:eastAsia="仿宋_GB2312" w:cs="仿宋_GB2312"/>
          <w:sz w:val="32"/>
          <w:szCs w:val="32"/>
        </w:rPr>
        <w:t>1,527.40</w:t>
      </w:r>
      <w:r>
        <w:rPr>
          <w:rFonts w:hint="eastAsia" w:ascii="仿宋_GB2312" w:hAnsi="仿宋" w:eastAsia="仿宋_GB2312" w:cs="仿宋_GB2312"/>
          <w:sz w:val="32"/>
          <w:szCs w:val="32"/>
        </w:rPr>
        <w:t>万元，下降</w:t>
      </w:r>
      <w:r>
        <w:rPr>
          <w:rFonts w:ascii="仿宋_GB2312" w:hAnsi="仿宋" w:eastAsia="仿宋_GB2312" w:cs="仿宋_GB2312"/>
          <w:sz w:val="32"/>
          <w:szCs w:val="32"/>
        </w:rPr>
        <w:t>5.73%</w:t>
      </w:r>
      <w:r>
        <w:rPr>
          <w:rFonts w:hint="eastAsia" w:ascii="仿宋_GB2312" w:hAnsi="仿宋" w:eastAsia="仿宋_GB2312" w:cs="仿宋_GB2312"/>
          <w:sz w:val="32"/>
          <w:szCs w:val="32"/>
        </w:rPr>
        <w:t>。主要原因是：</w:t>
      </w:r>
      <w:r>
        <w:rPr>
          <w:rFonts w:ascii="仿宋_GB2312" w:hAnsi="仿宋" w:eastAsia="仿宋_GB2312" w:cs="仿宋_GB2312"/>
          <w:sz w:val="32"/>
          <w:szCs w:val="32"/>
        </w:rPr>
        <w:t>2020</w:t>
      </w:r>
      <w:r>
        <w:rPr>
          <w:rFonts w:hint="eastAsia" w:ascii="仿宋_GB2312" w:hAnsi="仿宋" w:eastAsia="仿宋_GB2312" w:cs="仿宋_GB2312"/>
          <w:sz w:val="32"/>
          <w:szCs w:val="32"/>
        </w:rPr>
        <w:t>年一般公共财政拨款预算项目支出减少。</w:t>
      </w:r>
    </w:p>
    <w:p>
      <w:pPr>
        <w:spacing w:line="600" w:lineRule="exact"/>
        <w:ind w:firstLine="640"/>
        <w:jc w:val="both"/>
        <w:rPr>
          <w:rFonts w:ascii="仿宋_GB2312" w:eastAsia="仿宋_GB2312" w:cs="Times New Roman"/>
        </w:rPr>
      </w:pPr>
      <w:r>
        <w:rPr>
          <w:rStyle w:val="7"/>
          <w:rFonts w:ascii="仿宋_GB2312" w:hAnsi="仿宋" w:eastAsia="仿宋_GB2312" w:cs="仿宋_GB2312"/>
          <w:sz w:val="32"/>
          <w:szCs w:val="32"/>
        </w:rPr>
        <w:t>2.</w:t>
      </w:r>
      <w:r>
        <w:rPr>
          <w:rStyle w:val="7"/>
          <w:rFonts w:hint="eastAsia" w:ascii="仿宋_GB2312" w:hAnsi="仿宋" w:eastAsia="仿宋_GB2312" w:cs="仿宋_GB2312"/>
          <w:sz w:val="32"/>
          <w:szCs w:val="32"/>
        </w:rPr>
        <w:t>一般公共预算财政拨款支出决算结构情况。</w:t>
      </w:r>
    </w:p>
    <w:p>
      <w:pPr>
        <w:spacing w:line="60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年度一般公共预算财政拨款支出</w:t>
      </w:r>
      <w:r>
        <w:rPr>
          <w:rFonts w:ascii="仿宋_GB2312" w:hAnsi="仿宋" w:eastAsia="仿宋_GB2312" w:cs="仿宋_GB2312"/>
          <w:sz w:val="32"/>
          <w:szCs w:val="32"/>
        </w:rPr>
        <w:t>25,142.65</w:t>
      </w:r>
      <w:r>
        <w:rPr>
          <w:rFonts w:hint="eastAsia" w:ascii="仿宋_GB2312" w:hAnsi="仿宋" w:eastAsia="仿宋_GB2312" w:cs="仿宋_GB2312"/>
          <w:sz w:val="32"/>
          <w:szCs w:val="32"/>
        </w:rPr>
        <w:t>万元，主要用于以下方面：一般公共服务（类）支出</w:t>
      </w:r>
      <w:r>
        <w:rPr>
          <w:rFonts w:ascii="仿宋_GB2312" w:hAnsi="仿宋" w:eastAsia="仿宋_GB2312" w:cs="仿宋_GB2312"/>
          <w:sz w:val="32"/>
          <w:szCs w:val="32"/>
        </w:rPr>
        <w:t>53.73</w:t>
      </w:r>
      <w:r>
        <w:rPr>
          <w:rFonts w:hint="eastAsia" w:ascii="仿宋_GB2312" w:hAnsi="仿宋" w:eastAsia="仿宋_GB2312" w:cs="仿宋_GB2312"/>
          <w:sz w:val="32"/>
          <w:szCs w:val="32"/>
        </w:rPr>
        <w:t>万元，占</w:t>
      </w:r>
      <w:r>
        <w:rPr>
          <w:rFonts w:ascii="仿宋_GB2312" w:hAnsi="仿宋" w:eastAsia="仿宋_GB2312" w:cs="仿宋_GB2312"/>
          <w:sz w:val="32"/>
          <w:szCs w:val="32"/>
        </w:rPr>
        <w:t>0.21%</w:t>
      </w:r>
      <w:r>
        <w:rPr>
          <w:rFonts w:hint="eastAsia" w:ascii="仿宋_GB2312" w:hAnsi="仿宋" w:eastAsia="仿宋_GB2312" w:cs="仿宋_GB2312"/>
          <w:sz w:val="32"/>
          <w:szCs w:val="32"/>
        </w:rPr>
        <w:t>；国防（类）支出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；公共安全（类）支出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；教育（类）支出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；科学技术（类）支出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；文化旅游体育与传媒（类）支出</w:t>
      </w:r>
      <w:r>
        <w:rPr>
          <w:rFonts w:ascii="仿宋_GB2312" w:hAnsi="仿宋" w:eastAsia="仿宋_GB2312" w:cs="仿宋_GB2312"/>
          <w:sz w:val="32"/>
          <w:szCs w:val="32"/>
        </w:rPr>
        <w:t>649.98</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2.59%</w:t>
      </w:r>
      <w:r>
        <w:rPr>
          <w:rFonts w:hint="eastAsia" w:ascii="仿宋_GB2312" w:hAnsi="仿宋" w:eastAsia="仿宋_GB2312" w:cs="仿宋_GB2312"/>
          <w:sz w:val="32"/>
          <w:szCs w:val="32"/>
        </w:rPr>
        <w:t>；社会保障和就业（类）支出</w:t>
      </w:r>
      <w:r>
        <w:rPr>
          <w:rFonts w:ascii="仿宋_GB2312" w:hAnsi="仿宋" w:eastAsia="仿宋_GB2312" w:cs="仿宋_GB2312"/>
          <w:sz w:val="32"/>
          <w:szCs w:val="32"/>
        </w:rPr>
        <w:t>186.85</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0.74%</w:t>
      </w:r>
      <w:r>
        <w:rPr>
          <w:rFonts w:hint="eastAsia" w:ascii="仿宋_GB2312" w:hAnsi="仿宋" w:eastAsia="仿宋_GB2312" w:cs="仿宋_GB2312"/>
          <w:sz w:val="32"/>
          <w:szCs w:val="32"/>
        </w:rPr>
        <w:t>；卫生健康（类）支出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；节能环保（类）支出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；城乡社区（类）支出</w:t>
      </w:r>
      <w:r>
        <w:rPr>
          <w:rFonts w:ascii="仿宋_GB2312" w:hAnsi="仿宋" w:eastAsia="仿宋_GB2312" w:cs="仿宋_GB2312"/>
          <w:sz w:val="32"/>
          <w:szCs w:val="32"/>
        </w:rPr>
        <w:t>21,738.24</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86.46%</w:t>
      </w:r>
      <w:r>
        <w:rPr>
          <w:rFonts w:hint="eastAsia" w:ascii="仿宋_GB2312" w:hAnsi="仿宋" w:eastAsia="仿宋_GB2312" w:cs="仿宋_GB2312"/>
          <w:sz w:val="32"/>
          <w:szCs w:val="32"/>
        </w:rPr>
        <w:t>；农林水（类）支出</w:t>
      </w:r>
      <w:r>
        <w:rPr>
          <w:rFonts w:ascii="仿宋_GB2312" w:hAnsi="仿宋" w:eastAsia="仿宋_GB2312" w:cs="仿宋_GB2312"/>
          <w:sz w:val="32"/>
          <w:szCs w:val="32"/>
        </w:rPr>
        <w:t>1,358.90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5.40%</w:t>
      </w:r>
      <w:r>
        <w:rPr>
          <w:rFonts w:hint="eastAsia" w:ascii="仿宋_GB2312" w:hAnsi="仿宋" w:eastAsia="仿宋_GB2312" w:cs="仿宋_GB2312"/>
          <w:sz w:val="32"/>
          <w:szCs w:val="32"/>
        </w:rPr>
        <w:t>；交通运输（类）支出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；资源勘探工业信息等（类）支出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；商业服务业等（类）支出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；金融（类）支出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；援助其他地区（类）支出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；自然资源海洋气象等（类）支出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；住房保障（类）支出</w:t>
      </w:r>
      <w:r>
        <w:rPr>
          <w:rFonts w:ascii="仿宋_GB2312" w:hAnsi="仿宋" w:eastAsia="仿宋_GB2312" w:cs="仿宋_GB2312"/>
          <w:sz w:val="32"/>
          <w:szCs w:val="32"/>
        </w:rPr>
        <w:t>1,129.44</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4.49%</w:t>
      </w:r>
      <w:r>
        <w:rPr>
          <w:rFonts w:hint="eastAsia" w:ascii="仿宋_GB2312" w:hAnsi="仿宋" w:eastAsia="仿宋_GB2312" w:cs="仿宋_GB2312"/>
          <w:sz w:val="32"/>
          <w:szCs w:val="32"/>
        </w:rPr>
        <w:t>；粮油物资储备（类）支出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；灾害防治及应急管理（类）支出</w:t>
      </w:r>
      <w:r>
        <w:rPr>
          <w:rFonts w:ascii="仿宋_GB2312" w:hAnsi="仿宋" w:eastAsia="仿宋_GB2312" w:cs="仿宋_GB2312"/>
          <w:sz w:val="32"/>
          <w:szCs w:val="32"/>
        </w:rPr>
        <w:t>25.52</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0.10%</w:t>
      </w:r>
      <w:r>
        <w:rPr>
          <w:rFonts w:hint="eastAsia" w:ascii="仿宋_GB2312" w:hAnsi="仿宋" w:eastAsia="仿宋_GB2312" w:cs="仿宋_GB2312"/>
          <w:sz w:val="32"/>
          <w:szCs w:val="32"/>
        </w:rPr>
        <w:t>；其他（类）支出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；债务还本（类）支出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；债务付息（类）支出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w:t>
      </w:r>
    </w:p>
    <w:p>
      <w:pPr>
        <w:spacing w:line="600" w:lineRule="exact"/>
        <w:ind w:firstLine="640"/>
        <w:jc w:val="both"/>
        <w:rPr>
          <w:rStyle w:val="7"/>
          <w:rFonts w:ascii="仿宋_GB2312" w:hAnsi="仿宋" w:eastAsia="仿宋_GB2312" w:cs="Times New Roman"/>
          <w:sz w:val="32"/>
          <w:szCs w:val="32"/>
        </w:rPr>
      </w:pPr>
      <w:r>
        <w:rPr>
          <w:rStyle w:val="7"/>
          <w:rFonts w:ascii="仿宋_GB2312" w:hAnsi="仿宋" w:eastAsia="仿宋_GB2312" w:cs="仿宋_GB2312"/>
          <w:sz w:val="32"/>
          <w:szCs w:val="32"/>
        </w:rPr>
        <w:t>3.</w:t>
      </w:r>
      <w:r>
        <w:rPr>
          <w:rStyle w:val="7"/>
          <w:rFonts w:hint="eastAsia" w:ascii="仿宋_GB2312" w:hAnsi="仿宋" w:eastAsia="仿宋_GB2312" w:cs="仿宋_GB2312"/>
          <w:sz w:val="32"/>
          <w:szCs w:val="32"/>
        </w:rPr>
        <w:t>一般公共预算财政拨款支出决算具体情况。</w:t>
      </w:r>
    </w:p>
    <w:p>
      <w:pPr>
        <w:spacing w:line="60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年度一般公共预算财政拨款支出年初预算为20033.91万元，支出决算为</w:t>
      </w:r>
      <w:r>
        <w:rPr>
          <w:rFonts w:ascii="仿宋_GB2312" w:hAnsi="仿宋" w:eastAsia="仿宋_GB2312" w:cs="仿宋_GB2312"/>
          <w:sz w:val="32"/>
          <w:szCs w:val="32"/>
        </w:rPr>
        <w:t>25,142.65</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完成年初预算的125.5</w:t>
      </w:r>
      <w:r>
        <w:rPr>
          <w:rFonts w:ascii="仿宋_GB2312" w:hAnsi="仿宋" w:eastAsia="仿宋_GB2312" w:cs="仿宋_GB2312"/>
          <w:sz w:val="32"/>
          <w:szCs w:val="32"/>
        </w:rPr>
        <w:t>%</w:t>
      </w:r>
      <w:r>
        <w:rPr>
          <w:rFonts w:hint="eastAsia" w:ascii="仿宋_GB2312" w:hAnsi="仿宋" w:eastAsia="仿宋_GB2312" w:cs="仿宋_GB2312"/>
          <w:sz w:val="32"/>
          <w:szCs w:val="32"/>
        </w:rPr>
        <w:t>，主要原因是上级补助资金下达。其中：</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一般公共服务支出（类）其他一般公共服务支出（款）其他一般公共服务支出（项）。年初预算为</w:t>
      </w:r>
      <w:r>
        <w:rPr>
          <w:rFonts w:ascii="仿宋_GB2312" w:hAnsi="仿宋" w:eastAsia="仿宋_GB2312" w:cs="仿宋_GB2312"/>
          <w:sz w:val="32"/>
          <w:szCs w:val="32"/>
        </w:rPr>
        <w:t>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53.73</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，决算数大于预算数的主要原因是人员经费追加。</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文化旅游体育与传媒支出（类）文化和旅游（款）其他文化和旅游支出（项）。年初预算为</w:t>
      </w:r>
      <w:r>
        <w:rPr>
          <w:rFonts w:ascii="仿宋_GB2312" w:hAnsi="仿宋" w:eastAsia="仿宋_GB2312" w:cs="仿宋_GB2312"/>
          <w:sz w:val="32"/>
          <w:szCs w:val="32"/>
        </w:rPr>
        <w:t>650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649.98</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，决算数同年初预算数基本一致，是因为严格执行年初预算的计划安排。</w:t>
      </w:r>
    </w:p>
    <w:p>
      <w:pPr>
        <w:spacing w:line="600" w:lineRule="exact"/>
        <w:ind w:firstLine="640"/>
        <w:jc w:val="both"/>
        <w:rPr>
          <w:rFonts w:ascii="仿宋_GB2312" w:hAnsi="仿宋" w:eastAsia="仿宋_GB2312" w:cs="Times New Roman"/>
          <w:b/>
          <w:bCs/>
          <w:sz w:val="32"/>
          <w:szCs w:val="32"/>
        </w:rPr>
      </w:pPr>
      <w:r>
        <w:rPr>
          <w:rFonts w:hint="eastAsia" w:ascii="仿宋_GB2312" w:hAnsi="仿宋" w:eastAsia="仿宋_GB2312" w:cs="仿宋_GB2312"/>
          <w:sz w:val="32"/>
          <w:szCs w:val="32"/>
        </w:rPr>
        <w:t>社会保障和就业支出（类）行政事业单位养老支出（款）行政事业单位基本养老保险缴费支出（项）。年初预算为124.57万元，支出决算为</w:t>
      </w:r>
      <w:r>
        <w:rPr>
          <w:rFonts w:ascii="仿宋_GB2312" w:hAnsi="仿宋" w:eastAsia="仿宋_GB2312" w:cs="仿宋_GB2312"/>
          <w:sz w:val="32"/>
          <w:szCs w:val="32"/>
        </w:rPr>
        <w:t>124.57</w:t>
      </w:r>
      <w:r>
        <w:rPr>
          <w:rFonts w:hint="eastAsia" w:ascii="仿宋_GB2312" w:hAnsi="仿宋" w:eastAsia="仿宋_GB2312" w:cs="仿宋_GB2312"/>
          <w:sz w:val="32"/>
          <w:szCs w:val="32"/>
        </w:rPr>
        <w:t>万元，完成年初预算的100</w:t>
      </w:r>
      <w:r>
        <w:rPr>
          <w:rFonts w:ascii="仿宋_GB2312" w:hAnsi="仿宋" w:eastAsia="仿宋_GB2312" w:cs="仿宋_GB2312"/>
          <w:sz w:val="32"/>
          <w:szCs w:val="32"/>
        </w:rPr>
        <w:t>%</w:t>
      </w:r>
      <w:r>
        <w:rPr>
          <w:rFonts w:hint="eastAsia" w:ascii="仿宋_GB2312" w:hAnsi="仿宋" w:eastAsia="仿宋_GB2312" w:cs="仿宋_GB2312"/>
          <w:sz w:val="32"/>
          <w:szCs w:val="32"/>
        </w:rPr>
        <w:t>，决算数同年初预算数基本一致，是因为严格执行年初预算的计划安排</w:t>
      </w:r>
      <w:r>
        <w:rPr>
          <w:rFonts w:hint="eastAsia" w:ascii="仿宋_GB2312" w:hAnsi="仿宋" w:eastAsia="仿宋_GB2312" w:cs="仿宋_GB2312"/>
          <w:b/>
          <w:bCs/>
          <w:sz w:val="32"/>
          <w:szCs w:val="32"/>
        </w:rPr>
        <w:t>。</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社会保障和就业支出（类）行政事业单位养老支出（款）机关事业单位职业年金缴费支出（项）。年初预算为62.28万元，支出决算为</w:t>
      </w:r>
      <w:r>
        <w:rPr>
          <w:rFonts w:ascii="仿宋_GB2312" w:hAnsi="仿宋" w:eastAsia="仿宋_GB2312" w:cs="仿宋_GB2312"/>
          <w:sz w:val="32"/>
          <w:szCs w:val="32"/>
        </w:rPr>
        <w:t>62.28</w:t>
      </w:r>
      <w:r>
        <w:rPr>
          <w:rFonts w:hint="eastAsia" w:ascii="仿宋_GB2312" w:hAnsi="仿宋" w:eastAsia="仿宋_GB2312" w:cs="仿宋_GB2312"/>
          <w:sz w:val="32"/>
          <w:szCs w:val="32"/>
        </w:rPr>
        <w:t>万元，完成年初预算的100</w:t>
      </w:r>
      <w:r>
        <w:rPr>
          <w:rFonts w:ascii="仿宋_GB2312" w:hAnsi="仿宋" w:eastAsia="仿宋_GB2312" w:cs="仿宋_GB2312"/>
          <w:sz w:val="32"/>
          <w:szCs w:val="32"/>
        </w:rPr>
        <w:t>%</w:t>
      </w:r>
      <w:r>
        <w:rPr>
          <w:rFonts w:hint="eastAsia" w:ascii="仿宋_GB2312" w:hAnsi="仿宋" w:eastAsia="仿宋_GB2312" w:cs="仿宋_GB2312"/>
          <w:sz w:val="32"/>
          <w:szCs w:val="32"/>
        </w:rPr>
        <w:t>，决算数同年初预算数基本一致，是因为严格执行年初预算的计划安排。</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城乡社区支出（类）城乡社区管理事务（款）行政运行（项）。年初预算为</w:t>
      </w:r>
      <w:r>
        <w:rPr>
          <w:rFonts w:ascii="仿宋_GB2312" w:hAnsi="仿宋" w:eastAsia="仿宋_GB2312" w:cs="仿宋_GB2312"/>
          <w:sz w:val="32"/>
          <w:szCs w:val="32"/>
        </w:rPr>
        <w:t>1007.17</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999.08</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99.2%</w:t>
      </w:r>
      <w:r>
        <w:rPr>
          <w:rFonts w:hint="eastAsia" w:ascii="仿宋_GB2312" w:hAnsi="仿宋" w:eastAsia="仿宋_GB2312" w:cs="仿宋_GB2312"/>
          <w:sz w:val="32"/>
          <w:szCs w:val="32"/>
        </w:rPr>
        <w:t>，决算数同年初预算数基本一致，是因为严格执行年初预算的计划安排。</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城乡社区支出（类）城乡社区管理事务（款）市政公用行业市场监管（项）。年初预算为</w:t>
      </w:r>
      <w:r>
        <w:rPr>
          <w:rFonts w:ascii="仿宋_GB2312" w:hAnsi="仿宋" w:eastAsia="仿宋_GB2312" w:cs="仿宋_GB2312"/>
          <w:sz w:val="32"/>
          <w:szCs w:val="32"/>
        </w:rPr>
        <w:t>313.95</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313.95</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，决算数同年初预算数基本一致，是因为严格执行年初预算的计划安排。</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城乡社区支出（类）城乡社区管理事务（款）其他城乡社区管理事务支出（项）。年初预算为5088.51万元，支出决算为</w:t>
      </w:r>
      <w:r>
        <w:rPr>
          <w:rFonts w:ascii="仿宋_GB2312" w:hAnsi="仿宋" w:eastAsia="仿宋_GB2312" w:cs="仿宋_GB2312"/>
          <w:sz w:val="32"/>
          <w:szCs w:val="32"/>
        </w:rPr>
        <w:t>4588.2</w:t>
      </w:r>
      <w:r>
        <w:rPr>
          <w:rFonts w:hint="eastAsia" w:ascii="仿宋_GB2312" w:hAnsi="仿宋" w:eastAsia="仿宋_GB2312" w:cs="仿宋_GB2312"/>
          <w:sz w:val="32"/>
          <w:szCs w:val="32"/>
        </w:rPr>
        <w:t>万元，完成年初预算的90.17</w:t>
      </w:r>
      <w:r>
        <w:rPr>
          <w:rFonts w:ascii="仿宋_GB2312" w:hAnsi="仿宋" w:eastAsia="仿宋_GB2312" w:cs="仿宋_GB2312"/>
          <w:sz w:val="32"/>
          <w:szCs w:val="32"/>
        </w:rPr>
        <w:t>%</w:t>
      </w:r>
      <w:r>
        <w:rPr>
          <w:rFonts w:hint="eastAsia" w:ascii="仿宋_GB2312" w:hAnsi="仿宋" w:eastAsia="仿宋_GB2312" w:cs="仿宋_GB2312"/>
          <w:sz w:val="32"/>
          <w:szCs w:val="32"/>
        </w:rPr>
        <w:t>，决算数小于预算数的主要原因是大楼搬迁档案馆改造项目没有根据年初预算计划安排执行，支出减少</w:t>
      </w:r>
      <w:r>
        <w:rPr>
          <w:rFonts w:ascii="仿宋_GB2312" w:hAnsi="仿宋" w:eastAsia="仿宋_GB2312" w:cs="仿宋_GB2312"/>
          <w:sz w:val="32"/>
          <w:szCs w:val="32"/>
        </w:rPr>
        <w:t>360</w:t>
      </w:r>
      <w:r>
        <w:rPr>
          <w:rFonts w:hint="eastAsia" w:ascii="仿宋_GB2312" w:hAnsi="仿宋" w:eastAsia="仿宋_GB2312" w:cs="仿宋_GB2312"/>
          <w:sz w:val="32"/>
          <w:szCs w:val="32"/>
        </w:rPr>
        <w:t>万元。</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城乡社区支出（类）城乡社区规划与管理（款）城乡社区规划与管理（项）。年初预算为</w:t>
      </w:r>
      <w:r>
        <w:rPr>
          <w:rFonts w:ascii="仿宋_GB2312" w:hAnsi="仿宋" w:eastAsia="仿宋_GB2312" w:cs="仿宋_GB2312"/>
          <w:sz w:val="32"/>
          <w:szCs w:val="32"/>
        </w:rPr>
        <w:t>250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267.64</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107.06%</w:t>
      </w:r>
      <w:r>
        <w:rPr>
          <w:rFonts w:hint="eastAsia" w:ascii="仿宋_GB2312" w:hAnsi="仿宋" w:eastAsia="仿宋_GB2312" w:cs="仿宋_GB2312"/>
          <w:sz w:val="32"/>
          <w:szCs w:val="32"/>
        </w:rPr>
        <w:t>，决算数大于预算数的主要原因是规划编制项目省补资金下达</w:t>
      </w:r>
      <w:r>
        <w:rPr>
          <w:rFonts w:ascii="仿宋_GB2312" w:hAnsi="仿宋" w:eastAsia="仿宋_GB2312" w:cs="仿宋_GB2312"/>
          <w:sz w:val="32"/>
          <w:szCs w:val="32"/>
        </w:rPr>
        <w:t>20</w:t>
      </w:r>
      <w:r>
        <w:rPr>
          <w:rFonts w:hint="eastAsia" w:ascii="仿宋_GB2312" w:hAnsi="仿宋" w:eastAsia="仿宋_GB2312" w:cs="仿宋_GB2312"/>
          <w:sz w:val="32"/>
          <w:szCs w:val="32"/>
        </w:rPr>
        <w:t>万元。</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城乡社区支出（类）城乡社区公共设施（款）其他城乡社区公共设施支出（项）。年初预算为</w:t>
      </w:r>
      <w:r>
        <w:rPr>
          <w:rFonts w:ascii="仿宋_GB2312" w:hAnsi="仿宋" w:eastAsia="仿宋_GB2312" w:cs="仿宋_GB2312"/>
          <w:sz w:val="32"/>
          <w:szCs w:val="32"/>
        </w:rPr>
        <w:t>11162.92</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12201.3</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109.3%</w:t>
      </w:r>
      <w:r>
        <w:rPr>
          <w:rFonts w:hint="eastAsia" w:ascii="仿宋_GB2312" w:hAnsi="仿宋" w:eastAsia="仿宋_GB2312" w:cs="仿宋_GB2312"/>
          <w:sz w:val="32"/>
          <w:szCs w:val="32"/>
        </w:rPr>
        <w:t>，决算数大于预算数的主要原因是镇级污水省补资金下达。</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城乡社区支出（类）城乡社区环境卫生（款）城乡社区环境卫生（项）。年初预算为</w:t>
      </w:r>
      <w:r>
        <w:rPr>
          <w:rFonts w:ascii="仿宋_GB2312" w:hAnsi="仿宋" w:eastAsia="仿宋_GB2312" w:cs="仿宋_GB2312"/>
          <w:sz w:val="32"/>
          <w:szCs w:val="32"/>
        </w:rPr>
        <w:t>100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100</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，决算数同年初预算数基本一致，是因为严格执行年初预算的计划安排。</w:t>
      </w:r>
    </w:p>
    <w:p>
      <w:pPr>
        <w:spacing w:line="600" w:lineRule="exact"/>
        <w:ind w:firstLine="640"/>
        <w:jc w:val="both"/>
        <w:rPr>
          <w:rFonts w:ascii="仿宋_GB2312" w:eastAsia="仿宋_GB2312" w:cs="Times New Roman"/>
          <w:b/>
          <w:bCs/>
        </w:rPr>
      </w:pPr>
      <w:r>
        <w:rPr>
          <w:rFonts w:hint="eastAsia" w:ascii="仿宋_GB2312" w:hAnsi="仿宋" w:eastAsia="仿宋_GB2312" w:cs="仿宋_GB2312"/>
          <w:sz w:val="32"/>
          <w:szCs w:val="32"/>
        </w:rPr>
        <w:t>城乡社区支出（类）建设市场管理与监督（款）建设市场管理与监督（项）。年初预算为</w:t>
      </w:r>
      <w:r>
        <w:rPr>
          <w:rFonts w:ascii="仿宋_GB2312" w:hAnsi="仿宋" w:eastAsia="仿宋_GB2312" w:cs="仿宋_GB2312"/>
          <w:sz w:val="32"/>
          <w:szCs w:val="32"/>
        </w:rPr>
        <w:t>1037.5</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1042.97</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100.53%</w:t>
      </w:r>
      <w:r>
        <w:rPr>
          <w:rFonts w:hint="eastAsia" w:ascii="仿宋_GB2312" w:hAnsi="仿宋" w:eastAsia="仿宋_GB2312" w:cs="仿宋_GB2312"/>
          <w:sz w:val="32"/>
          <w:szCs w:val="32"/>
        </w:rPr>
        <w:t>，决算数大于预算数的主要原因</w:t>
      </w:r>
      <w:r>
        <w:rPr>
          <w:rStyle w:val="7"/>
          <w:rFonts w:hint="eastAsia" w:ascii="仿宋_GB2312" w:hAnsi="仿宋" w:eastAsia="仿宋_GB2312" w:cs="仿宋_GB2312"/>
          <w:b w:val="0"/>
          <w:bCs w:val="0"/>
          <w:sz w:val="32"/>
          <w:szCs w:val="32"/>
        </w:rPr>
        <w:t>是建筑防雷检测费项目，年中追加了</w:t>
      </w:r>
      <w:r>
        <w:rPr>
          <w:rStyle w:val="7"/>
          <w:rFonts w:ascii="仿宋_GB2312" w:hAnsi="仿宋" w:eastAsia="仿宋_GB2312" w:cs="仿宋_GB2312"/>
          <w:b w:val="0"/>
          <w:bCs w:val="0"/>
          <w:sz w:val="32"/>
          <w:szCs w:val="32"/>
        </w:rPr>
        <w:t>5.5</w:t>
      </w:r>
      <w:r>
        <w:rPr>
          <w:rStyle w:val="7"/>
          <w:rFonts w:hint="eastAsia" w:ascii="仿宋_GB2312" w:hAnsi="仿宋" w:eastAsia="仿宋_GB2312" w:cs="仿宋_GB2312"/>
          <w:b w:val="0"/>
          <w:bCs w:val="0"/>
          <w:sz w:val="32"/>
          <w:szCs w:val="32"/>
        </w:rPr>
        <w:t>万元</w:t>
      </w:r>
      <w:r>
        <w:rPr>
          <w:rFonts w:hint="eastAsia" w:ascii="仿宋_GB2312" w:hAnsi="仿宋" w:eastAsia="仿宋_GB2312" w:cs="仿宋_GB2312"/>
          <w:sz w:val="32"/>
          <w:szCs w:val="32"/>
        </w:rPr>
        <w:t>。</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城乡社区支出（类）其他城乡社区支出（款）其他城乡社区支出（项）。年初预算为</w:t>
      </w:r>
      <w:r>
        <w:rPr>
          <w:rFonts w:ascii="仿宋_GB2312" w:hAnsi="仿宋" w:eastAsia="仿宋_GB2312" w:cs="仿宋_GB2312"/>
          <w:sz w:val="32"/>
          <w:szCs w:val="32"/>
        </w:rPr>
        <w:t>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2225.1</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，决算数大于预算数的主要原因是镇级污水及污水零直排项目资金上年结转及省补资金下达。</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农林水支出（类）其他农林水支出（款）其他农林水支出（项）。年初预算为</w:t>
      </w:r>
      <w:r>
        <w:rPr>
          <w:rFonts w:ascii="仿宋_GB2312" w:hAnsi="仿宋" w:eastAsia="仿宋_GB2312" w:cs="仿宋_GB2312"/>
          <w:sz w:val="32"/>
          <w:szCs w:val="32"/>
        </w:rPr>
        <w:t>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1358.9</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，决算数大于预算数的主要原因是农村生活污水治理设施运行维护费及运行状态监测费项目预算指标订正。</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住房保障支出（类）保障性安居工程支出（款）棚户区改造（项）。年初预算为</w:t>
      </w:r>
      <w:r>
        <w:rPr>
          <w:rFonts w:ascii="仿宋_GB2312" w:hAnsi="仿宋" w:eastAsia="仿宋_GB2312" w:cs="仿宋_GB2312"/>
          <w:sz w:val="32"/>
          <w:szCs w:val="32"/>
        </w:rPr>
        <w:t>145</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1004</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692.41%</w:t>
      </w:r>
      <w:r>
        <w:rPr>
          <w:rFonts w:hint="eastAsia" w:ascii="仿宋_GB2312" w:hAnsi="仿宋" w:eastAsia="仿宋_GB2312" w:cs="仿宋_GB2312"/>
          <w:sz w:val="32"/>
          <w:szCs w:val="32"/>
        </w:rPr>
        <w:t>，决算数大于预算数的主要原因是保障性安居工程省补资金下达</w:t>
      </w:r>
      <w:r>
        <w:rPr>
          <w:rFonts w:ascii="仿宋_GB2312" w:hAnsi="仿宋" w:eastAsia="仿宋_GB2312" w:cs="仿宋_GB2312"/>
          <w:sz w:val="32"/>
          <w:szCs w:val="32"/>
        </w:rPr>
        <w:t>859</w:t>
      </w:r>
      <w:r>
        <w:rPr>
          <w:rFonts w:hint="eastAsia" w:ascii="仿宋_GB2312" w:hAnsi="仿宋" w:eastAsia="仿宋_GB2312" w:cs="仿宋_GB2312"/>
          <w:sz w:val="32"/>
          <w:szCs w:val="32"/>
        </w:rPr>
        <w:t>万元。</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住房保障支出（类）保障性安居工程支出（款）农村危房改造（项）。年初预算为</w:t>
      </w:r>
      <w:r>
        <w:rPr>
          <w:rFonts w:ascii="仿宋_GB2312" w:hAnsi="仿宋" w:eastAsia="仿宋_GB2312" w:cs="仿宋_GB2312"/>
          <w:sz w:val="32"/>
          <w:szCs w:val="32"/>
        </w:rPr>
        <w:t>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48.75</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，决算数大于预算数的主要原因是农村困难家庭危房改造省补资金下达</w:t>
      </w:r>
      <w:r>
        <w:rPr>
          <w:rFonts w:ascii="仿宋_GB2312" w:hAnsi="仿宋" w:eastAsia="仿宋_GB2312" w:cs="仿宋_GB2312"/>
          <w:sz w:val="32"/>
          <w:szCs w:val="32"/>
        </w:rPr>
        <w:t>48.75</w:t>
      </w:r>
      <w:r>
        <w:rPr>
          <w:rFonts w:hint="eastAsia" w:ascii="仿宋_GB2312" w:hAnsi="仿宋" w:eastAsia="仿宋_GB2312" w:cs="仿宋_GB2312"/>
          <w:sz w:val="32"/>
          <w:szCs w:val="32"/>
        </w:rPr>
        <w:t>万元。</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住房保障支出（类）保障性安居工程支出（款）保障性住房租金补贴（项）。年初预算为</w:t>
      </w:r>
      <w:r>
        <w:rPr>
          <w:rFonts w:ascii="仿宋_GB2312" w:hAnsi="仿宋" w:eastAsia="仿宋_GB2312" w:cs="仿宋_GB2312"/>
          <w:sz w:val="32"/>
          <w:szCs w:val="32"/>
        </w:rPr>
        <w:t>23</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11.69</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50.83%</w:t>
      </w:r>
      <w:r>
        <w:rPr>
          <w:rFonts w:hint="eastAsia" w:ascii="仿宋_GB2312" w:hAnsi="仿宋" w:eastAsia="仿宋_GB2312" w:cs="仿宋_GB2312"/>
          <w:sz w:val="32"/>
          <w:szCs w:val="32"/>
        </w:rPr>
        <w:t>，决算数小于预算数的主要原因是保障性住房租金补助项目没有根据年初预算计划安排执行，支出减少</w:t>
      </w:r>
      <w:r>
        <w:rPr>
          <w:rFonts w:ascii="仿宋_GB2312" w:hAnsi="仿宋" w:eastAsia="仿宋_GB2312" w:cs="仿宋_GB2312"/>
          <w:sz w:val="32"/>
          <w:szCs w:val="32"/>
        </w:rPr>
        <w:t>11.31</w:t>
      </w:r>
      <w:r>
        <w:rPr>
          <w:rFonts w:hint="eastAsia" w:ascii="仿宋_GB2312" w:hAnsi="仿宋" w:eastAsia="仿宋_GB2312" w:cs="仿宋_GB2312"/>
          <w:sz w:val="32"/>
          <w:szCs w:val="32"/>
        </w:rPr>
        <w:t>万元。</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住房保障支出（类）保障性安居工程支出（款）其他保障性安居工程支出（项）。年初预算为</w:t>
      </w:r>
      <w:r>
        <w:rPr>
          <w:rFonts w:ascii="仿宋_GB2312" w:hAnsi="仿宋" w:eastAsia="仿宋_GB2312" w:cs="仿宋_GB2312"/>
          <w:sz w:val="32"/>
          <w:szCs w:val="32"/>
        </w:rPr>
        <w:t>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65</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，决算数大于预算数的主要原因是保障性安居工程上年省补资金结转</w:t>
      </w:r>
      <w:r>
        <w:rPr>
          <w:rFonts w:ascii="仿宋_GB2312" w:hAnsi="仿宋" w:eastAsia="仿宋_GB2312" w:cs="仿宋_GB2312"/>
          <w:sz w:val="32"/>
          <w:szCs w:val="32"/>
        </w:rPr>
        <w:t>65</w:t>
      </w:r>
      <w:r>
        <w:rPr>
          <w:rFonts w:hint="eastAsia" w:ascii="仿宋_GB2312" w:hAnsi="仿宋" w:eastAsia="仿宋_GB2312" w:cs="仿宋_GB2312"/>
          <w:sz w:val="32"/>
          <w:szCs w:val="32"/>
        </w:rPr>
        <w:t>万元。</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灾害防治及应急管理支出（类）自然灾害救灾及恢复重建支出（款）其他自然灾害救灾及恢复重建支出（项）。年初预算为</w:t>
      </w:r>
      <w:r>
        <w:rPr>
          <w:rFonts w:ascii="仿宋_GB2312" w:hAnsi="仿宋" w:eastAsia="仿宋_GB2312" w:cs="仿宋_GB2312"/>
          <w:sz w:val="32"/>
          <w:szCs w:val="32"/>
        </w:rPr>
        <w:t>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25.52</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，决算数大于预算数的主要原因是市政、园林基础设施灾后生产自救及低洼地道路灾损修复和加高改造工程上年省补资金结转</w:t>
      </w:r>
      <w:r>
        <w:rPr>
          <w:rFonts w:ascii="仿宋_GB2312" w:hAnsi="仿宋" w:eastAsia="仿宋_GB2312" w:cs="仿宋_GB2312"/>
          <w:sz w:val="32"/>
          <w:szCs w:val="32"/>
        </w:rPr>
        <w:t>89.53</w:t>
      </w:r>
      <w:r>
        <w:rPr>
          <w:rFonts w:hint="eastAsia" w:ascii="仿宋_GB2312" w:hAnsi="仿宋" w:eastAsia="仿宋_GB2312" w:cs="仿宋_GB2312"/>
          <w:sz w:val="32"/>
          <w:szCs w:val="32"/>
        </w:rPr>
        <w:t>万元。</w:t>
      </w:r>
    </w:p>
    <w:p>
      <w:pPr>
        <w:spacing w:line="600" w:lineRule="exact"/>
        <w:ind w:firstLine="640"/>
        <w:jc w:val="both"/>
        <w:rPr>
          <w:rFonts w:cs="Times New Roman"/>
        </w:rPr>
      </w:pPr>
      <w:r>
        <w:rPr>
          <w:rStyle w:val="7"/>
          <w:rFonts w:hint="eastAsia" w:ascii="楷体" w:hAnsi="楷体" w:eastAsia="楷体" w:cs="楷体"/>
          <w:sz w:val="32"/>
          <w:szCs w:val="32"/>
        </w:rPr>
        <w:t>（六）一般公共预算财政拨款基本支出决算情况说明</w:t>
      </w:r>
    </w:p>
    <w:p>
      <w:pPr>
        <w:spacing w:line="60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年度一般公共预算财政拨款基本支出</w:t>
      </w:r>
      <w:r>
        <w:rPr>
          <w:rFonts w:ascii="仿宋_GB2312" w:hAnsi="仿宋" w:eastAsia="仿宋_GB2312" w:cs="仿宋_GB2312"/>
          <w:sz w:val="32"/>
          <w:szCs w:val="32"/>
        </w:rPr>
        <w:t>2,403.05</w:t>
      </w:r>
      <w:r>
        <w:rPr>
          <w:rFonts w:hint="eastAsia" w:ascii="仿宋_GB2312" w:hAnsi="仿宋" w:eastAsia="仿宋_GB2312" w:cs="仿宋_GB2312"/>
          <w:sz w:val="32"/>
          <w:szCs w:val="32"/>
        </w:rPr>
        <w:t>万元，其中：</w:t>
      </w:r>
    </w:p>
    <w:p>
      <w:pPr>
        <w:spacing w:line="600" w:lineRule="exact"/>
        <w:ind w:firstLine="640"/>
        <w:jc w:val="both"/>
        <w:rPr>
          <w:rFonts w:ascii="仿宋_GB2312" w:hAnsi="仿宋" w:eastAsia="仿宋_GB2312" w:cs="Times New Roman"/>
          <w:sz w:val="32"/>
          <w:szCs w:val="32"/>
        </w:rPr>
      </w:pPr>
      <w:r>
        <w:rPr>
          <w:rFonts w:hint="eastAsia" w:ascii="仿宋_GB2312" w:hAnsi="仿宋" w:eastAsia="仿宋_GB2312" w:cs="仿宋_GB2312"/>
          <w:sz w:val="32"/>
          <w:szCs w:val="32"/>
        </w:rPr>
        <w:t>人员经费</w:t>
      </w:r>
      <w:r>
        <w:rPr>
          <w:rFonts w:ascii="仿宋_GB2312" w:hAnsi="仿宋" w:eastAsia="仿宋_GB2312" w:cs="仿宋_GB2312"/>
          <w:sz w:val="32"/>
          <w:szCs w:val="32"/>
        </w:rPr>
        <w:t>2,076.34</w:t>
      </w:r>
      <w:r>
        <w:rPr>
          <w:rFonts w:hint="eastAsia" w:ascii="仿宋_GB2312" w:hAnsi="仿宋" w:eastAsia="仿宋_GB2312" w:cs="仿宋_GB2312"/>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抚恤金、生活补助、医疗费补助、其他对个人和家庭的补助。</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公用经费</w:t>
      </w:r>
      <w:r>
        <w:rPr>
          <w:rFonts w:ascii="仿宋_GB2312" w:hAnsi="仿宋" w:eastAsia="仿宋_GB2312" w:cs="仿宋_GB2312"/>
          <w:sz w:val="32"/>
          <w:szCs w:val="32"/>
        </w:rPr>
        <w:t>326.71</w:t>
      </w:r>
      <w:r>
        <w:rPr>
          <w:rFonts w:hint="eastAsia" w:ascii="仿宋_GB2312" w:hAnsi="仿宋" w:eastAsia="仿宋_GB2312" w:cs="仿宋_GB2312"/>
          <w:sz w:val="32"/>
          <w:szCs w:val="32"/>
        </w:rPr>
        <w:t>万元，主要包括：办公费、印刷费、手续费、水费、电费、邮电费、差旅费、维修（护）费、租赁费、会议费、培训费、公务接待费、专用材料费、劳务费、委托业务费、工会经费、福利费、公务用车运行维护费、其他交通费用、其他商品和服务支出、办公设备购置。</w:t>
      </w:r>
    </w:p>
    <w:p>
      <w:pPr>
        <w:spacing w:line="600" w:lineRule="exact"/>
        <w:ind w:firstLine="640"/>
        <w:jc w:val="both"/>
        <w:rPr>
          <w:rFonts w:cs="Times New Roman"/>
        </w:rPr>
      </w:pPr>
      <w:r>
        <w:rPr>
          <w:rStyle w:val="7"/>
          <w:rFonts w:hint="eastAsia" w:ascii="楷体" w:hAnsi="楷体" w:eastAsia="楷体" w:cs="楷体"/>
          <w:sz w:val="32"/>
          <w:szCs w:val="32"/>
        </w:rPr>
        <w:t>（七）政府性基金预算财政拨款支出决算总体情况</w:t>
      </w:r>
    </w:p>
    <w:p>
      <w:pPr>
        <w:spacing w:line="600" w:lineRule="exact"/>
        <w:ind w:firstLine="640"/>
        <w:jc w:val="both"/>
        <w:rPr>
          <w:rFonts w:ascii="仿宋_GB2312" w:eastAsia="仿宋_GB2312" w:cs="Times New Roman"/>
        </w:rPr>
      </w:pPr>
      <w:r>
        <w:rPr>
          <w:rStyle w:val="7"/>
          <w:rFonts w:ascii="仿宋_GB2312" w:hAnsi="仿宋" w:eastAsia="仿宋_GB2312" w:cs="仿宋_GB2312"/>
          <w:sz w:val="32"/>
          <w:szCs w:val="32"/>
        </w:rPr>
        <w:t>1.</w:t>
      </w:r>
      <w:r>
        <w:rPr>
          <w:rStyle w:val="7"/>
          <w:rFonts w:hint="eastAsia" w:ascii="仿宋_GB2312" w:hAnsi="仿宋" w:eastAsia="仿宋_GB2312" w:cs="仿宋_GB2312"/>
          <w:sz w:val="32"/>
          <w:szCs w:val="32"/>
        </w:rPr>
        <w:t>政府性基金预算财政拨款支出决算总体情况。</w:t>
      </w:r>
    </w:p>
    <w:p>
      <w:pPr>
        <w:spacing w:line="600" w:lineRule="exact"/>
        <w:ind w:firstLine="640"/>
        <w:jc w:val="both"/>
        <w:rPr>
          <w:rFonts w:ascii="仿宋_GB2312" w:hAnsi="仿宋" w:eastAsia="仿宋_GB2312" w:cs="Times New Roman"/>
          <w:sz w:val="32"/>
          <w:szCs w:val="32"/>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年度政府性基金预算财政拨款支出</w:t>
      </w:r>
      <w:r>
        <w:rPr>
          <w:rFonts w:ascii="仿宋_GB2312" w:hAnsi="仿宋" w:eastAsia="仿宋_GB2312" w:cs="仿宋_GB2312"/>
          <w:sz w:val="32"/>
          <w:szCs w:val="32"/>
        </w:rPr>
        <w:t>10,214.80</w:t>
      </w:r>
      <w:r>
        <w:rPr>
          <w:rFonts w:hint="eastAsia" w:ascii="仿宋_GB2312" w:hAnsi="仿宋" w:eastAsia="仿宋_GB2312" w:cs="仿宋_GB2312"/>
          <w:sz w:val="32"/>
          <w:szCs w:val="32"/>
        </w:rPr>
        <w:t>万元，占本年支出合计的</w:t>
      </w:r>
      <w:r>
        <w:rPr>
          <w:rFonts w:ascii="仿宋_GB2312" w:hAnsi="仿宋" w:eastAsia="仿宋_GB2312" w:cs="仿宋_GB2312"/>
          <w:sz w:val="32"/>
          <w:szCs w:val="32"/>
        </w:rPr>
        <w:t>28.26%</w:t>
      </w:r>
      <w:r>
        <w:rPr>
          <w:rFonts w:hint="eastAsia" w:ascii="仿宋_GB2312" w:hAnsi="仿宋" w:eastAsia="仿宋_GB2312" w:cs="仿宋_GB2312"/>
          <w:sz w:val="32"/>
          <w:szCs w:val="32"/>
        </w:rPr>
        <w:t>。与</w:t>
      </w:r>
      <w:r>
        <w:rPr>
          <w:rFonts w:ascii="仿宋_GB2312" w:hAnsi="仿宋" w:eastAsia="仿宋_GB2312" w:cs="仿宋_GB2312"/>
          <w:sz w:val="32"/>
          <w:szCs w:val="32"/>
        </w:rPr>
        <w:t>2019</w:t>
      </w:r>
      <w:r>
        <w:rPr>
          <w:rFonts w:hint="eastAsia" w:ascii="仿宋_GB2312" w:hAnsi="仿宋" w:eastAsia="仿宋_GB2312" w:cs="仿宋_GB2312"/>
          <w:sz w:val="32"/>
          <w:szCs w:val="32"/>
        </w:rPr>
        <w:t>年相比，政府性基金预算财政拨款支出减少</w:t>
      </w:r>
      <w:r>
        <w:rPr>
          <w:rFonts w:ascii="仿宋_GB2312" w:hAnsi="仿宋" w:eastAsia="仿宋_GB2312" w:cs="仿宋_GB2312"/>
          <w:sz w:val="32"/>
          <w:szCs w:val="32"/>
        </w:rPr>
        <w:t>3,937.11</w:t>
      </w:r>
      <w:r>
        <w:rPr>
          <w:rFonts w:hint="eastAsia" w:ascii="仿宋_GB2312" w:hAnsi="仿宋" w:eastAsia="仿宋_GB2312" w:cs="仿宋_GB2312"/>
          <w:sz w:val="32"/>
          <w:szCs w:val="32"/>
        </w:rPr>
        <w:t>万元，下降</w:t>
      </w:r>
      <w:r>
        <w:rPr>
          <w:rFonts w:ascii="仿宋_GB2312" w:hAnsi="仿宋" w:eastAsia="仿宋_GB2312" w:cs="仿宋_GB2312"/>
          <w:sz w:val="32"/>
          <w:szCs w:val="32"/>
        </w:rPr>
        <w:t>27.82%</w:t>
      </w:r>
      <w:r>
        <w:rPr>
          <w:rFonts w:hint="eastAsia" w:ascii="仿宋_GB2312" w:hAnsi="仿宋" w:eastAsia="仿宋_GB2312" w:cs="仿宋_GB2312"/>
          <w:sz w:val="32"/>
          <w:szCs w:val="32"/>
        </w:rPr>
        <w:t>。主要原因是：政府性基金预算项目支出减少。</w:t>
      </w:r>
    </w:p>
    <w:p>
      <w:pPr>
        <w:spacing w:line="600" w:lineRule="exact"/>
        <w:ind w:firstLine="640"/>
        <w:jc w:val="both"/>
        <w:rPr>
          <w:rFonts w:ascii="仿宋_GB2312" w:eastAsia="仿宋_GB2312" w:cs="Times New Roman"/>
        </w:rPr>
      </w:pPr>
      <w:r>
        <w:rPr>
          <w:rStyle w:val="7"/>
          <w:rFonts w:ascii="仿宋_GB2312" w:hAnsi="仿宋" w:eastAsia="仿宋_GB2312" w:cs="仿宋_GB2312"/>
          <w:sz w:val="32"/>
          <w:szCs w:val="32"/>
        </w:rPr>
        <w:t>2.</w:t>
      </w:r>
      <w:r>
        <w:rPr>
          <w:rStyle w:val="7"/>
          <w:rFonts w:hint="eastAsia" w:ascii="仿宋_GB2312" w:hAnsi="仿宋" w:eastAsia="仿宋_GB2312" w:cs="仿宋_GB2312"/>
          <w:sz w:val="32"/>
          <w:szCs w:val="32"/>
        </w:rPr>
        <w:t>政府性基金预算财政拨款支出决算结构情况。</w:t>
      </w:r>
    </w:p>
    <w:p>
      <w:pPr>
        <w:spacing w:line="60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年度政府性基金预算财政拨款支出</w:t>
      </w:r>
      <w:r>
        <w:rPr>
          <w:rFonts w:ascii="仿宋_GB2312" w:hAnsi="仿宋" w:eastAsia="仿宋_GB2312" w:cs="仿宋_GB2312"/>
          <w:sz w:val="32"/>
          <w:szCs w:val="32"/>
        </w:rPr>
        <w:t>10,214.80</w:t>
      </w:r>
      <w:r>
        <w:rPr>
          <w:rFonts w:hint="eastAsia" w:ascii="仿宋_GB2312" w:hAnsi="仿宋" w:eastAsia="仿宋_GB2312" w:cs="仿宋_GB2312"/>
          <w:sz w:val="32"/>
          <w:szCs w:val="32"/>
        </w:rPr>
        <w:t>万元，主要用于以下方面：科学技术（类）支出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；文化旅游体育与传媒（类）支出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；社会保障和就业（类）支出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；节能环保（类）支出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；城乡社区（类）支出</w:t>
      </w:r>
      <w:r>
        <w:rPr>
          <w:rFonts w:ascii="仿宋_GB2312" w:hAnsi="仿宋" w:eastAsia="仿宋_GB2312" w:cs="仿宋_GB2312"/>
          <w:sz w:val="32"/>
          <w:szCs w:val="32"/>
        </w:rPr>
        <w:t>7,603.06</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74.43%</w:t>
      </w:r>
      <w:r>
        <w:rPr>
          <w:rFonts w:hint="eastAsia" w:ascii="仿宋_GB2312" w:hAnsi="仿宋" w:eastAsia="仿宋_GB2312" w:cs="仿宋_GB2312"/>
          <w:sz w:val="32"/>
          <w:szCs w:val="32"/>
        </w:rPr>
        <w:t>；农林水（类）支出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；交通运输（类）支出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；资源勘探信息等（类）支出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；金融（类）支出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；其他（类）支出</w:t>
      </w:r>
      <w:r>
        <w:rPr>
          <w:rFonts w:ascii="仿宋_GB2312" w:hAnsi="仿宋" w:eastAsia="仿宋_GB2312" w:cs="仿宋_GB2312"/>
          <w:sz w:val="32"/>
          <w:szCs w:val="32"/>
        </w:rPr>
        <w:t>2,611.73</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25.57%</w:t>
      </w:r>
      <w:r>
        <w:rPr>
          <w:rFonts w:hint="eastAsia" w:ascii="仿宋_GB2312" w:hAnsi="仿宋" w:eastAsia="仿宋_GB2312" w:cs="仿宋_GB2312"/>
          <w:sz w:val="32"/>
          <w:szCs w:val="32"/>
        </w:rPr>
        <w:t>；债务付息（类）支出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；抗疫特别国债安排（类）支出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占</w:t>
      </w:r>
      <w:r>
        <w:rPr>
          <w:rFonts w:ascii="仿宋_GB2312" w:hAnsi="仿宋" w:eastAsia="仿宋_GB2312" w:cs="仿宋_GB2312"/>
          <w:sz w:val="32"/>
          <w:szCs w:val="32"/>
        </w:rPr>
        <w:t>0%</w:t>
      </w:r>
      <w:r>
        <w:rPr>
          <w:rFonts w:hint="eastAsia" w:ascii="仿宋_GB2312" w:hAnsi="仿宋" w:eastAsia="仿宋_GB2312" w:cs="仿宋_GB2312"/>
          <w:sz w:val="32"/>
          <w:szCs w:val="32"/>
        </w:rPr>
        <w:t>。</w:t>
      </w:r>
    </w:p>
    <w:p>
      <w:pPr>
        <w:spacing w:line="600" w:lineRule="exact"/>
        <w:ind w:firstLine="640"/>
        <w:jc w:val="both"/>
        <w:rPr>
          <w:rStyle w:val="7"/>
          <w:rFonts w:ascii="仿宋_GB2312" w:hAnsi="仿宋" w:eastAsia="仿宋_GB2312" w:cs="Times New Roman"/>
          <w:sz w:val="32"/>
          <w:szCs w:val="32"/>
        </w:rPr>
      </w:pPr>
      <w:r>
        <w:rPr>
          <w:rStyle w:val="7"/>
          <w:rFonts w:ascii="仿宋_GB2312" w:hAnsi="仿宋" w:eastAsia="仿宋_GB2312" w:cs="仿宋_GB2312"/>
          <w:sz w:val="32"/>
          <w:szCs w:val="32"/>
        </w:rPr>
        <w:t>3.</w:t>
      </w:r>
      <w:r>
        <w:rPr>
          <w:rStyle w:val="7"/>
          <w:rFonts w:hint="eastAsia" w:ascii="仿宋_GB2312" w:hAnsi="仿宋" w:eastAsia="仿宋_GB2312" w:cs="仿宋_GB2312"/>
          <w:sz w:val="32"/>
          <w:szCs w:val="32"/>
        </w:rPr>
        <w:t>政府性基金预算财政拨款支出决算具体情况。</w:t>
      </w:r>
    </w:p>
    <w:p>
      <w:pPr>
        <w:spacing w:line="60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年度政府性基金预算财政拨款支出年初预算为</w:t>
      </w:r>
      <w:r>
        <w:rPr>
          <w:rFonts w:ascii="仿宋_GB2312" w:hAnsi="仿宋" w:eastAsia="仿宋_GB2312" w:cs="仿宋_GB2312"/>
          <w:sz w:val="32"/>
          <w:szCs w:val="32"/>
        </w:rPr>
        <w:t>11050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10,214.80</w:t>
      </w:r>
      <w:r>
        <w:rPr>
          <w:rFonts w:hint="eastAsia" w:ascii="仿宋_GB2312" w:hAnsi="仿宋" w:eastAsia="仿宋_GB2312" w:cs="仿宋_GB2312"/>
          <w:sz w:val="32"/>
          <w:szCs w:val="32"/>
        </w:rPr>
        <w:t>万元</w:t>
      </w:r>
      <w:r>
        <w:rPr>
          <w:rFonts w:ascii="仿宋_GB2312" w:hAnsi="仿宋" w:eastAsia="仿宋_GB2312" w:cs="仿宋_GB2312"/>
          <w:sz w:val="32"/>
          <w:szCs w:val="32"/>
        </w:rPr>
        <w:t>,</w:t>
      </w:r>
      <w:r>
        <w:rPr>
          <w:rFonts w:hint="eastAsia" w:ascii="仿宋_GB2312" w:hAnsi="仿宋" w:eastAsia="仿宋_GB2312" w:cs="仿宋_GB2312"/>
          <w:sz w:val="32"/>
          <w:szCs w:val="32"/>
        </w:rPr>
        <w:t>完成年初预算的</w:t>
      </w:r>
      <w:r>
        <w:rPr>
          <w:rFonts w:ascii="仿宋_GB2312" w:hAnsi="仿宋" w:eastAsia="仿宋_GB2312" w:cs="仿宋_GB2312"/>
          <w:sz w:val="32"/>
          <w:szCs w:val="32"/>
        </w:rPr>
        <w:t>92.44%</w:t>
      </w:r>
      <w:r>
        <w:rPr>
          <w:rFonts w:hint="eastAsia" w:ascii="仿宋_GB2312" w:hAnsi="仿宋" w:eastAsia="仿宋_GB2312" w:cs="仿宋_GB2312"/>
          <w:sz w:val="32"/>
          <w:szCs w:val="32"/>
        </w:rPr>
        <w:t>，主要原因是政府性基金预算项目支出减少。其中：</w:t>
      </w:r>
    </w:p>
    <w:p>
      <w:pPr>
        <w:spacing w:line="600" w:lineRule="exact"/>
        <w:ind w:firstLine="640"/>
        <w:jc w:val="both"/>
        <w:rPr>
          <w:rFonts w:ascii="仿宋_GB2312" w:hAnsi="仿宋" w:eastAsia="仿宋_GB2312" w:cs="Times New Roman"/>
          <w:sz w:val="32"/>
          <w:szCs w:val="32"/>
        </w:rPr>
      </w:pPr>
      <w:r>
        <w:rPr>
          <w:rFonts w:hint="eastAsia" w:ascii="仿宋_GB2312" w:hAnsi="仿宋" w:eastAsia="仿宋_GB2312" w:cs="仿宋_GB2312"/>
          <w:sz w:val="32"/>
          <w:szCs w:val="32"/>
        </w:rPr>
        <w:t>城乡社区支出（类）国有土地使用权出让收入安排的支出（款）廉租住房支出（项）。年初预算为</w:t>
      </w:r>
      <w:r>
        <w:rPr>
          <w:rFonts w:ascii="仿宋_GB2312" w:hAnsi="仿宋" w:eastAsia="仿宋_GB2312" w:cs="仿宋_GB2312"/>
          <w:sz w:val="32"/>
          <w:szCs w:val="32"/>
        </w:rPr>
        <w:t>1000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1000</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，决算数同年初预算数基本一致，是因为严格执行年初预算的计划安排。</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城乡社区支出（类）国有土地使用权出让收入安排的支出（款）其他国有土地使用权出让收入安排的支出（项）。年初预算为</w:t>
      </w:r>
      <w:r>
        <w:rPr>
          <w:rFonts w:ascii="仿宋_GB2312" w:hAnsi="仿宋" w:eastAsia="仿宋_GB2312" w:cs="仿宋_GB2312"/>
          <w:sz w:val="32"/>
          <w:szCs w:val="32"/>
        </w:rPr>
        <w:t>2900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2027.66</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88.16%</w:t>
      </w:r>
      <w:r>
        <w:rPr>
          <w:rFonts w:hint="eastAsia" w:ascii="仿宋_GB2312" w:hAnsi="仿宋" w:eastAsia="仿宋_GB2312" w:cs="仿宋_GB2312"/>
          <w:sz w:val="32"/>
          <w:szCs w:val="32"/>
        </w:rPr>
        <w:t>，决算数小于预算数的主要原因是人防工程项目、农污纳入城污项目支出减少。</w:t>
      </w:r>
    </w:p>
    <w:p>
      <w:pPr>
        <w:spacing w:line="600" w:lineRule="exact"/>
        <w:ind w:firstLine="640"/>
        <w:jc w:val="both"/>
        <w:rPr>
          <w:rFonts w:ascii="仿宋_GB2312" w:hAnsi="仿宋" w:eastAsia="仿宋_GB2312" w:cs="Times New Roman"/>
          <w:sz w:val="32"/>
          <w:szCs w:val="32"/>
        </w:rPr>
      </w:pPr>
      <w:r>
        <w:rPr>
          <w:rFonts w:hint="eastAsia" w:ascii="仿宋_GB2312" w:hAnsi="仿宋" w:eastAsia="仿宋_GB2312" w:cs="仿宋_GB2312"/>
          <w:sz w:val="32"/>
          <w:szCs w:val="32"/>
        </w:rPr>
        <w:t>城乡社区支出（类）城市基础设施配套费安排的支出（款）其他城市基础设施配套费安排的支出（项）。年初预算为</w:t>
      </w:r>
      <w:r>
        <w:rPr>
          <w:rFonts w:ascii="仿宋_GB2312" w:hAnsi="仿宋" w:eastAsia="仿宋_GB2312" w:cs="仿宋_GB2312"/>
          <w:sz w:val="32"/>
          <w:szCs w:val="32"/>
        </w:rPr>
        <w:t>4850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4575.41</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94.34%</w:t>
      </w:r>
      <w:r>
        <w:rPr>
          <w:rFonts w:hint="eastAsia" w:ascii="仿宋_GB2312" w:hAnsi="仿宋" w:eastAsia="仿宋_GB2312" w:cs="仿宋_GB2312"/>
          <w:sz w:val="32"/>
          <w:szCs w:val="32"/>
        </w:rPr>
        <w:t>，决算数小于预算数的主要原因烈士山公园周边环境整治工程项目支出减少。</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其他支出（类）其他政府性基金及对应专项债务收入安排的支出（款）其他政府性基金安排的支出（项）。年初预算为</w:t>
      </w:r>
      <w:r>
        <w:rPr>
          <w:rFonts w:ascii="仿宋_GB2312" w:hAnsi="仿宋" w:eastAsia="仿宋_GB2312" w:cs="仿宋_GB2312"/>
          <w:sz w:val="32"/>
          <w:szCs w:val="32"/>
        </w:rPr>
        <w:t>2300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2111.73</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91.81%</w:t>
      </w:r>
      <w:r>
        <w:rPr>
          <w:rFonts w:hint="eastAsia" w:ascii="仿宋_GB2312" w:hAnsi="仿宋" w:eastAsia="仿宋_GB2312" w:cs="仿宋_GB2312"/>
          <w:sz w:val="32"/>
          <w:szCs w:val="32"/>
        </w:rPr>
        <w:t>，决算数小于预算数的主要原因是创建省示范文明城市项目支出减少。</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其他支出（类）其他政府性基金及对应专项债务收入安排的支出（款）其他地方自行试点项目收益专项债券收入安排的支出（项）。年初预算为</w:t>
      </w:r>
      <w:r>
        <w:rPr>
          <w:rFonts w:ascii="仿宋_GB2312" w:hAnsi="仿宋" w:eastAsia="仿宋_GB2312" w:cs="仿宋_GB2312"/>
          <w:sz w:val="32"/>
          <w:szCs w:val="32"/>
        </w:rPr>
        <w:t>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500</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，决算数大于预算数的主要原因是主城区老旧小区改造债券资金追加。</w:t>
      </w:r>
    </w:p>
    <w:p>
      <w:pPr>
        <w:spacing w:line="600" w:lineRule="exact"/>
        <w:ind w:firstLine="640"/>
        <w:jc w:val="both"/>
        <w:rPr>
          <w:rStyle w:val="7"/>
          <w:rFonts w:ascii="楷体" w:hAnsi="楷体" w:eastAsia="楷体" w:cs="Times New Roman"/>
          <w:sz w:val="32"/>
          <w:szCs w:val="32"/>
        </w:rPr>
      </w:pPr>
      <w:r>
        <w:rPr>
          <w:rStyle w:val="7"/>
          <w:rFonts w:hint="eastAsia" w:ascii="楷体" w:hAnsi="楷体" w:eastAsia="楷体" w:cs="楷体"/>
          <w:sz w:val="32"/>
          <w:szCs w:val="32"/>
        </w:rPr>
        <w:t>（八）国有资本经营预算财政拨款支出决算总体情况</w:t>
      </w:r>
    </w:p>
    <w:p>
      <w:pPr>
        <w:spacing w:line="600" w:lineRule="exact"/>
        <w:ind w:firstLine="640"/>
        <w:jc w:val="both"/>
        <w:rPr>
          <w:rStyle w:val="7"/>
          <w:rFonts w:ascii="仿宋_GB2312" w:hAnsi="楷体" w:eastAsia="仿宋_GB2312" w:cs="Times New Roman"/>
          <w:sz w:val="32"/>
          <w:szCs w:val="32"/>
        </w:rPr>
      </w:pPr>
      <w:r>
        <w:rPr>
          <w:rFonts w:hint="eastAsia" w:ascii="仿宋_GB2312" w:hAnsi="仿宋" w:eastAsia="仿宋_GB2312" w:cs="仿宋_GB2312"/>
          <w:sz w:val="32"/>
          <w:szCs w:val="32"/>
        </w:rPr>
        <w:t>本单位</w:t>
      </w:r>
      <w:r>
        <w:rPr>
          <w:rFonts w:ascii="仿宋_GB2312" w:hAnsi="仿宋" w:eastAsia="仿宋_GB2312" w:cs="仿宋_GB2312"/>
          <w:sz w:val="32"/>
          <w:szCs w:val="32"/>
        </w:rPr>
        <w:t>2020</w:t>
      </w:r>
      <w:r>
        <w:rPr>
          <w:rFonts w:hint="eastAsia" w:ascii="仿宋_GB2312" w:hAnsi="仿宋" w:eastAsia="仿宋_GB2312" w:cs="仿宋_GB2312"/>
          <w:sz w:val="32"/>
          <w:szCs w:val="32"/>
        </w:rPr>
        <w:t>年度无国有资本经营预算财政拨款收支安排，故无相关数据。</w:t>
      </w:r>
    </w:p>
    <w:p>
      <w:pPr>
        <w:spacing w:line="600" w:lineRule="exact"/>
        <w:ind w:firstLine="640"/>
        <w:jc w:val="both"/>
        <w:rPr>
          <w:rFonts w:cs="Times New Roman"/>
        </w:rPr>
      </w:pPr>
      <w:r>
        <w:rPr>
          <w:rStyle w:val="7"/>
          <w:rFonts w:hint="eastAsia" w:ascii="楷体" w:hAnsi="楷体" w:eastAsia="楷体" w:cs="楷体"/>
          <w:sz w:val="32"/>
          <w:szCs w:val="32"/>
        </w:rPr>
        <w:t>（九）一般公共预算财政拨款“三公”经费支出决算情况说明</w:t>
      </w:r>
    </w:p>
    <w:p>
      <w:pPr>
        <w:spacing w:line="600" w:lineRule="exact"/>
        <w:ind w:firstLine="640"/>
        <w:jc w:val="both"/>
        <w:rPr>
          <w:rStyle w:val="7"/>
          <w:rFonts w:ascii="仿宋_GB2312" w:hAnsi="仿宋" w:eastAsia="仿宋_GB2312" w:cs="Times New Roman"/>
          <w:sz w:val="32"/>
          <w:szCs w:val="32"/>
        </w:rPr>
      </w:pPr>
      <w:r>
        <w:rPr>
          <w:rStyle w:val="7"/>
          <w:rFonts w:ascii="仿宋_GB2312" w:hAnsi="仿宋" w:eastAsia="仿宋_GB2312" w:cs="仿宋_GB2312"/>
          <w:sz w:val="32"/>
          <w:szCs w:val="32"/>
        </w:rPr>
        <w:t>1.</w:t>
      </w:r>
      <w:r>
        <w:rPr>
          <w:rStyle w:val="7"/>
          <w:rFonts w:hint="eastAsia" w:ascii="仿宋_GB2312" w:hAnsi="仿宋" w:eastAsia="仿宋_GB2312" w:cs="仿宋_GB2312"/>
          <w:sz w:val="32"/>
          <w:szCs w:val="32"/>
        </w:rPr>
        <w:t>“三公”经费一般公共预算财政拨款支出决算总体情况说明。</w:t>
      </w:r>
    </w:p>
    <w:p>
      <w:pPr>
        <w:spacing w:line="60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年度“三公”经费一般公共预算财政拨款支出预算为</w:t>
      </w:r>
      <w:r>
        <w:rPr>
          <w:rFonts w:ascii="仿宋_GB2312" w:hAnsi="仿宋" w:eastAsia="仿宋_GB2312" w:cs="仿宋_GB2312"/>
          <w:sz w:val="32"/>
          <w:szCs w:val="32"/>
        </w:rPr>
        <w:t>38.64</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9.41</w:t>
      </w:r>
      <w:r>
        <w:rPr>
          <w:rFonts w:hint="eastAsia" w:ascii="仿宋_GB2312" w:hAnsi="仿宋" w:eastAsia="仿宋_GB2312" w:cs="仿宋_GB2312"/>
          <w:sz w:val="32"/>
          <w:szCs w:val="32"/>
        </w:rPr>
        <w:t>万元，完成预算的</w:t>
      </w:r>
      <w:r>
        <w:rPr>
          <w:rFonts w:ascii="仿宋_GB2312" w:hAnsi="仿宋" w:eastAsia="仿宋_GB2312" w:cs="仿宋_GB2312"/>
          <w:sz w:val="32"/>
          <w:szCs w:val="32"/>
        </w:rPr>
        <w:t>24.35%,2020</w:t>
      </w:r>
      <w:r>
        <w:rPr>
          <w:rFonts w:hint="eastAsia" w:ascii="仿宋_GB2312" w:hAnsi="仿宋" w:eastAsia="仿宋_GB2312" w:cs="仿宋_GB2312"/>
          <w:sz w:val="32"/>
          <w:szCs w:val="32"/>
        </w:rPr>
        <w:t>年度“三公”经费支出决算数小于预算数的主要原因是厉行节约，三公经费支出减少。</w:t>
      </w:r>
    </w:p>
    <w:p>
      <w:pPr>
        <w:spacing w:line="600" w:lineRule="exact"/>
        <w:ind w:firstLine="640"/>
        <w:jc w:val="both"/>
        <w:rPr>
          <w:rFonts w:ascii="仿宋_GB2312" w:eastAsia="仿宋_GB2312" w:cs="Times New Roman"/>
        </w:rPr>
      </w:pPr>
      <w:r>
        <w:rPr>
          <w:rStyle w:val="7"/>
          <w:rFonts w:ascii="仿宋_GB2312" w:hAnsi="仿宋" w:eastAsia="仿宋_GB2312" w:cs="仿宋_GB2312"/>
          <w:sz w:val="32"/>
          <w:szCs w:val="32"/>
        </w:rPr>
        <w:t>2.</w:t>
      </w:r>
      <w:r>
        <w:rPr>
          <w:rStyle w:val="7"/>
          <w:rFonts w:hint="eastAsia" w:ascii="仿宋_GB2312" w:hAnsi="仿宋" w:eastAsia="仿宋_GB2312" w:cs="仿宋_GB2312"/>
          <w:sz w:val="32"/>
          <w:szCs w:val="32"/>
        </w:rPr>
        <w:t>“三公”经费一般公共预算财政拨款支出决算具体情况说明。</w:t>
      </w:r>
    </w:p>
    <w:p>
      <w:pPr>
        <w:spacing w:line="60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年度“三公”经费一般公共预算财政拨款支出决算中，因公出国（境）费用支出决算为</w:t>
      </w:r>
      <w:r>
        <w:rPr>
          <w:rFonts w:ascii="仿宋_GB2312" w:hAnsi="仿宋" w:eastAsia="仿宋_GB2312" w:cs="仿宋_GB2312"/>
          <w:sz w:val="32"/>
          <w:szCs w:val="32"/>
        </w:rPr>
        <w:t>0</w:t>
      </w:r>
      <w:r>
        <w:rPr>
          <w:rFonts w:hint="eastAsia" w:ascii="仿宋_GB2312" w:hAnsi="仿宋" w:eastAsia="仿宋_GB2312" w:cs="仿宋_GB2312"/>
          <w:sz w:val="32"/>
          <w:szCs w:val="32"/>
        </w:rPr>
        <w:t>万元，占</w:t>
      </w:r>
      <w:r>
        <w:rPr>
          <w:rFonts w:ascii="仿宋_GB2312" w:hAnsi="仿宋" w:eastAsia="仿宋_GB2312" w:cs="仿宋_GB2312"/>
          <w:sz w:val="32"/>
          <w:szCs w:val="32"/>
        </w:rPr>
        <w:t>0%</w:t>
      </w:r>
      <w:r>
        <w:rPr>
          <w:rFonts w:hint="eastAsia" w:ascii="仿宋_GB2312" w:hAnsi="仿宋" w:eastAsia="仿宋_GB2312" w:cs="仿宋_GB2312"/>
          <w:sz w:val="32"/>
          <w:szCs w:val="32"/>
        </w:rPr>
        <w:t>，与</w:t>
      </w:r>
      <w:r>
        <w:rPr>
          <w:rFonts w:ascii="仿宋_GB2312" w:hAnsi="仿宋" w:eastAsia="仿宋_GB2312" w:cs="仿宋_GB2312"/>
          <w:sz w:val="32"/>
          <w:szCs w:val="32"/>
        </w:rPr>
        <w:t>2019</w:t>
      </w:r>
      <w:r>
        <w:rPr>
          <w:rFonts w:hint="eastAsia" w:ascii="仿宋_GB2312" w:hAnsi="仿宋" w:eastAsia="仿宋_GB2312" w:cs="仿宋_GB2312"/>
          <w:sz w:val="32"/>
          <w:szCs w:val="32"/>
        </w:rPr>
        <w:t>年度相比，减少</w:t>
      </w:r>
      <w:r>
        <w:rPr>
          <w:rFonts w:ascii="仿宋_GB2312" w:hAnsi="仿宋" w:eastAsia="仿宋_GB2312" w:cs="仿宋_GB2312"/>
          <w:sz w:val="32"/>
          <w:szCs w:val="32"/>
        </w:rPr>
        <w:t>4.04</w:t>
      </w:r>
      <w:r>
        <w:rPr>
          <w:rFonts w:hint="eastAsia" w:ascii="仿宋_GB2312" w:hAnsi="仿宋" w:eastAsia="仿宋_GB2312" w:cs="仿宋_GB2312"/>
          <w:sz w:val="32"/>
          <w:szCs w:val="32"/>
        </w:rPr>
        <w:t>万元，下降</w:t>
      </w:r>
      <w:r>
        <w:rPr>
          <w:rFonts w:ascii="仿宋_GB2312" w:hAnsi="仿宋" w:eastAsia="仿宋_GB2312" w:cs="仿宋_GB2312"/>
          <w:sz w:val="32"/>
          <w:szCs w:val="32"/>
        </w:rPr>
        <w:t>100.00%</w:t>
      </w:r>
      <w:r>
        <w:rPr>
          <w:rFonts w:hint="eastAsia" w:ascii="仿宋_GB2312" w:hAnsi="仿宋" w:eastAsia="仿宋_GB2312" w:cs="仿宋_GB2312"/>
          <w:sz w:val="32"/>
          <w:szCs w:val="32"/>
        </w:rPr>
        <w:t>，主要原因是本年度未安排因公出国；公务用车购置及运行维护费支出决算为</w:t>
      </w:r>
      <w:r>
        <w:rPr>
          <w:rFonts w:ascii="仿宋_GB2312" w:hAnsi="仿宋" w:eastAsia="仿宋_GB2312" w:cs="仿宋_GB2312"/>
          <w:sz w:val="32"/>
          <w:szCs w:val="32"/>
        </w:rPr>
        <w:t>7.25</w:t>
      </w:r>
      <w:r>
        <w:rPr>
          <w:rFonts w:hint="eastAsia" w:ascii="仿宋_GB2312" w:hAnsi="仿宋" w:eastAsia="仿宋_GB2312" w:cs="仿宋_GB2312"/>
          <w:sz w:val="32"/>
          <w:szCs w:val="32"/>
        </w:rPr>
        <w:t>万元，占</w:t>
      </w:r>
      <w:r>
        <w:rPr>
          <w:rFonts w:ascii="仿宋_GB2312" w:hAnsi="仿宋" w:eastAsia="仿宋_GB2312" w:cs="仿宋_GB2312"/>
          <w:sz w:val="32"/>
          <w:szCs w:val="32"/>
        </w:rPr>
        <w:t>77.07%</w:t>
      </w:r>
      <w:r>
        <w:rPr>
          <w:rFonts w:hint="eastAsia" w:ascii="仿宋_GB2312" w:hAnsi="仿宋" w:eastAsia="仿宋_GB2312" w:cs="仿宋_GB2312"/>
          <w:sz w:val="32"/>
          <w:szCs w:val="32"/>
        </w:rPr>
        <w:t>，与</w:t>
      </w:r>
      <w:r>
        <w:rPr>
          <w:rFonts w:ascii="仿宋_GB2312" w:hAnsi="仿宋" w:eastAsia="仿宋_GB2312" w:cs="仿宋_GB2312"/>
          <w:sz w:val="32"/>
          <w:szCs w:val="32"/>
        </w:rPr>
        <w:t>2019</w:t>
      </w:r>
      <w:r>
        <w:rPr>
          <w:rFonts w:hint="eastAsia" w:ascii="仿宋_GB2312" w:hAnsi="仿宋" w:eastAsia="仿宋_GB2312" w:cs="仿宋_GB2312"/>
          <w:sz w:val="32"/>
          <w:szCs w:val="32"/>
        </w:rPr>
        <w:t>年度相比，增加</w:t>
      </w:r>
      <w:r>
        <w:rPr>
          <w:rFonts w:ascii="仿宋_GB2312" w:hAnsi="仿宋" w:eastAsia="仿宋_GB2312" w:cs="仿宋_GB2312"/>
          <w:sz w:val="32"/>
          <w:szCs w:val="32"/>
        </w:rPr>
        <w:t>6.19</w:t>
      </w:r>
      <w:r>
        <w:rPr>
          <w:rFonts w:hint="eastAsia" w:ascii="仿宋_GB2312" w:hAnsi="仿宋" w:eastAsia="仿宋_GB2312" w:cs="仿宋_GB2312"/>
          <w:sz w:val="32"/>
          <w:szCs w:val="32"/>
        </w:rPr>
        <w:t>万元，增长</w:t>
      </w:r>
      <w:r>
        <w:rPr>
          <w:rFonts w:ascii="仿宋_GB2312" w:hAnsi="仿宋" w:eastAsia="仿宋_GB2312" w:cs="仿宋_GB2312"/>
          <w:sz w:val="32"/>
          <w:szCs w:val="32"/>
        </w:rPr>
        <w:t>581.19%</w:t>
      </w:r>
      <w:r>
        <w:rPr>
          <w:rFonts w:hint="eastAsia" w:ascii="仿宋_GB2312" w:hAnsi="仿宋" w:eastAsia="仿宋_GB2312" w:cs="仿宋_GB2312"/>
          <w:sz w:val="32"/>
          <w:szCs w:val="32"/>
        </w:rPr>
        <w:t>，主要原因是市政中心并入局本级核算；公务接待费支出决算为</w:t>
      </w:r>
      <w:r>
        <w:rPr>
          <w:rFonts w:ascii="仿宋_GB2312" w:hAnsi="仿宋" w:eastAsia="仿宋_GB2312" w:cs="仿宋_GB2312"/>
          <w:sz w:val="32"/>
          <w:szCs w:val="32"/>
        </w:rPr>
        <w:t>2.16</w:t>
      </w:r>
      <w:r>
        <w:rPr>
          <w:rFonts w:hint="eastAsia" w:ascii="仿宋_GB2312" w:hAnsi="仿宋" w:eastAsia="仿宋_GB2312" w:cs="仿宋_GB2312"/>
          <w:sz w:val="32"/>
          <w:szCs w:val="32"/>
        </w:rPr>
        <w:t>万元，占</w:t>
      </w:r>
      <w:r>
        <w:rPr>
          <w:rFonts w:ascii="仿宋_GB2312" w:hAnsi="仿宋" w:eastAsia="仿宋_GB2312" w:cs="仿宋_GB2312"/>
          <w:sz w:val="32"/>
          <w:szCs w:val="32"/>
        </w:rPr>
        <w:t>22.93%</w:t>
      </w:r>
      <w:r>
        <w:rPr>
          <w:rFonts w:hint="eastAsia" w:ascii="仿宋_GB2312" w:hAnsi="仿宋" w:eastAsia="仿宋_GB2312" w:cs="仿宋_GB2312"/>
          <w:sz w:val="32"/>
          <w:szCs w:val="32"/>
        </w:rPr>
        <w:t>，与</w:t>
      </w:r>
      <w:r>
        <w:rPr>
          <w:rFonts w:ascii="仿宋_GB2312" w:hAnsi="仿宋" w:eastAsia="仿宋_GB2312" w:cs="仿宋_GB2312"/>
          <w:sz w:val="32"/>
          <w:szCs w:val="32"/>
        </w:rPr>
        <w:t>2019</w:t>
      </w:r>
      <w:r>
        <w:rPr>
          <w:rFonts w:hint="eastAsia" w:ascii="仿宋_GB2312" w:hAnsi="仿宋" w:eastAsia="仿宋_GB2312" w:cs="仿宋_GB2312"/>
          <w:sz w:val="32"/>
          <w:szCs w:val="32"/>
        </w:rPr>
        <w:t>年度相比，增减少</w:t>
      </w:r>
      <w:r>
        <w:rPr>
          <w:rFonts w:ascii="仿宋_GB2312" w:hAnsi="仿宋" w:eastAsia="仿宋_GB2312" w:cs="仿宋_GB2312"/>
          <w:sz w:val="32"/>
          <w:szCs w:val="32"/>
        </w:rPr>
        <w:t>1.02</w:t>
      </w:r>
      <w:r>
        <w:rPr>
          <w:rFonts w:hint="eastAsia" w:ascii="仿宋_GB2312" w:hAnsi="仿宋" w:eastAsia="仿宋_GB2312" w:cs="仿宋_GB2312"/>
          <w:sz w:val="32"/>
          <w:szCs w:val="32"/>
        </w:rPr>
        <w:t>万元，下降</w:t>
      </w:r>
      <w:r>
        <w:rPr>
          <w:rFonts w:ascii="仿宋_GB2312" w:hAnsi="仿宋" w:eastAsia="仿宋_GB2312" w:cs="仿宋_GB2312"/>
          <w:sz w:val="32"/>
          <w:szCs w:val="32"/>
        </w:rPr>
        <w:t>32.00%</w:t>
      </w:r>
      <w:r>
        <w:rPr>
          <w:rFonts w:hint="eastAsia" w:ascii="仿宋_GB2312" w:hAnsi="仿宋" w:eastAsia="仿宋_GB2312" w:cs="仿宋_GB2312"/>
          <w:sz w:val="32"/>
          <w:szCs w:val="32"/>
        </w:rPr>
        <w:t>，主要原因是公务接待批次及人次下降。具体情况如下：</w:t>
      </w:r>
    </w:p>
    <w:p>
      <w:pPr>
        <w:spacing w:line="600" w:lineRule="exact"/>
        <w:ind w:firstLine="640"/>
        <w:jc w:val="both"/>
        <w:rPr>
          <w:rFonts w:ascii="仿宋_GB2312" w:eastAsia="仿宋_GB2312" w:cs="Times New Roman"/>
        </w:rPr>
      </w:pPr>
      <w:r>
        <w:rPr>
          <w:rFonts w:hint="eastAsia" w:ascii="仿宋_GB2312" w:hAnsi="仿宋" w:eastAsia="仿宋_GB2312" w:cs="仿宋_GB2312"/>
          <w:sz w:val="32"/>
          <w:szCs w:val="32"/>
        </w:rPr>
        <w:t>（</w:t>
      </w:r>
      <w:r>
        <w:rPr>
          <w:rFonts w:ascii="仿宋_GB2312" w:hAnsi="仿宋" w:eastAsia="仿宋_GB2312" w:cs="仿宋_GB2312"/>
          <w:sz w:val="32"/>
          <w:szCs w:val="32"/>
        </w:rPr>
        <w:t>1</w:t>
      </w:r>
      <w:r>
        <w:rPr>
          <w:rFonts w:hint="eastAsia" w:ascii="仿宋_GB2312" w:hAnsi="仿宋" w:eastAsia="仿宋_GB2312" w:cs="仿宋_GB2312"/>
          <w:sz w:val="32"/>
          <w:szCs w:val="32"/>
        </w:rPr>
        <w:t>）因公出国（境）费预算数为</w:t>
      </w:r>
      <w:r>
        <w:rPr>
          <w:rFonts w:ascii="仿宋_GB2312" w:hAnsi="仿宋" w:eastAsia="仿宋_GB2312" w:cs="仿宋_GB2312"/>
          <w:sz w:val="32"/>
          <w:szCs w:val="32"/>
        </w:rPr>
        <w:t>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0</w:t>
      </w:r>
      <w:r>
        <w:rPr>
          <w:rFonts w:hint="eastAsia" w:ascii="仿宋_GB2312" w:hAnsi="仿宋" w:eastAsia="仿宋_GB2312" w:cs="仿宋_GB2312"/>
          <w:sz w:val="32"/>
          <w:szCs w:val="32"/>
        </w:rPr>
        <w:t>万元。完成预算的</w:t>
      </w:r>
      <w:r>
        <w:rPr>
          <w:rFonts w:ascii="仿宋_GB2312" w:hAnsi="仿宋" w:eastAsia="仿宋_GB2312" w:cs="仿宋_GB2312"/>
          <w:sz w:val="32"/>
          <w:szCs w:val="32"/>
        </w:rPr>
        <w:t>100%</w:t>
      </w:r>
      <w:r>
        <w:rPr>
          <w:rFonts w:hint="eastAsia" w:ascii="仿宋_GB2312" w:hAnsi="仿宋" w:eastAsia="仿宋_GB2312" w:cs="仿宋_GB2312"/>
          <w:sz w:val="32"/>
          <w:szCs w:val="32"/>
        </w:rPr>
        <w:t>。主要用于机关及下属预算单位人员的城乡发展交流、城建考察等公务出国（境）的住宿费、国际旅费、培训费、公杂费等支出。决算数与预算数相同的主要原因是本年度未安排公务出国。全年使用一般公共预算财政拨款支出涉及因公出国</w:t>
      </w:r>
      <w:r>
        <w:rPr>
          <w:rFonts w:ascii="仿宋_GB2312" w:hAnsi="仿宋" w:eastAsia="仿宋_GB2312" w:cs="仿宋_GB2312"/>
          <w:sz w:val="32"/>
          <w:szCs w:val="32"/>
        </w:rPr>
        <w:t>(</w:t>
      </w:r>
      <w:r>
        <w:rPr>
          <w:rFonts w:hint="eastAsia" w:ascii="仿宋_GB2312" w:hAnsi="仿宋" w:eastAsia="仿宋_GB2312" w:cs="仿宋_GB2312"/>
          <w:sz w:val="32"/>
          <w:szCs w:val="32"/>
        </w:rPr>
        <w:t>境</w:t>
      </w:r>
      <w:r>
        <w:rPr>
          <w:rFonts w:ascii="仿宋_GB2312" w:hAnsi="仿宋" w:eastAsia="仿宋_GB2312" w:cs="仿宋_GB2312"/>
          <w:sz w:val="32"/>
          <w:szCs w:val="32"/>
        </w:rPr>
        <w:t>)</w:t>
      </w:r>
      <w:r>
        <w:rPr>
          <w:rFonts w:hint="eastAsia" w:ascii="仿宋_GB2312" w:hAnsi="仿宋" w:eastAsia="仿宋_GB2312" w:cs="仿宋_GB2312"/>
          <w:sz w:val="32"/>
          <w:szCs w:val="32"/>
        </w:rPr>
        <w:t>团组</w:t>
      </w:r>
      <w:r>
        <w:rPr>
          <w:rFonts w:ascii="仿宋_GB2312" w:hAnsi="仿宋" w:eastAsia="仿宋_GB2312" w:cs="仿宋_GB2312"/>
          <w:sz w:val="32"/>
          <w:szCs w:val="32"/>
        </w:rPr>
        <w:t>0</w:t>
      </w:r>
      <w:r>
        <w:rPr>
          <w:rFonts w:hint="eastAsia" w:ascii="仿宋_GB2312" w:hAnsi="仿宋" w:eastAsia="仿宋_GB2312" w:cs="仿宋_GB2312"/>
          <w:sz w:val="32"/>
          <w:szCs w:val="32"/>
        </w:rPr>
        <w:t>个；累计</w:t>
      </w:r>
      <w:r>
        <w:rPr>
          <w:rFonts w:ascii="仿宋_GB2312" w:hAnsi="仿宋" w:eastAsia="仿宋_GB2312" w:cs="仿宋_GB2312"/>
          <w:sz w:val="32"/>
          <w:szCs w:val="32"/>
        </w:rPr>
        <w:t>0</w:t>
      </w:r>
      <w:r>
        <w:rPr>
          <w:rFonts w:hint="eastAsia" w:ascii="仿宋_GB2312" w:hAnsi="仿宋" w:eastAsia="仿宋_GB2312" w:cs="仿宋_GB2312"/>
          <w:sz w:val="32"/>
          <w:szCs w:val="32"/>
        </w:rPr>
        <w:t>人次。开支内容包括：住宿费、国际旅费、培训费、公杂费等支出。</w:t>
      </w:r>
    </w:p>
    <w:p>
      <w:pPr>
        <w:spacing w:line="580" w:lineRule="exact"/>
        <w:ind w:firstLine="640"/>
        <w:jc w:val="both"/>
        <w:rPr>
          <w:rFonts w:ascii="仿宋_GB2312" w:eastAsia="仿宋_GB2312" w:cs="Times New Roman"/>
        </w:rPr>
      </w:pPr>
      <w:r>
        <w:rPr>
          <w:rFonts w:hint="eastAsia" w:ascii="仿宋_GB2312" w:hAnsi="仿宋" w:eastAsia="仿宋_GB2312" w:cs="仿宋_GB2312"/>
          <w:sz w:val="32"/>
          <w:szCs w:val="32"/>
        </w:rPr>
        <w:t>（</w:t>
      </w:r>
      <w:r>
        <w:rPr>
          <w:rFonts w:ascii="仿宋_GB2312" w:hAnsi="仿宋" w:eastAsia="仿宋_GB2312" w:cs="仿宋_GB2312"/>
          <w:sz w:val="32"/>
          <w:szCs w:val="32"/>
        </w:rPr>
        <w:t>2</w:t>
      </w:r>
      <w:r>
        <w:rPr>
          <w:rFonts w:hint="eastAsia" w:ascii="仿宋_GB2312" w:hAnsi="仿宋" w:eastAsia="仿宋_GB2312" w:cs="仿宋_GB2312"/>
          <w:sz w:val="32"/>
          <w:szCs w:val="32"/>
        </w:rPr>
        <w:t>）公务用车购置及运行维护费预算数为</w:t>
      </w:r>
      <w:r>
        <w:rPr>
          <w:rFonts w:ascii="仿宋_GB2312" w:hAnsi="仿宋" w:eastAsia="仿宋_GB2312" w:cs="仿宋_GB2312"/>
          <w:sz w:val="32"/>
          <w:szCs w:val="32"/>
        </w:rPr>
        <w:t>15.9</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7.25</w:t>
      </w:r>
      <w:r>
        <w:rPr>
          <w:rFonts w:hint="eastAsia" w:ascii="仿宋_GB2312" w:hAnsi="仿宋" w:eastAsia="仿宋_GB2312" w:cs="仿宋_GB2312"/>
          <w:sz w:val="32"/>
          <w:szCs w:val="32"/>
        </w:rPr>
        <w:t>万元，完成预算的</w:t>
      </w:r>
      <w:r>
        <w:rPr>
          <w:rFonts w:ascii="仿宋_GB2312" w:hAnsi="仿宋" w:eastAsia="仿宋_GB2312" w:cs="仿宋_GB2312"/>
          <w:sz w:val="32"/>
          <w:szCs w:val="32"/>
        </w:rPr>
        <w:t>45.6%</w:t>
      </w:r>
      <w:r>
        <w:rPr>
          <w:rFonts w:hint="eastAsia" w:ascii="仿宋_GB2312" w:hAnsi="仿宋" w:eastAsia="仿宋_GB2312" w:cs="仿宋_GB2312"/>
          <w:sz w:val="32"/>
          <w:szCs w:val="32"/>
        </w:rPr>
        <w:t>。决算数小于预算数的主要原因是公车改革后，严格按照规定使用。</w:t>
      </w:r>
    </w:p>
    <w:p>
      <w:pPr>
        <w:spacing w:line="580" w:lineRule="exact"/>
        <w:ind w:firstLine="640"/>
        <w:jc w:val="both"/>
        <w:rPr>
          <w:rFonts w:ascii="仿宋_GB2312" w:eastAsia="仿宋_GB2312" w:cs="Times New Roman"/>
        </w:rPr>
      </w:pPr>
      <w:r>
        <w:rPr>
          <w:rFonts w:hint="eastAsia" w:ascii="仿宋_GB2312" w:hAnsi="仿宋" w:eastAsia="仿宋_GB2312" w:cs="仿宋_GB2312"/>
          <w:sz w:val="32"/>
          <w:szCs w:val="32"/>
        </w:rPr>
        <w:t>公务用车购置预算数为</w:t>
      </w:r>
      <w:r>
        <w:rPr>
          <w:rFonts w:ascii="仿宋_GB2312" w:hAnsi="仿宋" w:eastAsia="仿宋_GB2312" w:cs="仿宋_GB2312"/>
          <w:sz w:val="32"/>
          <w:szCs w:val="32"/>
        </w:rPr>
        <w:t>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0</w:t>
      </w:r>
      <w:r>
        <w:rPr>
          <w:rFonts w:hint="eastAsia" w:ascii="仿宋_GB2312" w:hAnsi="仿宋" w:eastAsia="仿宋_GB2312" w:cs="仿宋_GB2312"/>
          <w:sz w:val="32"/>
          <w:szCs w:val="32"/>
        </w:rPr>
        <w:t>万元（含购置税等附加费用），完成预算的</w:t>
      </w:r>
      <w:r>
        <w:rPr>
          <w:rFonts w:ascii="仿宋_GB2312" w:hAnsi="仿宋" w:eastAsia="仿宋_GB2312" w:cs="仿宋_GB2312"/>
          <w:sz w:val="32"/>
          <w:szCs w:val="32"/>
        </w:rPr>
        <w:t>100%</w:t>
      </w:r>
      <w:r>
        <w:rPr>
          <w:rFonts w:hint="eastAsia" w:ascii="仿宋_GB2312" w:hAnsi="仿宋" w:eastAsia="仿宋_GB2312" w:cs="仿宋_GB2312"/>
          <w:sz w:val="32"/>
          <w:szCs w:val="32"/>
        </w:rPr>
        <w:t>。决算数与预算数相符的主要原因是本年度未安排购置公务用车。主要用于经批准购置的</w:t>
      </w:r>
      <w:r>
        <w:rPr>
          <w:rFonts w:ascii="仿宋_GB2312" w:hAnsi="仿宋" w:eastAsia="仿宋_GB2312" w:cs="仿宋_GB2312"/>
          <w:sz w:val="32"/>
          <w:szCs w:val="32"/>
        </w:rPr>
        <w:t>0</w:t>
      </w:r>
      <w:r>
        <w:rPr>
          <w:rFonts w:hint="eastAsia" w:ascii="仿宋_GB2312" w:hAnsi="仿宋" w:eastAsia="仿宋_GB2312" w:cs="仿宋_GB2312"/>
          <w:sz w:val="32"/>
          <w:szCs w:val="32"/>
        </w:rPr>
        <w:t>辆公务用车。</w:t>
      </w:r>
    </w:p>
    <w:p>
      <w:pPr>
        <w:spacing w:line="580" w:lineRule="exact"/>
        <w:ind w:firstLine="640"/>
        <w:jc w:val="both"/>
        <w:rPr>
          <w:rFonts w:ascii="仿宋_GB2312" w:hAnsi="仿宋" w:eastAsia="仿宋_GB2312" w:cs="Times New Roman"/>
          <w:sz w:val="32"/>
          <w:szCs w:val="32"/>
        </w:rPr>
      </w:pPr>
      <w:r>
        <w:rPr>
          <w:rFonts w:hint="eastAsia" w:ascii="仿宋_GB2312" w:hAnsi="仿宋" w:eastAsia="仿宋_GB2312" w:cs="仿宋_GB2312"/>
          <w:sz w:val="32"/>
          <w:szCs w:val="32"/>
        </w:rPr>
        <w:t>公务用车运行维护费预算数为</w:t>
      </w:r>
      <w:r>
        <w:rPr>
          <w:rFonts w:ascii="仿宋_GB2312" w:hAnsi="仿宋" w:eastAsia="仿宋_GB2312" w:cs="仿宋_GB2312"/>
          <w:sz w:val="32"/>
          <w:szCs w:val="32"/>
        </w:rPr>
        <w:t>15.9</w:t>
      </w:r>
      <w:r>
        <w:rPr>
          <w:rFonts w:hint="eastAsia" w:ascii="仿宋_GB2312" w:hAnsi="仿宋" w:eastAsia="仿宋_GB2312" w:cs="仿宋_GB2312"/>
          <w:sz w:val="32"/>
          <w:szCs w:val="32"/>
        </w:rPr>
        <w:t>万元，支出</w:t>
      </w:r>
      <w:r>
        <w:rPr>
          <w:rFonts w:ascii="仿宋_GB2312" w:hAnsi="仿宋" w:eastAsia="仿宋_GB2312" w:cs="仿宋_GB2312"/>
          <w:sz w:val="32"/>
          <w:szCs w:val="32"/>
        </w:rPr>
        <w:t>7.25</w:t>
      </w:r>
      <w:r>
        <w:rPr>
          <w:rFonts w:hint="eastAsia" w:ascii="仿宋_GB2312" w:hAnsi="仿宋" w:eastAsia="仿宋_GB2312" w:cs="仿宋_GB2312"/>
          <w:sz w:val="32"/>
          <w:szCs w:val="32"/>
        </w:rPr>
        <w:t>万元，完成预算的</w:t>
      </w:r>
      <w:r>
        <w:rPr>
          <w:rFonts w:ascii="仿宋_GB2312" w:hAnsi="仿宋" w:eastAsia="仿宋_GB2312" w:cs="仿宋_GB2312"/>
          <w:sz w:val="32"/>
          <w:szCs w:val="32"/>
        </w:rPr>
        <w:t>45.6%</w:t>
      </w:r>
      <w:r>
        <w:rPr>
          <w:rFonts w:hint="eastAsia" w:ascii="仿宋_GB2312" w:hAnsi="仿宋" w:eastAsia="仿宋_GB2312" w:cs="仿宋_GB2312"/>
          <w:sz w:val="32"/>
          <w:szCs w:val="32"/>
        </w:rPr>
        <w:t>。决算数小于预算数的主要原因是公车改革后，严格按照规定使用。主要用于园林绿化养护事务中心、市政中心等所需的公务用车燃料费、维修费、过路过桥费、保险费、安全奖励费用等支出；</w:t>
      </w:r>
      <w:r>
        <w:rPr>
          <w:rFonts w:ascii="仿宋_GB2312" w:hAnsi="仿宋" w:eastAsia="仿宋_GB2312" w:cs="仿宋_GB2312"/>
          <w:sz w:val="32"/>
          <w:szCs w:val="32"/>
        </w:rPr>
        <w:t>2020</w:t>
      </w:r>
      <w:r>
        <w:rPr>
          <w:rFonts w:hint="eastAsia" w:ascii="仿宋_GB2312" w:hAnsi="仿宋" w:eastAsia="仿宋_GB2312" w:cs="仿宋_GB2312"/>
          <w:sz w:val="32"/>
          <w:szCs w:val="32"/>
        </w:rPr>
        <w:t>年度，本级及所属单位开支一般公共预算财政拨款的公务用车保有量为</w:t>
      </w:r>
      <w:r>
        <w:rPr>
          <w:rFonts w:ascii="仿宋_GB2312" w:hAnsi="仿宋" w:eastAsia="仿宋_GB2312" w:cs="仿宋_GB2312"/>
          <w:sz w:val="32"/>
          <w:szCs w:val="32"/>
        </w:rPr>
        <w:t>6</w:t>
      </w:r>
      <w:r>
        <w:rPr>
          <w:rFonts w:hint="eastAsia" w:ascii="仿宋_GB2312" w:hAnsi="仿宋" w:eastAsia="仿宋_GB2312" w:cs="仿宋_GB2312"/>
          <w:sz w:val="32"/>
          <w:szCs w:val="32"/>
        </w:rPr>
        <w:t>辆。</w:t>
      </w:r>
    </w:p>
    <w:p>
      <w:pPr>
        <w:spacing w:line="580" w:lineRule="exact"/>
        <w:ind w:firstLine="640"/>
        <w:jc w:val="both"/>
        <w:rPr>
          <w:rFonts w:ascii="仿宋_GB2312" w:eastAsia="仿宋_GB2312" w:cs="Times New Roman"/>
        </w:rPr>
      </w:pPr>
      <w:r>
        <w:rPr>
          <w:rFonts w:hint="eastAsia" w:ascii="仿宋_GB2312" w:hAnsi="仿宋" w:eastAsia="仿宋_GB2312" w:cs="仿宋_GB2312"/>
          <w:sz w:val="32"/>
          <w:szCs w:val="32"/>
        </w:rPr>
        <w:t>（</w:t>
      </w:r>
      <w:r>
        <w:rPr>
          <w:rFonts w:ascii="仿宋_GB2312" w:hAnsi="仿宋" w:eastAsia="仿宋_GB2312" w:cs="仿宋_GB2312"/>
          <w:sz w:val="32"/>
          <w:szCs w:val="32"/>
        </w:rPr>
        <w:t>3</w:t>
      </w:r>
      <w:r>
        <w:rPr>
          <w:rFonts w:hint="eastAsia" w:ascii="仿宋_GB2312" w:hAnsi="仿宋" w:eastAsia="仿宋_GB2312" w:cs="仿宋_GB2312"/>
          <w:sz w:val="32"/>
          <w:szCs w:val="32"/>
        </w:rPr>
        <w:t>）公务接待费预算数为</w:t>
      </w:r>
      <w:r>
        <w:rPr>
          <w:rFonts w:ascii="仿宋_GB2312" w:hAnsi="仿宋" w:eastAsia="仿宋_GB2312" w:cs="仿宋_GB2312"/>
          <w:sz w:val="32"/>
          <w:szCs w:val="32"/>
        </w:rPr>
        <w:t>22.74</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2.16</w:t>
      </w:r>
      <w:r>
        <w:rPr>
          <w:rFonts w:hint="eastAsia" w:ascii="仿宋_GB2312" w:hAnsi="仿宋" w:eastAsia="仿宋_GB2312" w:cs="仿宋_GB2312"/>
          <w:sz w:val="32"/>
          <w:szCs w:val="32"/>
        </w:rPr>
        <w:t>万元，完成预算的</w:t>
      </w:r>
      <w:r>
        <w:rPr>
          <w:rFonts w:ascii="仿宋_GB2312" w:hAnsi="仿宋" w:eastAsia="仿宋_GB2312" w:cs="仿宋_GB2312"/>
          <w:sz w:val="32"/>
          <w:szCs w:val="32"/>
        </w:rPr>
        <w:t>9.5%</w:t>
      </w:r>
      <w:r>
        <w:rPr>
          <w:rFonts w:hint="eastAsia" w:ascii="仿宋_GB2312" w:hAnsi="仿宋" w:eastAsia="仿宋_GB2312" w:cs="仿宋_GB2312"/>
          <w:sz w:val="32"/>
          <w:szCs w:val="32"/>
        </w:rPr>
        <w:t>。主要用于接待上级检查等支出。决算数小于预算数的主要原因是当年公务接待人次较少。全年使用一般公共预算财政拨款国内公务接待</w:t>
      </w:r>
      <w:r>
        <w:rPr>
          <w:rFonts w:ascii="仿宋_GB2312" w:hAnsi="仿宋" w:eastAsia="仿宋_GB2312" w:cs="仿宋_GB2312"/>
          <w:sz w:val="32"/>
          <w:szCs w:val="32"/>
        </w:rPr>
        <w:t>13</w:t>
      </w:r>
      <w:r>
        <w:rPr>
          <w:rFonts w:hint="eastAsia" w:ascii="仿宋_GB2312" w:hAnsi="仿宋" w:eastAsia="仿宋_GB2312" w:cs="仿宋_GB2312"/>
          <w:sz w:val="32"/>
          <w:szCs w:val="32"/>
        </w:rPr>
        <w:t>团组，累计</w:t>
      </w:r>
      <w:r>
        <w:rPr>
          <w:rFonts w:ascii="仿宋_GB2312" w:hAnsi="仿宋" w:eastAsia="仿宋_GB2312" w:cs="仿宋_GB2312"/>
          <w:sz w:val="32"/>
          <w:szCs w:val="32"/>
        </w:rPr>
        <w:t>144</w:t>
      </w:r>
      <w:r>
        <w:rPr>
          <w:rFonts w:hint="eastAsia" w:ascii="仿宋_GB2312" w:hAnsi="仿宋" w:eastAsia="仿宋_GB2312" w:cs="仿宋_GB2312"/>
          <w:sz w:val="32"/>
          <w:szCs w:val="32"/>
        </w:rPr>
        <w:t>人次。</w:t>
      </w:r>
    </w:p>
    <w:p>
      <w:pPr>
        <w:spacing w:line="580" w:lineRule="exact"/>
        <w:ind w:firstLine="640"/>
        <w:jc w:val="both"/>
        <w:rPr>
          <w:rFonts w:ascii="仿宋_GB2312" w:eastAsia="仿宋_GB2312" w:cs="Times New Roman"/>
        </w:rPr>
      </w:pPr>
      <w:r>
        <w:rPr>
          <w:rFonts w:hint="eastAsia" w:ascii="仿宋_GB2312" w:hAnsi="仿宋" w:eastAsia="仿宋_GB2312" w:cs="仿宋_GB2312"/>
          <w:sz w:val="32"/>
          <w:szCs w:val="32"/>
        </w:rPr>
        <w:t>外宾接待支出</w:t>
      </w:r>
      <w:r>
        <w:rPr>
          <w:rFonts w:ascii="仿宋_GB2312" w:hAnsi="仿宋" w:eastAsia="仿宋_GB2312" w:cs="仿宋_GB2312"/>
          <w:sz w:val="32"/>
          <w:szCs w:val="32"/>
        </w:rPr>
        <w:t>0</w:t>
      </w:r>
      <w:r>
        <w:rPr>
          <w:rFonts w:hint="eastAsia" w:ascii="仿宋_GB2312" w:hAnsi="仿宋" w:eastAsia="仿宋_GB2312" w:cs="仿宋_GB2312"/>
          <w:sz w:val="32"/>
          <w:szCs w:val="32"/>
        </w:rPr>
        <w:t>万元，主要用于局本级及下属单位外宾接待，接待</w:t>
      </w:r>
      <w:r>
        <w:rPr>
          <w:rFonts w:ascii="仿宋_GB2312" w:hAnsi="仿宋" w:eastAsia="仿宋_GB2312" w:cs="仿宋_GB2312"/>
          <w:sz w:val="32"/>
          <w:szCs w:val="32"/>
        </w:rPr>
        <w:t>0</w:t>
      </w:r>
      <w:r>
        <w:rPr>
          <w:rFonts w:hint="eastAsia" w:ascii="仿宋_GB2312" w:hAnsi="仿宋" w:eastAsia="仿宋_GB2312" w:cs="仿宋_GB2312"/>
          <w:sz w:val="32"/>
          <w:szCs w:val="32"/>
        </w:rPr>
        <w:t>团组，</w:t>
      </w:r>
      <w:r>
        <w:rPr>
          <w:rFonts w:ascii="仿宋_GB2312" w:hAnsi="仿宋" w:eastAsia="仿宋_GB2312" w:cs="仿宋_GB2312"/>
          <w:sz w:val="32"/>
          <w:szCs w:val="32"/>
        </w:rPr>
        <w:t>0</w:t>
      </w:r>
      <w:r>
        <w:rPr>
          <w:rFonts w:hint="eastAsia" w:ascii="仿宋_GB2312" w:hAnsi="仿宋" w:eastAsia="仿宋_GB2312" w:cs="仿宋_GB2312"/>
          <w:sz w:val="32"/>
          <w:szCs w:val="32"/>
        </w:rPr>
        <w:t>人次。</w:t>
      </w:r>
    </w:p>
    <w:p>
      <w:pPr>
        <w:spacing w:line="580" w:lineRule="exact"/>
        <w:ind w:firstLine="640"/>
        <w:jc w:val="both"/>
        <w:rPr>
          <w:rFonts w:ascii="仿宋_GB2312" w:eastAsia="仿宋_GB2312" w:cs="Times New Roman"/>
        </w:rPr>
      </w:pPr>
      <w:r>
        <w:rPr>
          <w:rFonts w:hint="eastAsia" w:ascii="仿宋_GB2312" w:hAnsi="仿宋" w:eastAsia="仿宋_GB2312" w:cs="仿宋_GB2312"/>
          <w:sz w:val="32"/>
          <w:szCs w:val="32"/>
        </w:rPr>
        <w:t>其他国内公务接待支出</w:t>
      </w:r>
      <w:r>
        <w:rPr>
          <w:rFonts w:ascii="仿宋_GB2312" w:hAnsi="仿宋" w:eastAsia="仿宋_GB2312" w:cs="仿宋_GB2312"/>
          <w:sz w:val="32"/>
          <w:szCs w:val="32"/>
        </w:rPr>
        <w:t>2.16</w:t>
      </w:r>
      <w:r>
        <w:rPr>
          <w:rFonts w:hint="eastAsia" w:ascii="仿宋_GB2312" w:hAnsi="仿宋" w:eastAsia="仿宋_GB2312" w:cs="仿宋_GB2312"/>
          <w:sz w:val="32"/>
          <w:szCs w:val="32"/>
        </w:rPr>
        <w:t>万元，主要用于局本级及下属单位公务接待活动，接待</w:t>
      </w:r>
      <w:r>
        <w:rPr>
          <w:rFonts w:ascii="仿宋_GB2312" w:hAnsi="仿宋" w:eastAsia="仿宋_GB2312" w:cs="仿宋_GB2312"/>
          <w:sz w:val="32"/>
          <w:szCs w:val="32"/>
        </w:rPr>
        <w:t>13</w:t>
      </w:r>
      <w:r>
        <w:rPr>
          <w:rFonts w:hint="eastAsia" w:ascii="仿宋_GB2312" w:hAnsi="仿宋" w:eastAsia="仿宋_GB2312" w:cs="仿宋_GB2312"/>
          <w:sz w:val="32"/>
          <w:szCs w:val="32"/>
        </w:rPr>
        <w:t>团组，</w:t>
      </w:r>
      <w:r>
        <w:rPr>
          <w:rFonts w:ascii="仿宋_GB2312" w:hAnsi="仿宋" w:eastAsia="仿宋_GB2312" w:cs="仿宋_GB2312"/>
          <w:sz w:val="32"/>
          <w:szCs w:val="32"/>
        </w:rPr>
        <w:t>144</w:t>
      </w:r>
      <w:r>
        <w:rPr>
          <w:rFonts w:hint="eastAsia" w:ascii="仿宋_GB2312" w:hAnsi="仿宋" w:eastAsia="仿宋_GB2312" w:cs="仿宋_GB2312"/>
          <w:sz w:val="32"/>
          <w:szCs w:val="32"/>
        </w:rPr>
        <w:t>人次。</w:t>
      </w:r>
    </w:p>
    <w:p>
      <w:pPr>
        <w:spacing w:line="580" w:lineRule="exact"/>
        <w:ind w:firstLine="640"/>
        <w:jc w:val="both"/>
        <w:rPr>
          <w:rStyle w:val="7"/>
          <w:rFonts w:ascii="楷体" w:hAnsi="楷体" w:eastAsia="楷体" w:cs="Times New Roman"/>
          <w:sz w:val="32"/>
          <w:szCs w:val="32"/>
        </w:rPr>
      </w:pPr>
      <w:r>
        <w:rPr>
          <w:rStyle w:val="7"/>
          <w:rFonts w:hint="eastAsia" w:ascii="楷体" w:hAnsi="楷体" w:eastAsia="楷体" w:cs="楷体"/>
          <w:sz w:val="32"/>
          <w:szCs w:val="32"/>
        </w:rPr>
        <w:t>（十）机关运行经费支出说明</w:t>
      </w:r>
    </w:p>
    <w:p>
      <w:pPr>
        <w:spacing w:line="58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年度机关运行经费年初预算数为</w:t>
      </w:r>
      <w:r>
        <w:rPr>
          <w:rFonts w:ascii="仿宋_GB2312" w:hAnsi="仿宋" w:eastAsia="仿宋_GB2312" w:cs="仿宋_GB2312"/>
          <w:sz w:val="32"/>
          <w:szCs w:val="32"/>
        </w:rPr>
        <w:t>344.46</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326.71</w:t>
      </w:r>
      <w:r>
        <w:rPr>
          <w:rFonts w:hint="eastAsia" w:ascii="仿宋_GB2312" w:hAnsi="仿宋" w:eastAsia="仿宋_GB2312" w:cs="仿宋_GB2312"/>
          <w:sz w:val="32"/>
          <w:szCs w:val="32"/>
        </w:rPr>
        <w:t>万元，完成年初预算的</w:t>
      </w:r>
      <w:r>
        <w:rPr>
          <w:rFonts w:ascii="仿宋_GB2312" w:hAnsi="仿宋" w:eastAsia="仿宋_GB2312" w:cs="仿宋_GB2312"/>
          <w:sz w:val="32"/>
          <w:szCs w:val="32"/>
        </w:rPr>
        <w:t>94.85%</w:t>
      </w:r>
      <w:r>
        <w:rPr>
          <w:rFonts w:hint="eastAsia" w:ascii="仿宋_GB2312" w:hAnsi="仿宋" w:eastAsia="仿宋_GB2312" w:cs="仿宋_GB2312"/>
          <w:sz w:val="32"/>
          <w:szCs w:val="32"/>
        </w:rPr>
        <w:t>，决算数小于预算数的主要原因是行政运行费用减少；比</w:t>
      </w:r>
      <w:r>
        <w:rPr>
          <w:rFonts w:ascii="仿宋_GB2312" w:hAnsi="仿宋" w:eastAsia="仿宋_GB2312" w:cs="仿宋_GB2312"/>
          <w:sz w:val="32"/>
          <w:szCs w:val="32"/>
        </w:rPr>
        <w:t>2019</w:t>
      </w:r>
      <w:r>
        <w:rPr>
          <w:rFonts w:hint="eastAsia" w:ascii="仿宋_GB2312" w:hAnsi="仿宋" w:eastAsia="仿宋_GB2312" w:cs="仿宋_GB2312"/>
          <w:sz w:val="32"/>
          <w:szCs w:val="32"/>
        </w:rPr>
        <w:t>年度增加</w:t>
      </w:r>
      <w:r>
        <w:rPr>
          <w:rFonts w:ascii="仿宋_GB2312" w:hAnsi="仿宋" w:eastAsia="仿宋_GB2312" w:cs="仿宋_GB2312"/>
          <w:sz w:val="32"/>
          <w:szCs w:val="32"/>
        </w:rPr>
        <w:t>194.09</w:t>
      </w:r>
      <w:r>
        <w:rPr>
          <w:rFonts w:hint="eastAsia" w:ascii="仿宋_GB2312" w:hAnsi="仿宋" w:eastAsia="仿宋_GB2312" w:cs="仿宋_GB2312"/>
          <w:sz w:val="32"/>
          <w:szCs w:val="32"/>
        </w:rPr>
        <w:t>万元，增长</w:t>
      </w:r>
      <w:r>
        <w:rPr>
          <w:rFonts w:ascii="仿宋_GB2312" w:hAnsi="仿宋" w:eastAsia="仿宋_GB2312" w:cs="仿宋_GB2312"/>
          <w:sz w:val="32"/>
          <w:szCs w:val="32"/>
        </w:rPr>
        <w:t>146.35%</w:t>
      </w:r>
      <w:r>
        <w:rPr>
          <w:rFonts w:hint="eastAsia" w:ascii="仿宋_GB2312" w:hAnsi="仿宋" w:eastAsia="仿宋_GB2312" w:cs="仿宋_GB2312"/>
          <w:sz w:val="32"/>
          <w:szCs w:val="32"/>
        </w:rPr>
        <w:t>，主要原因是建工、植物园等单位纳入本级核算。</w:t>
      </w:r>
    </w:p>
    <w:p>
      <w:pPr>
        <w:spacing w:line="580" w:lineRule="exact"/>
        <w:ind w:firstLine="640"/>
        <w:jc w:val="both"/>
        <w:rPr>
          <w:rFonts w:cs="Times New Roman"/>
        </w:rPr>
      </w:pPr>
      <w:r>
        <w:rPr>
          <w:rStyle w:val="7"/>
          <w:rFonts w:hint="eastAsia" w:ascii="楷体" w:hAnsi="楷体" w:eastAsia="楷体" w:cs="楷体"/>
          <w:sz w:val="32"/>
          <w:szCs w:val="32"/>
        </w:rPr>
        <w:t>（十一）政府采购支出说明</w:t>
      </w:r>
    </w:p>
    <w:p>
      <w:pPr>
        <w:spacing w:line="580" w:lineRule="exact"/>
        <w:ind w:firstLine="640"/>
        <w:jc w:val="both"/>
        <w:rPr>
          <w:rFonts w:ascii="仿宋_GB2312" w:eastAsia="仿宋_GB2312" w:cs="Times New Roman"/>
        </w:rPr>
      </w:pPr>
      <w:r>
        <w:rPr>
          <w:rFonts w:ascii="仿宋_GB2312" w:hAnsi="仿宋" w:eastAsia="仿宋_GB2312" w:cs="仿宋_GB2312"/>
          <w:sz w:val="32"/>
          <w:szCs w:val="32"/>
        </w:rPr>
        <w:t>2020</w:t>
      </w:r>
      <w:r>
        <w:rPr>
          <w:rFonts w:hint="eastAsia" w:ascii="仿宋_GB2312" w:hAnsi="仿宋" w:eastAsia="仿宋_GB2312" w:cs="仿宋_GB2312"/>
          <w:sz w:val="32"/>
          <w:szCs w:val="32"/>
        </w:rPr>
        <w:t>年度政府采购支出总额</w:t>
      </w:r>
      <w:r>
        <w:rPr>
          <w:rFonts w:ascii="仿宋_GB2312" w:hAnsi="仿宋" w:eastAsia="仿宋_GB2312" w:cs="仿宋_GB2312"/>
          <w:sz w:val="32"/>
          <w:szCs w:val="32"/>
        </w:rPr>
        <w:t>3,699.51</w:t>
      </w:r>
      <w:r>
        <w:rPr>
          <w:rFonts w:hint="eastAsia" w:ascii="仿宋_GB2312" w:hAnsi="仿宋" w:eastAsia="仿宋_GB2312" w:cs="仿宋_GB2312"/>
          <w:sz w:val="32"/>
          <w:szCs w:val="32"/>
        </w:rPr>
        <w:t>万元，其中：政府采购货物支出</w:t>
      </w:r>
      <w:r>
        <w:rPr>
          <w:rFonts w:ascii="仿宋_GB2312" w:hAnsi="仿宋" w:eastAsia="仿宋_GB2312" w:cs="仿宋_GB2312"/>
          <w:sz w:val="32"/>
          <w:szCs w:val="32"/>
        </w:rPr>
        <w:t>208.76</w:t>
      </w:r>
      <w:r>
        <w:rPr>
          <w:rFonts w:hint="eastAsia" w:ascii="仿宋_GB2312" w:hAnsi="仿宋" w:eastAsia="仿宋_GB2312" w:cs="仿宋_GB2312"/>
          <w:sz w:val="32"/>
          <w:szCs w:val="32"/>
        </w:rPr>
        <w:t>万元、政府采购工程支出</w:t>
      </w:r>
      <w:r>
        <w:rPr>
          <w:rFonts w:ascii="仿宋_GB2312" w:hAnsi="仿宋" w:eastAsia="仿宋_GB2312" w:cs="仿宋_GB2312"/>
          <w:sz w:val="32"/>
          <w:szCs w:val="32"/>
        </w:rPr>
        <w:t>0</w:t>
      </w:r>
      <w:r>
        <w:rPr>
          <w:rFonts w:hint="eastAsia" w:ascii="仿宋_GB2312" w:hAnsi="仿宋" w:eastAsia="仿宋_GB2312" w:cs="仿宋_GB2312"/>
          <w:sz w:val="32"/>
          <w:szCs w:val="32"/>
        </w:rPr>
        <w:t>万元、政府采购服务支出</w:t>
      </w:r>
      <w:r>
        <w:rPr>
          <w:rFonts w:ascii="仿宋_GB2312" w:hAnsi="仿宋" w:eastAsia="仿宋_GB2312" w:cs="仿宋_GB2312"/>
          <w:sz w:val="32"/>
          <w:szCs w:val="32"/>
        </w:rPr>
        <w:t>3,490.76</w:t>
      </w:r>
      <w:r>
        <w:rPr>
          <w:rFonts w:hint="eastAsia" w:ascii="仿宋_GB2312" w:hAnsi="仿宋" w:eastAsia="仿宋_GB2312" w:cs="仿宋_GB2312"/>
          <w:sz w:val="32"/>
          <w:szCs w:val="32"/>
        </w:rPr>
        <w:t>万元。授予中小企业合同金额</w:t>
      </w:r>
      <w:r>
        <w:rPr>
          <w:rFonts w:ascii="仿宋_GB2312" w:hAnsi="仿宋" w:eastAsia="仿宋_GB2312" w:cs="仿宋_GB2312"/>
          <w:sz w:val="32"/>
          <w:szCs w:val="32"/>
        </w:rPr>
        <w:t>3,329.56</w:t>
      </w:r>
      <w:r>
        <w:rPr>
          <w:rFonts w:hint="eastAsia" w:ascii="仿宋_GB2312" w:hAnsi="仿宋" w:eastAsia="仿宋_GB2312" w:cs="仿宋_GB2312"/>
          <w:sz w:val="32"/>
          <w:szCs w:val="32"/>
        </w:rPr>
        <w:t>万元，占政府采购支出总额的</w:t>
      </w:r>
      <w:r>
        <w:rPr>
          <w:rFonts w:ascii="仿宋_GB2312" w:hAnsi="仿宋" w:eastAsia="仿宋_GB2312" w:cs="仿宋_GB2312"/>
          <w:sz w:val="32"/>
          <w:szCs w:val="32"/>
        </w:rPr>
        <w:t>90.00%</w:t>
      </w:r>
      <w:r>
        <w:rPr>
          <w:rFonts w:hint="eastAsia" w:ascii="仿宋_GB2312" w:hAnsi="仿宋" w:eastAsia="仿宋_GB2312" w:cs="仿宋_GB2312"/>
          <w:sz w:val="32"/>
          <w:szCs w:val="32"/>
        </w:rPr>
        <w:t>。其中，授予小微企业合同金额</w:t>
      </w:r>
      <w:r>
        <w:rPr>
          <w:rFonts w:ascii="仿宋_GB2312" w:hAnsi="仿宋" w:eastAsia="仿宋_GB2312" w:cs="仿宋_GB2312"/>
          <w:sz w:val="32"/>
          <w:szCs w:val="32"/>
        </w:rPr>
        <w:t>2,959.61</w:t>
      </w:r>
      <w:r>
        <w:rPr>
          <w:rFonts w:hint="eastAsia" w:ascii="仿宋_GB2312" w:hAnsi="仿宋" w:eastAsia="仿宋_GB2312" w:cs="仿宋_GB2312"/>
          <w:sz w:val="32"/>
          <w:szCs w:val="32"/>
        </w:rPr>
        <w:t>万元，占政府采购支出总额的</w:t>
      </w:r>
      <w:r>
        <w:rPr>
          <w:rFonts w:ascii="仿宋_GB2312" w:hAnsi="仿宋" w:eastAsia="仿宋_GB2312" w:cs="仿宋_GB2312"/>
          <w:sz w:val="32"/>
          <w:szCs w:val="32"/>
        </w:rPr>
        <w:t>80.00%</w:t>
      </w:r>
      <w:r>
        <w:rPr>
          <w:rFonts w:hint="eastAsia" w:ascii="仿宋_GB2312" w:hAnsi="仿宋" w:eastAsia="仿宋_GB2312" w:cs="仿宋_GB2312"/>
          <w:sz w:val="32"/>
          <w:szCs w:val="32"/>
        </w:rPr>
        <w:t>。</w:t>
      </w:r>
    </w:p>
    <w:p>
      <w:pPr>
        <w:spacing w:line="580" w:lineRule="exact"/>
        <w:ind w:firstLine="640"/>
        <w:jc w:val="both"/>
        <w:rPr>
          <w:rFonts w:cs="Times New Roman"/>
        </w:rPr>
      </w:pPr>
      <w:r>
        <w:rPr>
          <w:rStyle w:val="7"/>
          <w:rFonts w:hint="eastAsia" w:ascii="楷体" w:hAnsi="楷体" w:eastAsia="楷体" w:cs="楷体"/>
          <w:sz w:val="32"/>
          <w:szCs w:val="32"/>
        </w:rPr>
        <w:t>（十二）国有资产占有情况说明</w:t>
      </w:r>
    </w:p>
    <w:p>
      <w:pPr>
        <w:spacing w:line="580" w:lineRule="exact"/>
        <w:ind w:firstLine="641"/>
        <w:jc w:val="both"/>
        <w:rPr>
          <w:rFonts w:ascii="仿宋_GB2312" w:eastAsia="仿宋_GB2312" w:cs="Times New Roman"/>
        </w:rPr>
      </w:pPr>
      <w:r>
        <w:rPr>
          <w:rFonts w:hint="eastAsia" w:ascii="仿宋_GB2312" w:hAnsi="仿宋" w:eastAsia="仿宋_GB2312" w:cs="仿宋_GB2312"/>
          <w:sz w:val="32"/>
          <w:szCs w:val="32"/>
        </w:rPr>
        <w:t>截至</w:t>
      </w:r>
      <w:r>
        <w:rPr>
          <w:rFonts w:ascii="仿宋_GB2312" w:hAnsi="仿宋" w:eastAsia="仿宋_GB2312" w:cs="仿宋_GB2312"/>
          <w:sz w:val="32"/>
          <w:szCs w:val="32"/>
        </w:rPr>
        <w:t>2020</w:t>
      </w:r>
      <w:r>
        <w:rPr>
          <w:rFonts w:hint="eastAsia" w:ascii="仿宋_GB2312" w:hAnsi="仿宋" w:eastAsia="仿宋_GB2312" w:cs="仿宋_GB2312"/>
          <w:sz w:val="32"/>
          <w:szCs w:val="32"/>
        </w:rPr>
        <w:t>年</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31</w:t>
      </w:r>
      <w:r>
        <w:rPr>
          <w:rFonts w:hint="eastAsia" w:ascii="仿宋_GB2312" w:hAnsi="仿宋" w:eastAsia="仿宋_GB2312" w:cs="仿宋_GB2312"/>
          <w:sz w:val="32"/>
          <w:szCs w:val="32"/>
        </w:rPr>
        <w:t>日，温岭市住房和城乡建设局本级及所属各单位共有车辆</w:t>
      </w:r>
      <w:r>
        <w:rPr>
          <w:rFonts w:ascii="仿宋_GB2312" w:hAnsi="仿宋" w:eastAsia="仿宋_GB2312" w:cs="仿宋_GB2312"/>
          <w:sz w:val="32"/>
          <w:szCs w:val="32"/>
        </w:rPr>
        <w:t>28</w:t>
      </w:r>
      <w:r>
        <w:rPr>
          <w:rFonts w:hint="eastAsia" w:ascii="仿宋_GB2312" w:hAnsi="仿宋" w:eastAsia="仿宋_GB2312" w:cs="仿宋_GB2312"/>
          <w:sz w:val="32"/>
          <w:szCs w:val="32"/>
        </w:rPr>
        <w:t>辆，其中，副部（省）级及以上领导用车</w:t>
      </w:r>
      <w:r>
        <w:rPr>
          <w:rFonts w:ascii="仿宋_GB2312" w:hAnsi="仿宋" w:eastAsia="仿宋_GB2312" w:cs="仿宋_GB2312"/>
          <w:sz w:val="32"/>
          <w:szCs w:val="32"/>
        </w:rPr>
        <w:t>0</w:t>
      </w:r>
      <w:r>
        <w:rPr>
          <w:rFonts w:hint="eastAsia" w:ascii="仿宋_GB2312" w:hAnsi="仿宋" w:eastAsia="仿宋_GB2312" w:cs="仿宋_GB2312"/>
          <w:sz w:val="32"/>
          <w:szCs w:val="32"/>
        </w:rPr>
        <w:t>辆、主要领导干部用车</w:t>
      </w:r>
      <w:r>
        <w:rPr>
          <w:rFonts w:ascii="仿宋_GB2312" w:hAnsi="仿宋" w:eastAsia="仿宋_GB2312" w:cs="仿宋_GB2312"/>
          <w:sz w:val="32"/>
          <w:szCs w:val="32"/>
        </w:rPr>
        <w:t>0</w:t>
      </w:r>
      <w:r>
        <w:rPr>
          <w:rFonts w:hint="eastAsia" w:ascii="仿宋_GB2312" w:hAnsi="仿宋" w:eastAsia="仿宋_GB2312" w:cs="仿宋_GB2312"/>
          <w:sz w:val="32"/>
          <w:szCs w:val="32"/>
        </w:rPr>
        <w:t>辆、机要通信用车</w:t>
      </w:r>
      <w:r>
        <w:rPr>
          <w:rFonts w:ascii="仿宋_GB2312" w:hAnsi="仿宋" w:eastAsia="仿宋_GB2312" w:cs="仿宋_GB2312"/>
          <w:sz w:val="32"/>
          <w:szCs w:val="32"/>
        </w:rPr>
        <w:t>0</w:t>
      </w:r>
      <w:r>
        <w:rPr>
          <w:rFonts w:hint="eastAsia" w:ascii="仿宋_GB2312" w:hAnsi="仿宋" w:eastAsia="仿宋_GB2312" w:cs="仿宋_GB2312"/>
          <w:sz w:val="32"/>
          <w:szCs w:val="32"/>
        </w:rPr>
        <w:t>辆、应急保障用车</w:t>
      </w:r>
      <w:r>
        <w:rPr>
          <w:rFonts w:ascii="仿宋_GB2312" w:hAnsi="仿宋" w:eastAsia="仿宋_GB2312" w:cs="仿宋_GB2312"/>
          <w:sz w:val="32"/>
          <w:szCs w:val="32"/>
        </w:rPr>
        <w:t>0</w:t>
      </w:r>
      <w:r>
        <w:rPr>
          <w:rFonts w:hint="eastAsia" w:ascii="仿宋_GB2312" w:hAnsi="仿宋" w:eastAsia="仿宋_GB2312" w:cs="仿宋_GB2312"/>
          <w:sz w:val="32"/>
          <w:szCs w:val="32"/>
        </w:rPr>
        <w:t>辆、执法执勤用车</w:t>
      </w:r>
      <w:r>
        <w:rPr>
          <w:rFonts w:ascii="仿宋_GB2312" w:hAnsi="仿宋" w:eastAsia="仿宋_GB2312" w:cs="仿宋_GB2312"/>
          <w:sz w:val="32"/>
          <w:szCs w:val="32"/>
        </w:rPr>
        <w:t>0</w:t>
      </w:r>
      <w:r>
        <w:rPr>
          <w:rFonts w:hint="eastAsia" w:ascii="仿宋_GB2312" w:hAnsi="仿宋" w:eastAsia="仿宋_GB2312" w:cs="仿宋_GB2312"/>
          <w:sz w:val="32"/>
          <w:szCs w:val="32"/>
        </w:rPr>
        <w:t>辆、特种专业技术用车</w:t>
      </w:r>
      <w:r>
        <w:rPr>
          <w:rFonts w:ascii="仿宋_GB2312" w:hAnsi="仿宋" w:eastAsia="仿宋_GB2312" w:cs="仿宋_GB2312"/>
          <w:sz w:val="32"/>
          <w:szCs w:val="32"/>
        </w:rPr>
        <w:t>22</w:t>
      </w:r>
      <w:r>
        <w:rPr>
          <w:rFonts w:hint="eastAsia" w:ascii="仿宋_GB2312" w:hAnsi="仿宋" w:eastAsia="仿宋_GB2312" w:cs="仿宋_GB2312"/>
          <w:sz w:val="32"/>
          <w:szCs w:val="32"/>
        </w:rPr>
        <w:t>辆、离退休干部用车</w:t>
      </w:r>
      <w:r>
        <w:rPr>
          <w:rFonts w:ascii="仿宋_GB2312" w:hAnsi="仿宋" w:eastAsia="仿宋_GB2312" w:cs="仿宋_GB2312"/>
          <w:sz w:val="32"/>
          <w:szCs w:val="32"/>
        </w:rPr>
        <w:t>0</w:t>
      </w:r>
      <w:r>
        <w:rPr>
          <w:rFonts w:hint="eastAsia" w:ascii="仿宋_GB2312" w:hAnsi="仿宋" w:eastAsia="仿宋_GB2312" w:cs="仿宋_GB2312"/>
          <w:sz w:val="32"/>
          <w:szCs w:val="32"/>
        </w:rPr>
        <w:t>辆、其他用车</w:t>
      </w:r>
      <w:r>
        <w:rPr>
          <w:rFonts w:ascii="仿宋_GB2312" w:hAnsi="仿宋" w:eastAsia="仿宋_GB2312" w:cs="仿宋_GB2312"/>
          <w:sz w:val="32"/>
          <w:szCs w:val="32"/>
        </w:rPr>
        <w:t>6</w:t>
      </w:r>
      <w:r>
        <w:rPr>
          <w:rFonts w:hint="eastAsia" w:ascii="仿宋_GB2312" w:hAnsi="仿宋" w:eastAsia="仿宋_GB2312" w:cs="仿宋_GB2312"/>
          <w:sz w:val="32"/>
          <w:szCs w:val="32"/>
        </w:rPr>
        <w:t>辆</w:t>
      </w:r>
      <w:r>
        <w:rPr>
          <w:rFonts w:ascii="仿宋_GB2312" w:hAnsi="仿宋" w:eastAsia="仿宋_GB2312" w:cs="仿宋_GB2312"/>
          <w:sz w:val="32"/>
          <w:szCs w:val="32"/>
        </w:rPr>
        <w:t>,</w:t>
      </w:r>
      <w:r>
        <w:rPr>
          <w:rFonts w:hint="eastAsia" w:ascii="仿宋_GB2312" w:hAnsi="仿宋" w:eastAsia="仿宋_GB2312" w:cs="仿宋_GB2312"/>
          <w:sz w:val="32"/>
          <w:szCs w:val="32"/>
        </w:rPr>
        <w:t>其他用车主要是轻型载货汽车；单价</w:t>
      </w:r>
      <w:r>
        <w:rPr>
          <w:rFonts w:ascii="仿宋_GB2312" w:hAnsi="仿宋" w:eastAsia="仿宋_GB2312" w:cs="仿宋_GB2312"/>
          <w:sz w:val="32"/>
          <w:szCs w:val="32"/>
        </w:rPr>
        <w:t>50</w:t>
      </w:r>
      <w:r>
        <w:rPr>
          <w:rFonts w:hint="eastAsia" w:ascii="仿宋_GB2312" w:hAnsi="仿宋" w:eastAsia="仿宋_GB2312" w:cs="仿宋_GB2312"/>
          <w:sz w:val="32"/>
          <w:szCs w:val="32"/>
        </w:rPr>
        <w:t>万元以上通用设备</w:t>
      </w:r>
      <w:r>
        <w:rPr>
          <w:rFonts w:ascii="仿宋_GB2312" w:hAnsi="仿宋" w:eastAsia="仿宋_GB2312" w:cs="仿宋_GB2312"/>
          <w:sz w:val="32"/>
          <w:szCs w:val="32"/>
        </w:rPr>
        <w:t>0</w:t>
      </w:r>
      <w:r>
        <w:rPr>
          <w:rFonts w:hint="eastAsia" w:ascii="仿宋_GB2312" w:hAnsi="仿宋" w:eastAsia="仿宋_GB2312" w:cs="仿宋_GB2312"/>
          <w:sz w:val="32"/>
          <w:szCs w:val="32"/>
        </w:rPr>
        <w:t>台（套），单价</w:t>
      </w:r>
      <w:r>
        <w:rPr>
          <w:rFonts w:ascii="仿宋_GB2312" w:hAnsi="仿宋" w:eastAsia="仿宋_GB2312" w:cs="仿宋_GB2312"/>
          <w:sz w:val="32"/>
          <w:szCs w:val="32"/>
        </w:rPr>
        <w:t>100</w:t>
      </w:r>
      <w:r>
        <w:rPr>
          <w:rFonts w:hint="eastAsia" w:ascii="仿宋_GB2312" w:hAnsi="仿宋" w:eastAsia="仿宋_GB2312" w:cs="仿宋_GB2312"/>
          <w:sz w:val="32"/>
          <w:szCs w:val="32"/>
        </w:rPr>
        <w:t>万元以上专用设备</w:t>
      </w:r>
      <w:r>
        <w:rPr>
          <w:rFonts w:ascii="仿宋_GB2312" w:hAnsi="仿宋" w:eastAsia="仿宋_GB2312" w:cs="仿宋_GB2312"/>
          <w:sz w:val="32"/>
          <w:szCs w:val="32"/>
        </w:rPr>
        <w:t>0</w:t>
      </w:r>
      <w:r>
        <w:rPr>
          <w:rFonts w:hint="eastAsia" w:ascii="仿宋_GB2312" w:hAnsi="仿宋" w:eastAsia="仿宋_GB2312" w:cs="仿宋_GB2312"/>
          <w:sz w:val="32"/>
          <w:szCs w:val="32"/>
        </w:rPr>
        <w:t>台（套）。</w:t>
      </w:r>
      <w:r>
        <w:rPr>
          <w:rFonts w:ascii="仿宋_GB2312" w:hAnsi="仿宋" w:eastAsia="仿宋_GB2312" w:cs="仿宋_GB2312"/>
          <w:sz w:val="32"/>
          <w:szCs w:val="32"/>
        </w:rPr>
        <w:t xml:space="preserve"> </w:t>
      </w:r>
    </w:p>
    <w:p>
      <w:pPr>
        <w:spacing w:line="580" w:lineRule="exact"/>
        <w:ind w:firstLine="641"/>
        <w:jc w:val="both"/>
        <w:rPr>
          <w:rFonts w:cs="Times New Roman"/>
        </w:rPr>
      </w:pPr>
      <w:r>
        <w:rPr>
          <w:rStyle w:val="7"/>
          <w:rFonts w:hint="eastAsia" w:ascii="楷体" w:hAnsi="楷体" w:eastAsia="楷体" w:cs="楷体"/>
          <w:sz w:val="32"/>
          <w:szCs w:val="32"/>
        </w:rPr>
        <w:t>（十三）预算绩效情况说明</w:t>
      </w:r>
    </w:p>
    <w:p>
      <w:pPr>
        <w:spacing w:line="580" w:lineRule="exact"/>
        <w:ind w:firstLine="641"/>
        <w:jc w:val="both"/>
        <w:rPr>
          <w:rFonts w:ascii="仿宋_GB2312" w:eastAsia="仿宋_GB2312" w:cs="Times New Roman"/>
        </w:rPr>
      </w:pPr>
      <w:r>
        <w:rPr>
          <w:rStyle w:val="7"/>
          <w:rFonts w:ascii="仿宋_GB2312" w:hAnsi="仿宋" w:eastAsia="仿宋_GB2312" w:cs="仿宋_GB2312"/>
          <w:sz w:val="32"/>
          <w:szCs w:val="32"/>
        </w:rPr>
        <w:t>1.</w:t>
      </w:r>
      <w:r>
        <w:rPr>
          <w:rStyle w:val="7"/>
          <w:rFonts w:hint="eastAsia" w:ascii="仿宋_GB2312" w:hAnsi="仿宋" w:eastAsia="仿宋_GB2312" w:cs="仿宋_GB2312"/>
          <w:sz w:val="32"/>
          <w:szCs w:val="32"/>
        </w:rPr>
        <w:t>预算绩效管理工作开展情况。</w:t>
      </w:r>
    </w:p>
    <w:p>
      <w:pPr>
        <w:spacing w:line="580" w:lineRule="exact"/>
        <w:ind w:firstLine="641"/>
        <w:jc w:val="both"/>
        <w:rPr>
          <w:rFonts w:ascii="仿宋_GB2312" w:eastAsia="仿宋_GB2312" w:cs="Times New Roman"/>
        </w:rPr>
      </w:pPr>
      <w:r>
        <w:rPr>
          <w:rFonts w:hint="eastAsia" w:ascii="仿宋_GB2312" w:hAnsi="仿宋" w:eastAsia="仿宋_GB2312" w:cs="仿宋_GB2312"/>
          <w:sz w:val="32"/>
          <w:szCs w:val="32"/>
        </w:rPr>
        <w:t>根据预算绩效管理要求，住建局组织对</w:t>
      </w:r>
      <w:r>
        <w:rPr>
          <w:rFonts w:ascii="仿宋_GB2312" w:hAnsi="仿宋" w:eastAsia="仿宋_GB2312" w:cs="仿宋_GB2312"/>
          <w:sz w:val="32"/>
          <w:szCs w:val="32"/>
        </w:rPr>
        <w:t>2020</w:t>
      </w:r>
      <w:r>
        <w:rPr>
          <w:rFonts w:hint="eastAsia" w:ascii="仿宋_GB2312" w:hAnsi="仿宋" w:eastAsia="仿宋_GB2312" w:cs="仿宋_GB2312"/>
          <w:sz w:val="32"/>
          <w:szCs w:val="32"/>
        </w:rPr>
        <w:t>年度一般公共预算项目支出全面开展绩效自评，涉及项目</w:t>
      </w:r>
      <w:r>
        <w:rPr>
          <w:rFonts w:ascii="仿宋_GB2312" w:hAnsi="仿宋" w:eastAsia="仿宋_GB2312" w:cs="仿宋_GB2312"/>
          <w:sz w:val="32"/>
          <w:szCs w:val="32"/>
        </w:rPr>
        <w:t>67</w:t>
      </w:r>
      <w:r>
        <w:rPr>
          <w:rFonts w:hint="eastAsia" w:ascii="仿宋_GB2312" w:hAnsi="仿宋" w:eastAsia="仿宋_GB2312" w:cs="仿宋_GB2312"/>
          <w:sz w:val="32"/>
          <w:szCs w:val="32"/>
        </w:rPr>
        <w:t>个，共涉及资金</w:t>
      </w:r>
      <w:r>
        <w:rPr>
          <w:rFonts w:ascii="仿宋_GB2312" w:hAnsi="仿宋" w:eastAsia="仿宋_GB2312" w:cs="仿宋_GB2312"/>
          <w:sz w:val="32"/>
          <w:szCs w:val="32"/>
        </w:rPr>
        <w:t>24214.91</w:t>
      </w:r>
      <w:r>
        <w:rPr>
          <w:rFonts w:hint="eastAsia" w:ascii="仿宋_GB2312" w:hAnsi="仿宋" w:eastAsia="仿宋_GB2312" w:cs="仿宋_GB2312"/>
          <w:sz w:val="32"/>
          <w:szCs w:val="32"/>
        </w:rPr>
        <w:t>万元，占一般公共预算项目支出总额的</w:t>
      </w:r>
      <w:r>
        <w:rPr>
          <w:rFonts w:ascii="仿宋_GB2312" w:hAnsi="仿宋" w:eastAsia="仿宋_GB2312" w:cs="仿宋_GB2312"/>
          <w:sz w:val="32"/>
          <w:szCs w:val="32"/>
        </w:rPr>
        <w:t>100%</w:t>
      </w:r>
      <w:r>
        <w:rPr>
          <w:rFonts w:hint="eastAsia" w:ascii="仿宋_GB2312" w:hAnsi="仿宋" w:eastAsia="仿宋_GB2312" w:cs="仿宋_GB2312"/>
          <w:sz w:val="32"/>
          <w:szCs w:val="32"/>
        </w:rPr>
        <w:t>。组织对</w:t>
      </w:r>
      <w:r>
        <w:rPr>
          <w:rFonts w:ascii="仿宋_GB2312" w:hAnsi="仿宋" w:eastAsia="仿宋_GB2312" w:cs="仿宋_GB2312"/>
          <w:sz w:val="32"/>
          <w:szCs w:val="32"/>
        </w:rPr>
        <w:t>2020</w:t>
      </w:r>
      <w:r>
        <w:rPr>
          <w:rFonts w:hint="eastAsia" w:ascii="仿宋_GB2312" w:hAnsi="仿宋" w:eastAsia="仿宋_GB2312" w:cs="仿宋_GB2312"/>
          <w:sz w:val="32"/>
          <w:szCs w:val="32"/>
        </w:rPr>
        <w:t>年度农污设施部分提升改造及纳入城污建设、温岭市主城区老旧小区改造（一期）项目等</w:t>
      </w:r>
      <w:r>
        <w:rPr>
          <w:rFonts w:ascii="仿宋_GB2312" w:hAnsi="仿宋" w:eastAsia="仿宋_GB2312" w:cs="仿宋_GB2312"/>
          <w:sz w:val="32"/>
          <w:szCs w:val="32"/>
        </w:rPr>
        <w:t>11</w:t>
      </w:r>
      <w:r>
        <w:rPr>
          <w:rFonts w:hint="eastAsia" w:ascii="仿宋_GB2312" w:hAnsi="仿宋" w:eastAsia="仿宋_GB2312" w:cs="仿宋_GB2312"/>
          <w:sz w:val="32"/>
          <w:szCs w:val="32"/>
        </w:rPr>
        <w:t>个政府性基金预算项目支出开展绩效自评，共涉及资金</w:t>
      </w:r>
      <w:r>
        <w:rPr>
          <w:rFonts w:ascii="仿宋_GB2312" w:hAnsi="仿宋" w:eastAsia="仿宋_GB2312" w:cs="仿宋_GB2312"/>
          <w:sz w:val="32"/>
          <w:szCs w:val="32"/>
        </w:rPr>
        <w:t>10837</w:t>
      </w:r>
      <w:r>
        <w:rPr>
          <w:rFonts w:hint="eastAsia" w:ascii="仿宋_GB2312" w:hAnsi="仿宋" w:eastAsia="仿宋_GB2312" w:cs="仿宋_GB2312"/>
          <w:sz w:val="32"/>
          <w:szCs w:val="32"/>
        </w:rPr>
        <w:t>万元，占政府性基金预算项目支出总额的</w:t>
      </w:r>
      <w:r>
        <w:rPr>
          <w:rFonts w:ascii="仿宋_GB2312" w:hAnsi="仿宋" w:eastAsia="仿宋_GB2312" w:cs="仿宋_GB2312"/>
          <w:sz w:val="32"/>
          <w:szCs w:val="32"/>
        </w:rPr>
        <w:t>100%</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p>
    <w:p>
      <w:pPr>
        <w:spacing w:line="580" w:lineRule="exact"/>
        <w:ind w:firstLine="641"/>
        <w:jc w:val="both"/>
        <w:rPr>
          <w:rFonts w:ascii="仿宋_GB2312" w:hAnsi="仿宋" w:eastAsia="仿宋_GB2312" w:cs="Times New Roman"/>
          <w:sz w:val="32"/>
          <w:szCs w:val="32"/>
        </w:rPr>
      </w:pPr>
      <w:r>
        <w:rPr>
          <w:rFonts w:hint="eastAsia" w:ascii="仿宋_GB2312" w:hAnsi="仿宋" w:eastAsia="仿宋_GB2312" w:cs="仿宋_GB2312"/>
          <w:sz w:val="32"/>
          <w:szCs w:val="32"/>
        </w:rPr>
        <w:t>组织对“温岭市污水零直排建设工程”“市政养护经费”等</w:t>
      </w:r>
      <w:r>
        <w:rPr>
          <w:rFonts w:ascii="仿宋_GB2312" w:hAnsi="仿宋" w:eastAsia="仿宋_GB2312" w:cs="仿宋_GB2312"/>
          <w:sz w:val="32"/>
          <w:szCs w:val="32"/>
        </w:rPr>
        <w:t>6</w:t>
      </w:r>
      <w:r>
        <w:rPr>
          <w:rFonts w:hint="eastAsia" w:ascii="仿宋_GB2312" w:hAnsi="仿宋" w:eastAsia="仿宋_GB2312" w:cs="仿宋_GB2312"/>
          <w:sz w:val="32"/>
          <w:szCs w:val="32"/>
        </w:rPr>
        <w:t>个项目开展了部门评价，涉及一般公共预算支出</w:t>
      </w:r>
      <w:r>
        <w:rPr>
          <w:rFonts w:ascii="仿宋_GB2312" w:hAnsi="仿宋" w:eastAsia="仿宋_GB2312" w:cs="仿宋_GB2312"/>
          <w:sz w:val="32"/>
          <w:szCs w:val="32"/>
        </w:rPr>
        <w:t>10450.41</w:t>
      </w:r>
      <w:r>
        <w:rPr>
          <w:rFonts w:hint="eastAsia" w:ascii="仿宋_GB2312" w:hAnsi="仿宋" w:eastAsia="仿宋_GB2312" w:cs="仿宋_GB2312"/>
          <w:sz w:val="32"/>
          <w:szCs w:val="32"/>
        </w:rPr>
        <w:t>万元，政府性基金预算支出</w:t>
      </w:r>
      <w:r>
        <w:rPr>
          <w:rFonts w:ascii="仿宋_GB2312" w:hAnsi="仿宋" w:eastAsia="仿宋_GB2312" w:cs="仿宋_GB2312"/>
          <w:sz w:val="32"/>
          <w:szCs w:val="32"/>
        </w:rPr>
        <w:t>5549.59</w:t>
      </w:r>
      <w:r>
        <w:rPr>
          <w:rFonts w:hint="eastAsia" w:ascii="仿宋_GB2312" w:hAnsi="仿宋" w:eastAsia="仿宋_GB2312" w:cs="仿宋_GB2312"/>
          <w:sz w:val="32"/>
          <w:szCs w:val="32"/>
        </w:rPr>
        <w:t>万元。其中，对“温岭市污水零直排建设工程”“温岭市城镇污水处理设施建设补助”等项目分别由局内评审机构开展绩效评价。从评价情况来看，项目资金执行率较高，项目完成情况较好，</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综合评价等级为优。</w:t>
      </w:r>
    </w:p>
    <w:p>
      <w:pPr>
        <w:spacing w:line="580" w:lineRule="exact"/>
        <w:ind w:firstLine="641"/>
        <w:jc w:val="both"/>
        <w:rPr>
          <w:rFonts w:ascii="仿宋_GB2312" w:eastAsia="仿宋_GB2312" w:cs="Times New Roman"/>
        </w:rPr>
      </w:pPr>
      <w:r>
        <w:rPr>
          <w:rFonts w:hint="eastAsia" w:ascii="仿宋_GB2312" w:hAnsi="仿宋" w:eastAsia="仿宋_GB2312" w:cs="仿宋_GB2312"/>
          <w:sz w:val="32"/>
          <w:szCs w:val="32"/>
        </w:rPr>
        <w:t>组织对本部门开展整体支出绩效评价试点，从评价情况来看，部门整体评价得分为</w:t>
      </w:r>
      <w:r>
        <w:rPr>
          <w:rFonts w:ascii="仿宋_GB2312" w:hAnsi="仿宋" w:eastAsia="仿宋_GB2312" w:cs="仿宋_GB2312"/>
          <w:sz w:val="32"/>
          <w:szCs w:val="32"/>
        </w:rPr>
        <w:t>96.43</w:t>
      </w:r>
      <w:r>
        <w:rPr>
          <w:rFonts w:hint="eastAsia" w:ascii="仿宋_GB2312" w:hAnsi="仿宋" w:eastAsia="仿宋_GB2312" w:cs="仿宋_GB2312"/>
          <w:sz w:val="32"/>
          <w:szCs w:val="32"/>
        </w:rPr>
        <w:t>分，评价等级为优。</w:t>
      </w:r>
    </w:p>
    <w:p>
      <w:pPr>
        <w:spacing w:line="580" w:lineRule="exact"/>
        <w:ind w:firstLine="641"/>
        <w:jc w:val="both"/>
        <w:rPr>
          <w:rFonts w:ascii="仿宋_GB2312" w:eastAsia="仿宋_GB2312" w:cs="Times New Roman"/>
        </w:rPr>
      </w:pPr>
      <w:r>
        <w:rPr>
          <w:rFonts w:hint="eastAsia" w:ascii="仿宋_GB2312" w:hAnsi="仿宋" w:eastAsia="仿宋_GB2312" w:cs="仿宋_GB2312"/>
          <w:sz w:val="32"/>
          <w:szCs w:val="32"/>
        </w:rPr>
        <w:t>本年无下属部门或单位整体支出绩效评价。</w:t>
      </w:r>
    </w:p>
    <w:p>
      <w:pPr>
        <w:spacing w:line="580" w:lineRule="exact"/>
        <w:ind w:firstLine="641"/>
        <w:jc w:val="both"/>
        <w:rPr>
          <w:rFonts w:ascii="仿宋_GB2312" w:hAnsi="仿宋" w:eastAsia="仿宋_GB2312" w:cs="Times New Roman"/>
          <w:sz w:val="32"/>
          <w:szCs w:val="32"/>
        </w:rPr>
      </w:pPr>
      <w:r>
        <w:rPr>
          <w:rStyle w:val="7"/>
          <w:rFonts w:ascii="仿宋_GB2312" w:hAnsi="仿宋" w:eastAsia="仿宋_GB2312" w:cs="仿宋_GB2312"/>
          <w:sz w:val="32"/>
          <w:szCs w:val="32"/>
        </w:rPr>
        <w:t>2.</w:t>
      </w:r>
      <w:r>
        <w:rPr>
          <w:rStyle w:val="7"/>
          <w:rFonts w:hint="eastAsia" w:ascii="仿宋_GB2312" w:hAnsi="仿宋" w:eastAsia="仿宋_GB2312" w:cs="仿宋_GB2312"/>
          <w:sz w:val="32"/>
          <w:szCs w:val="32"/>
        </w:rPr>
        <w:t>单位决算中项目绩效自评结果</w:t>
      </w:r>
    </w:p>
    <w:p>
      <w:pPr>
        <w:spacing w:line="580" w:lineRule="exact"/>
        <w:ind w:firstLine="641"/>
        <w:jc w:val="both"/>
        <w:rPr>
          <w:rFonts w:ascii="仿宋_GB2312" w:eastAsia="仿宋_GB2312" w:cs="Times New Roman"/>
        </w:rPr>
      </w:pPr>
      <w:r>
        <w:rPr>
          <w:rFonts w:hint="eastAsia" w:ascii="仿宋_GB2312" w:hAnsi="仿宋" w:eastAsia="仿宋_GB2312" w:cs="仿宋_GB2312"/>
          <w:sz w:val="32"/>
          <w:szCs w:val="32"/>
        </w:rPr>
        <w:t>我单位在</w:t>
      </w:r>
      <w:r>
        <w:rPr>
          <w:rFonts w:ascii="仿宋_GB2312" w:hAnsi="仿宋" w:eastAsia="仿宋_GB2312" w:cs="仿宋_GB2312"/>
          <w:sz w:val="32"/>
          <w:szCs w:val="32"/>
        </w:rPr>
        <w:t>2020</w:t>
      </w:r>
      <w:r>
        <w:rPr>
          <w:rFonts w:hint="eastAsia" w:ascii="仿宋_GB2312" w:hAnsi="仿宋" w:eastAsia="仿宋_GB2312" w:cs="仿宋_GB2312"/>
          <w:sz w:val="32"/>
          <w:szCs w:val="32"/>
        </w:rPr>
        <w:t>年度单位决算中反映雨水管网非开挖修复及建筑质量安全监管费用绩效自评结果。</w:t>
      </w:r>
    </w:p>
    <w:p>
      <w:pPr>
        <w:spacing w:line="580" w:lineRule="exact"/>
        <w:ind w:firstLine="641"/>
        <w:jc w:val="both"/>
        <w:rPr>
          <w:rFonts w:ascii="仿宋_GB2312" w:hAnsi="仿宋" w:eastAsia="仿宋_GB2312" w:cs="Times New Roman"/>
          <w:sz w:val="32"/>
          <w:szCs w:val="32"/>
        </w:rPr>
      </w:pPr>
      <w:r>
        <w:rPr>
          <w:rFonts w:hint="eastAsia" w:ascii="仿宋_GB2312" w:hAnsi="仿宋" w:eastAsia="仿宋_GB2312" w:cs="仿宋_GB2312"/>
          <w:sz w:val="32"/>
          <w:szCs w:val="32"/>
        </w:rPr>
        <w:t>雨水管网非开挖修复项目绩效自评综述：根据年初设定的绩效目标，项目自评得分</w:t>
      </w:r>
      <w:r>
        <w:rPr>
          <w:rFonts w:ascii="仿宋_GB2312" w:hAnsi="仿宋" w:eastAsia="仿宋_GB2312" w:cs="仿宋_GB2312"/>
          <w:sz w:val="32"/>
          <w:szCs w:val="32"/>
        </w:rPr>
        <w:t>96</w:t>
      </w:r>
      <w:r>
        <w:rPr>
          <w:rFonts w:hint="eastAsia" w:ascii="仿宋_GB2312" w:hAnsi="仿宋" w:eastAsia="仿宋_GB2312" w:cs="仿宋_GB2312"/>
          <w:sz w:val="32"/>
          <w:szCs w:val="32"/>
        </w:rPr>
        <w:t>分，自评结论为“优”。项目全年预算数为</w:t>
      </w:r>
      <w:r>
        <w:rPr>
          <w:rFonts w:ascii="仿宋_GB2312" w:hAnsi="仿宋" w:eastAsia="仿宋_GB2312" w:cs="仿宋_GB2312"/>
          <w:sz w:val="32"/>
          <w:szCs w:val="32"/>
        </w:rPr>
        <w:t>485</w:t>
      </w:r>
      <w:r>
        <w:rPr>
          <w:rFonts w:hint="eastAsia" w:ascii="仿宋_GB2312" w:hAnsi="仿宋" w:eastAsia="仿宋_GB2312" w:cs="仿宋_GB2312"/>
          <w:sz w:val="32"/>
          <w:szCs w:val="32"/>
        </w:rPr>
        <w:t>万元，执行数为</w:t>
      </w:r>
      <w:r>
        <w:rPr>
          <w:rFonts w:ascii="仿宋_GB2312" w:hAnsi="仿宋" w:eastAsia="仿宋_GB2312" w:cs="仿宋_GB2312"/>
          <w:sz w:val="32"/>
          <w:szCs w:val="32"/>
        </w:rPr>
        <w:t>484.2</w:t>
      </w:r>
      <w:r>
        <w:rPr>
          <w:rFonts w:hint="eastAsia" w:ascii="仿宋_GB2312" w:hAnsi="仿宋" w:eastAsia="仿宋_GB2312" w:cs="仿宋_GB2312"/>
          <w:sz w:val="32"/>
          <w:szCs w:val="32"/>
        </w:rPr>
        <w:t>万元，完成预算的</w:t>
      </w:r>
      <w:r>
        <w:rPr>
          <w:rFonts w:ascii="仿宋_GB2312" w:hAnsi="仿宋" w:eastAsia="仿宋_GB2312" w:cs="仿宋_GB2312"/>
          <w:sz w:val="32"/>
          <w:szCs w:val="32"/>
        </w:rPr>
        <w:t>99.8%</w:t>
      </w:r>
      <w:r>
        <w:rPr>
          <w:rFonts w:hint="eastAsia" w:ascii="仿宋_GB2312" w:hAnsi="仿宋" w:eastAsia="仿宋_GB2312" w:cs="仿宋_GB2312"/>
          <w:sz w:val="32"/>
          <w:szCs w:val="32"/>
        </w:rPr>
        <w:t>。项目绩效目标完成情况：一是完成九龙大道、环湖路等路段雨水管网费开挖修复</w:t>
      </w:r>
      <w:r>
        <w:rPr>
          <w:rFonts w:ascii="仿宋_GB2312" w:hAnsi="仿宋" w:eastAsia="仿宋_GB2312" w:cs="仿宋_GB2312"/>
          <w:sz w:val="32"/>
          <w:szCs w:val="32"/>
        </w:rPr>
        <w:t>1184</w:t>
      </w:r>
      <w:r>
        <w:rPr>
          <w:rFonts w:hint="eastAsia" w:ascii="仿宋_GB2312" w:hAnsi="仿宋" w:eastAsia="仿宋_GB2312" w:cs="仿宋_GB2312"/>
          <w:sz w:val="32"/>
          <w:szCs w:val="32"/>
        </w:rPr>
        <w:t>个点；二是完成紫外光非开挖修复</w:t>
      </w:r>
      <w:r>
        <w:rPr>
          <w:rFonts w:ascii="仿宋_GB2312" w:hAnsi="仿宋" w:eastAsia="仿宋_GB2312" w:cs="仿宋_GB2312"/>
          <w:sz w:val="32"/>
          <w:szCs w:val="32"/>
        </w:rPr>
        <w:t>558.5</w:t>
      </w:r>
      <w:r>
        <w:rPr>
          <w:rFonts w:hint="eastAsia" w:ascii="仿宋_GB2312" w:hAnsi="仿宋" w:eastAsia="仿宋_GB2312" w:cs="仿宋_GB2312"/>
          <w:sz w:val="32"/>
          <w:szCs w:val="32"/>
        </w:rPr>
        <w:t>米。发现的问题及原因：一是管道内淤泥清理不彻底、固化时间不到位；二是修复人员业务水平有差距。下一步改进措施：一是加强监管，严把竣工验收关；二是要求施工单位加强修复管理，业主方同时加强修复质量监管。</w:t>
      </w:r>
    </w:p>
    <w:p>
      <w:pPr>
        <w:adjustRightInd w:val="0"/>
        <w:snapToGrid w:val="0"/>
        <w:jc w:val="center"/>
        <w:rPr>
          <w:rFonts w:ascii="楷体_GB2312" w:hAnsi="华文仿宋" w:eastAsia="楷体_GB2312" w:cs="Times New Roman"/>
          <w:spacing w:val="7"/>
          <w:sz w:val="32"/>
          <w:szCs w:val="32"/>
        </w:rPr>
      </w:pPr>
      <w:r>
        <w:rPr>
          <w:rFonts w:hint="eastAsia" w:ascii="方正小标宋简体" w:hAnsi="华文仿宋" w:eastAsia="方正小标宋简体" w:cs="方正小标宋简体"/>
          <w:spacing w:val="7"/>
          <w:sz w:val="44"/>
          <w:szCs w:val="44"/>
        </w:rPr>
        <w:t>温岭市项目支出绩效自评表</w:t>
      </w:r>
    </w:p>
    <w:p>
      <w:pPr>
        <w:adjustRightInd w:val="0"/>
        <w:snapToGrid w:val="0"/>
        <w:jc w:val="center"/>
        <w:rPr>
          <w:rFonts w:ascii="楷体_GB2312" w:hAnsi="华文仿宋" w:eastAsia="楷体_GB2312" w:cs="Times New Roman"/>
          <w:spacing w:val="7"/>
          <w:sz w:val="32"/>
          <w:szCs w:val="32"/>
        </w:rPr>
      </w:pPr>
      <w:r>
        <w:rPr>
          <w:rFonts w:hint="eastAsia" w:ascii="楷体_GB2312" w:hAnsi="华文仿宋" w:eastAsia="楷体_GB2312" w:cs="楷体_GB2312"/>
          <w:spacing w:val="7"/>
          <w:sz w:val="32"/>
          <w:szCs w:val="32"/>
        </w:rPr>
        <w:t>（</w:t>
      </w:r>
      <w:r>
        <w:rPr>
          <w:rFonts w:ascii="楷体_GB2312" w:hAnsi="华文仿宋" w:eastAsia="楷体_GB2312" w:cs="楷体_GB2312"/>
          <w:spacing w:val="7"/>
          <w:sz w:val="32"/>
          <w:szCs w:val="32"/>
        </w:rPr>
        <w:t xml:space="preserve"> 2020</w:t>
      </w:r>
      <w:r>
        <w:rPr>
          <w:rFonts w:ascii="华文仿宋" w:hAnsi="华文仿宋" w:eastAsia="楷体_GB2312" w:cs="Times New Roman"/>
          <w:spacing w:val="7"/>
          <w:sz w:val="32"/>
          <w:szCs w:val="32"/>
        </w:rPr>
        <w:t> </w:t>
      </w:r>
      <w:r>
        <w:rPr>
          <w:rFonts w:hint="eastAsia" w:ascii="楷体_GB2312" w:hAnsi="华文仿宋" w:eastAsia="楷体_GB2312" w:cs="楷体_GB2312"/>
          <w:spacing w:val="7"/>
          <w:sz w:val="32"/>
          <w:szCs w:val="32"/>
        </w:rPr>
        <w:t>年度）</w:t>
      </w:r>
    </w:p>
    <w:tbl>
      <w:tblPr>
        <w:tblStyle w:val="5"/>
        <w:tblW w:w="9547" w:type="dxa"/>
        <w:tblInd w:w="-4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746"/>
        <w:gridCol w:w="885"/>
        <w:gridCol w:w="108"/>
        <w:gridCol w:w="1125"/>
        <w:gridCol w:w="345"/>
        <w:gridCol w:w="1461"/>
        <w:gridCol w:w="1224"/>
        <w:gridCol w:w="252"/>
        <w:gridCol w:w="543"/>
        <w:gridCol w:w="577"/>
        <w:gridCol w:w="488"/>
        <w:gridCol w:w="13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7" w:hRule="atLeast"/>
        </w:trPr>
        <w:tc>
          <w:tcPr>
            <w:tcW w:w="1204"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rPr>
            </w:pPr>
            <w:r>
              <w:rPr>
                <w:rFonts w:hint="eastAsia" w:ascii="仿宋_GB2312" w:hAnsi="仿宋" w:eastAsia="仿宋_GB2312" w:cs="仿宋_GB2312"/>
              </w:rPr>
              <w:t>项目</w:t>
            </w:r>
          </w:p>
          <w:p>
            <w:pPr>
              <w:adjustRightInd w:val="0"/>
              <w:snapToGrid w:val="0"/>
              <w:jc w:val="center"/>
              <w:rPr>
                <w:rFonts w:ascii="仿宋_GB2312" w:hAnsi="仿宋" w:eastAsia="仿宋_GB2312" w:cs="Times New Roman"/>
              </w:rPr>
            </w:pPr>
            <w:r>
              <w:rPr>
                <w:rFonts w:hint="eastAsia" w:ascii="仿宋_GB2312" w:hAnsi="仿宋" w:eastAsia="仿宋_GB2312" w:cs="仿宋_GB2312"/>
              </w:rPr>
              <w:t>名称</w:t>
            </w:r>
          </w:p>
        </w:tc>
        <w:tc>
          <w:tcPr>
            <w:tcW w:w="8343" w:type="dxa"/>
            <w:gridSpan w:val="11"/>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雨水管网非开挖修复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2" w:hRule="atLeast"/>
        </w:trPr>
        <w:tc>
          <w:tcPr>
            <w:tcW w:w="1204"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主管</w:t>
            </w:r>
          </w:p>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部门</w:t>
            </w:r>
          </w:p>
        </w:tc>
        <w:tc>
          <w:tcPr>
            <w:tcW w:w="3924" w:type="dxa"/>
            <w:gridSpan w:val="5"/>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温岭市住房和城乡建设局</w:t>
            </w:r>
          </w:p>
        </w:tc>
        <w:tc>
          <w:tcPr>
            <w:tcW w:w="1476"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实施单位</w:t>
            </w:r>
          </w:p>
        </w:tc>
        <w:tc>
          <w:tcPr>
            <w:tcW w:w="2943" w:type="dxa"/>
            <w:gridSpan w:val="4"/>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温岭市市政公用工程建设中心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trPr>
        <w:tc>
          <w:tcPr>
            <w:tcW w:w="1204" w:type="dxa"/>
            <w:gridSpan w:val="2"/>
            <w:vMerge w:val="restart"/>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项目</w:t>
            </w:r>
          </w:p>
          <w:p>
            <w:pPr>
              <w:adjustRightInd w:val="0"/>
              <w:snapToGrid w:val="0"/>
              <w:jc w:val="center"/>
              <w:rPr>
                <w:rFonts w:ascii="仿宋_GB2312" w:hAnsi="仿宋" w:eastAsia="仿宋_GB2312" w:cs="仿宋_GB2312"/>
                <w:spacing w:val="7"/>
              </w:rPr>
            </w:pPr>
            <w:r>
              <w:rPr>
                <w:rFonts w:hint="eastAsia" w:ascii="仿宋_GB2312" w:hAnsi="仿宋" w:eastAsia="仿宋_GB2312" w:cs="仿宋_GB2312"/>
                <w:spacing w:val="7"/>
              </w:rPr>
              <w:t>资金</w:t>
            </w:r>
            <w:r>
              <w:rPr>
                <w:rFonts w:ascii="仿宋_GB2312" w:hAnsi="仿宋" w:eastAsia="仿宋_GB2312" w:cs="仿宋_GB2312"/>
                <w:spacing w:val="7"/>
              </w:rPr>
              <w:t>(</w:t>
            </w:r>
            <w:r>
              <w:rPr>
                <w:rFonts w:hint="eastAsia" w:ascii="仿宋_GB2312" w:hAnsi="仿宋" w:eastAsia="仿宋_GB2312" w:cs="仿宋_GB2312"/>
                <w:spacing w:val="7"/>
              </w:rPr>
              <w:t>万元</w:t>
            </w:r>
            <w:r>
              <w:rPr>
                <w:rFonts w:ascii="仿宋_GB2312" w:hAnsi="仿宋" w:eastAsia="仿宋_GB2312" w:cs="仿宋_GB2312"/>
                <w:spacing w:val="7"/>
              </w:rPr>
              <w:t>)</w:t>
            </w:r>
          </w:p>
        </w:tc>
        <w:tc>
          <w:tcPr>
            <w:tcW w:w="2463" w:type="dxa"/>
            <w:gridSpan w:val="4"/>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461"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年初预算数</w:t>
            </w:r>
          </w:p>
        </w:tc>
        <w:tc>
          <w:tcPr>
            <w:tcW w:w="147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全年预算数</w:t>
            </w:r>
          </w:p>
        </w:tc>
        <w:tc>
          <w:tcPr>
            <w:tcW w:w="1608" w:type="dxa"/>
            <w:gridSpan w:val="3"/>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全年执行数</w:t>
            </w:r>
          </w:p>
        </w:tc>
        <w:tc>
          <w:tcPr>
            <w:tcW w:w="133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trPr>
        <w:tc>
          <w:tcPr>
            <w:tcW w:w="1204"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2463" w:type="dxa"/>
            <w:gridSpan w:val="4"/>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年度资金总额</w:t>
            </w:r>
          </w:p>
        </w:tc>
        <w:tc>
          <w:tcPr>
            <w:tcW w:w="1461"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仿宋_GB2312"/>
                <w:spacing w:val="7"/>
              </w:rPr>
            </w:pPr>
            <w:r>
              <w:rPr>
                <w:rFonts w:ascii="仿宋_GB2312" w:hAnsi="仿宋" w:eastAsia="仿宋_GB2312" w:cs="仿宋_GB2312"/>
                <w:spacing w:val="7"/>
              </w:rPr>
              <w:t>600</w:t>
            </w:r>
          </w:p>
        </w:tc>
        <w:tc>
          <w:tcPr>
            <w:tcW w:w="147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仿宋_GB2312"/>
                <w:spacing w:val="7"/>
              </w:rPr>
            </w:pPr>
            <w:r>
              <w:rPr>
                <w:rFonts w:ascii="仿宋_GB2312" w:hAnsi="仿宋" w:eastAsia="仿宋_GB2312" w:cs="仿宋_GB2312"/>
                <w:spacing w:val="7"/>
              </w:rPr>
              <w:t>485</w:t>
            </w:r>
          </w:p>
        </w:tc>
        <w:tc>
          <w:tcPr>
            <w:tcW w:w="1608" w:type="dxa"/>
            <w:gridSpan w:val="3"/>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仿宋_GB2312"/>
                <w:spacing w:val="7"/>
              </w:rPr>
            </w:pPr>
            <w:r>
              <w:rPr>
                <w:rFonts w:ascii="仿宋_GB2312" w:hAnsi="仿宋" w:eastAsia="仿宋_GB2312" w:cs="仿宋_GB2312"/>
                <w:spacing w:val="7"/>
              </w:rPr>
              <w:t>484.2</w:t>
            </w:r>
          </w:p>
        </w:tc>
        <w:tc>
          <w:tcPr>
            <w:tcW w:w="133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仿宋_GB2312"/>
                <w:spacing w:val="7"/>
              </w:rPr>
            </w:pPr>
            <w:r>
              <w:rPr>
                <w:rFonts w:ascii="仿宋_GB2312" w:hAnsi="仿宋" w:eastAsia="仿宋_GB2312" w:cs="仿宋_GB2312"/>
                <w:spacing w:val="7"/>
              </w:rPr>
              <w:t>99.8%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trPr>
        <w:tc>
          <w:tcPr>
            <w:tcW w:w="1204"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2463" w:type="dxa"/>
            <w:gridSpan w:val="4"/>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其中：当年财政拨款</w:t>
            </w:r>
          </w:p>
        </w:tc>
        <w:tc>
          <w:tcPr>
            <w:tcW w:w="1461"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仿宋_GB2312"/>
                <w:spacing w:val="7"/>
              </w:rPr>
            </w:pPr>
            <w:r>
              <w:rPr>
                <w:rFonts w:ascii="仿宋_GB2312" w:hAnsi="仿宋" w:eastAsia="仿宋_GB2312" w:cs="仿宋_GB2312"/>
                <w:spacing w:val="7"/>
              </w:rPr>
              <w:t>600</w:t>
            </w:r>
          </w:p>
        </w:tc>
        <w:tc>
          <w:tcPr>
            <w:tcW w:w="147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仿宋_GB2312"/>
                <w:spacing w:val="7"/>
              </w:rPr>
            </w:pPr>
            <w:r>
              <w:rPr>
                <w:rFonts w:ascii="仿宋_GB2312" w:hAnsi="仿宋" w:eastAsia="仿宋_GB2312" w:cs="仿宋_GB2312"/>
                <w:spacing w:val="7"/>
              </w:rPr>
              <w:t>485</w:t>
            </w:r>
          </w:p>
        </w:tc>
        <w:tc>
          <w:tcPr>
            <w:tcW w:w="1608" w:type="dxa"/>
            <w:gridSpan w:val="3"/>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仿宋_GB2312"/>
                <w:spacing w:val="7"/>
              </w:rPr>
            </w:pPr>
            <w:r>
              <w:rPr>
                <w:rFonts w:ascii="仿宋_GB2312" w:hAnsi="仿宋" w:eastAsia="仿宋_GB2312" w:cs="仿宋_GB2312"/>
                <w:spacing w:val="7"/>
              </w:rPr>
              <w:t>484.2</w:t>
            </w:r>
          </w:p>
        </w:tc>
        <w:tc>
          <w:tcPr>
            <w:tcW w:w="133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仿宋_GB2312"/>
                <w:spacing w:val="7"/>
              </w:rPr>
            </w:pPr>
            <w:r>
              <w:rPr>
                <w:rFonts w:ascii="仿宋_GB2312" w:hAnsi="仿宋" w:eastAsia="仿宋_GB2312" w:cs="仿宋_GB2312"/>
                <w:spacing w:val="7"/>
              </w:rPr>
              <w:t>99.8%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trPr>
        <w:tc>
          <w:tcPr>
            <w:tcW w:w="1204"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2463" w:type="dxa"/>
            <w:gridSpan w:val="4"/>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eastAsia="仿宋_GB2312" w:cs="Times New Roman"/>
                <w:spacing w:val="7"/>
              </w:rPr>
              <w:t>   </w:t>
            </w:r>
            <w:r>
              <w:rPr>
                <w:rFonts w:hint="eastAsia" w:ascii="仿宋_GB2312" w:hAnsi="仿宋" w:eastAsia="仿宋_GB2312" w:cs="仿宋_GB2312"/>
                <w:spacing w:val="7"/>
              </w:rPr>
              <w:t>上年结转资金</w:t>
            </w:r>
          </w:p>
        </w:tc>
        <w:tc>
          <w:tcPr>
            <w:tcW w:w="1461"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47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608" w:type="dxa"/>
            <w:gridSpan w:val="3"/>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33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trPr>
        <w:tc>
          <w:tcPr>
            <w:tcW w:w="1204"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2463" w:type="dxa"/>
            <w:gridSpan w:val="4"/>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其他资金</w:t>
            </w:r>
          </w:p>
        </w:tc>
        <w:tc>
          <w:tcPr>
            <w:tcW w:w="1461"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476"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608" w:type="dxa"/>
            <w:gridSpan w:val="3"/>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33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57" w:hRule="atLeast"/>
        </w:trPr>
        <w:tc>
          <w:tcPr>
            <w:tcW w:w="1204" w:type="dxa"/>
            <w:gridSpan w:val="2"/>
            <w:vMerge w:val="restart"/>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年度总体目标</w:t>
            </w:r>
          </w:p>
        </w:tc>
        <w:tc>
          <w:tcPr>
            <w:tcW w:w="3924" w:type="dxa"/>
            <w:gridSpan w:val="5"/>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预期目标</w:t>
            </w:r>
          </w:p>
        </w:tc>
        <w:tc>
          <w:tcPr>
            <w:tcW w:w="4419" w:type="dxa"/>
            <w:gridSpan w:val="6"/>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82" w:hRule="atLeast"/>
        </w:trPr>
        <w:tc>
          <w:tcPr>
            <w:tcW w:w="1204"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3924" w:type="dxa"/>
            <w:gridSpan w:val="5"/>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根据</w:t>
            </w:r>
            <w:r>
              <w:rPr>
                <w:rFonts w:ascii="仿宋_GB2312" w:hAnsi="仿宋" w:eastAsia="仿宋_GB2312" w:cs="仿宋_GB2312"/>
                <w:spacing w:val="7"/>
              </w:rPr>
              <w:t>CCTV</w:t>
            </w:r>
            <w:r>
              <w:rPr>
                <w:rFonts w:hint="eastAsia" w:ascii="仿宋_GB2312" w:hAnsi="仿宋" w:eastAsia="仿宋_GB2312" w:cs="仿宋_GB2312"/>
                <w:spacing w:val="7"/>
              </w:rPr>
              <w:t>检测结果，雨水管网实施非开挖修复，</w:t>
            </w:r>
            <w:r>
              <w:rPr>
                <w:rFonts w:hint="eastAsia" w:ascii="仿宋_GB2312" w:hAnsi="仿宋" w:eastAsia="仿宋_GB2312" w:cs="仿宋_GB2312"/>
              </w:rPr>
              <w:t>避免或减少雨污合流对水质的污染，提升河道水质</w:t>
            </w:r>
          </w:p>
        </w:tc>
        <w:tc>
          <w:tcPr>
            <w:tcW w:w="4419" w:type="dxa"/>
            <w:gridSpan w:val="6"/>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完成九龙大道、环湖路、横湖路等路段雨水管网非开挖修复</w:t>
            </w:r>
            <w:r>
              <w:rPr>
                <w:rFonts w:ascii="仿宋_GB2312" w:hAnsi="仿宋" w:eastAsia="仿宋_GB2312" w:cs="仿宋_GB2312"/>
                <w:spacing w:val="7"/>
              </w:rPr>
              <w:t>1184</w:t>
            </w:r>
            <w:r>
              <w:rPr>
                <w:rFonts w:hint="eastAsia" w:ascii="仿宋_GB2312" w:hAnsi="仿宋" w:eastAsia="仿宋_GB2312" w:cs="仿宋_GB2312"/>
                <w:spacing w:val="7"/>
              </w:rPr>
              <w:t>个点，紫外光非开挖修复</w:t>
            </w:r>
            <w:r>
              <w:rPr>
                <w:rFonts w:ascii="仿宋_GB2312" w:hAnsi="仿宋" w:eastAsia="仿宋_GB2312" w:cs="仿宋_GB2312"/>
                <w:spacing w:val="7"/>
              </w:rPr>
              <w:t>558.5</w:t>
            </w:r>
            <w:r>
              <w:rPr>
                <w:rFonts w:hint="eastAsia" w:ascii="仿宋_GB2312" w:hAnsi="仿宋" w:eastAsia="仿宋_GB2312" w:cs="仿宋_GB2312"/>
                <w:spacing w:val="7"/>
              </w:rPr>
              <w:t>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53" w:hRule="atLeast"/>
        </w:trPr>
        <w:tc>
          <w:tcPr>
            <w:tcW w:w="458" w:type="dxa"/>
            <w:vMerge w:val="restart"/>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绩效指标</w:t>
            </w:r>
          </w:p>
        </w:tc>
        <w:tc>
          <w:tcPr>
            <w:tcW w:w="746"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一级指标</w:t>
            </w: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二级</w:t>
            </w:r>
          </w:p>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125"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三级</w:t>
            </w:r>
          </w:p>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806"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年度</w:t>
            </w:r>
          </w:p>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指标值</w:t>
            </w:r>
          </w:p>
        </w:tc>
        <w:tc>
          <w:tcPr>
            <w:tcW w:w="1224"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实际</w:t>
            </w:r>
          </w:p>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完成值</w:t>
            </w: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权重</w:t>
            </w: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得分</w:t>
            </w:r>
          </w:p>
        </w:tc>
        <w:tc>
          <w:tcPr>
            <w:tcW w:w="1823"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01" w:hRule="atLeas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46" w:type="dxa"/>
            <w:vMerge w:val="restart"/>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产出指标</w:t>
            </w: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数量</w:t>
            </w:r>
          </w:p>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12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修复点位</w:t>
            </w:r>
          </w:p>
        </w:tc>
        <w:tc>
          <w:tcPr>
            <w:tcW w:w="180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根据设计图纸修复点位及修复工艺</w:t>
            </w:r>
          </w:p>
        </w:tc>
        <w:tc>
          <w:tcPr>
            <w:tcW w:w="122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仿宋_GB2312"/>
                <w:spacing w:val="7"/>
              </w:rPr>
            </w:pPr>
            <w:r>
              <w:rPr>
                <w:rFonts w:hint="eastAsia" w:ascii="仿宋_GB2312" w:hAnsi="仿宋" w:eastAsia="仿宋_GB2312" w:cs="仿宋_GB2312"/>
                <w:spacing w:val="7"/>
              </w:rPr>
              <w:t>非开挖修复</w:t>
            </w:r>
            <w:r>
              <w:rPr>
                <w:rFonts w:ascii="仿宋_GB2312" w:hAnsi="仿宋" w:eastAsia="仿宋_GB2312" w:cs="仿宋_GB2312"/>
                <w:spacing w:val="7"/>
              </w:rPr>
              <w:t>1184</w:t>
            </w:r>
            <w:r>
              <w:rPr>
                <w:rFonts w:hint="eastAsia" w:ascii="仿宋_GB2312" w:hAnsi="仿宋" w:eastAsia="仿宋_GB2312" w:cs="仿宋_GB2312"/>
                <w:spacing w:val="7"/>
              </w:rPr>
              <w:t>个点，紫外光非开挖修复</w:t>
            </w:r>
            <w:r>
              <w:rPr>
                <w:rFonts w:ascii="仿宋_GB2312" w:hAnsi="仿宋" w:eastAsia="仿宋_GB2312" w:cs="仿宋_GB2312"/>
                <w:spacing w:val="7"/>
              </w:rPr>
              <w:t>558.5</w:t>
            </w:r>
            <w:r>
              <w:rPr>
                <w:rFonts w:hint="eastAsia" w:ascii="仿宋_GB2312" w:hAnsi="仿宋" w:eastAsia="仿宋_GB2312" w:cs="仿宋_GB2312"/>
                <w:spacing w:val="7"/>
              </w:rPr>
              <w:t>米</w:t>
            </w: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20</w:t>
            </w: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20</w:t>
            </w: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81" w:hRule="atLeas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46" w:type="dxa"/>
            <w:vMerge w:val="continue"/>
            <w:shd w:val="clear" w:color="auto" w:fill="FFFFFF"/>
            <w:vAlign w:val="center"/>
          </w:tcPr>
          <w:p>
            <w:pPr>
              <w:adjustRightInd w:val="0"/>
              <w:snapToGrid w:val="0"/>
              <w:rPr>
                <w:rFonts w:ascii="仿宋_GB2312" w:hAnsi="仿宋" w:eastAsia="仿宋_GB2312"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质量</w:t>
            </w:r>
          </w:p>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12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修复工艺</w:t>
            </w:r>
          </w:p>
        </w:tc>
        <w:tc>
          <w:tcPr>
            <w:tcW w:w="180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局部破损采用树脂固化法，整体修复采用紫外光固化</w:t>
            </w:r>
          </w:p>
        </w:tc>
        <w:tc>
          <w:tcPr>
            <w:tcW w:w="122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局部破损采用树脂固化法，整体修复采用紫外光固化</w:t>
            </w: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20</w:t>
            </w: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18</w:t>
            </w: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ascii="仿宋_GB2312" w:hAnsi="仿宋" w:eastAsia="仿宋_GB2312" w:cs="仿宋_GB2312"/>
                <w:spacing w:val="7"/>
              </w:rPr>
              <w:t>1</w:t>
            </w:r>
            <w:r>
              <w:rPr>
                <w:rFonts w:hint="eastAsia" w:ascii="仿宋_GB2312" w:hAnsi="仿宋" w:eastAsia="仿宋_GB2312" w:cs="仿宋_GB2312"/>
                <w:spacing w:val="7"/>
              </w:rPr>
              <w:t>、管道内淤泥清理不彻底、固化时间不到位</w:t>
            </w:r>
            <w:r>
              <w:rPr>
                <w:rFonts w:ascii="仿宋_GB2312" w:hAnsi="仿宋" w:eastAsia="仿宋_GB2312" w:cs="仿宋_GB2312"/>
                <w:spacing w:val="7"/>
              </w:rPr>
              <w:t>2</w:t>
            </w:r>
            <w:r>
              <w:rPr>
                <w:rFonts w:hint="eastAsia" w:ascii="仿宋_GB2312" w:hAnsi="仿宋" w:eastAsia="仿宋_GB2312" w:cs="仿宋_GB2312"/>
                <w:spacing w:val="7"/>
              </w:rPr>
              <w:t>、加强监管，严把竣工验收关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34" w:hRule="exac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46" w:type="dxa"/>
            <w:vMerge w:val="continue"/>
            <w:shd w:val="clear" w:color="auto" w:fill="FFFFFF"/>
            <w:vAlign w:val="center"/>
          </w:tcPr>
          <w:p>
            <w:pPr>
              <w:adjustRightInd w:val="0"/>
              <w:snapToGrid w:val="0"/>
              <w:rPr>
                <w:rFonts w:ascii="仿宋_GB2312" w:hAnsi="仿宋" w:eastAsia="仿宋_GB2312"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时效</w:t>
            </w:r>
          </w:p>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12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及时性</w:t>
            </w:r>
          </w:p>
        </w:tc>
        <w:tc>
          <w:tcPr>
            <w:tcW w:w="180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ascii="仿宋_GB2312" w:hAnsi="仿宋" w:eastAsia="仿宋_GB2312" w:cs="仿宋_GB2312"/>
                <w:spacing w:val="7"/>
              </w:rPr>
              <w:t>11</w:t>
            </w:r>
            <w:r>
              <w:rPr>
                <w:rFonts w:hint="eastAsia" w:ascii="仿宋_GB2312" w:hAnsi="仿宋" w:eastAsia="仿宋_GB2312" w:cs="仿宋_GB2312"/>
                <w:spacing w:val="7"/>
              </w:rPr>
              <w:t>月底完成</w:t>
            </w:r>
          </w:p>
        </w:tc>
        <w:tc>
          <w:tcPr>
            <w:tcW w:w="122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ascii="仿宋_GB2312" w:hAnsi="仿宋" w:eastAsia="仿宋_GB2312" w:cs="仿宋_GB2312"/>
                <w:spacing w:val="7"/>
              </w:rPr>
              <w:t>11</w:t>
            </w:r>
            <w:r>
              <w:rPr>
                <w:rFonts w:hint="eastAsia" w:ascii="仿宋_GB2312" w:hAnsi="仿宋" w:eastAsia="仿宋_GB2312" w:cs="仿宋_GB2312"/>
                <w:spacing w:val="7"/>
              </w:rPr>
              <w:t>月中旬已完成并出具修复影像资料</w:t>
            </w: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20</w:t>
            </w: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20</w:t>
            </w: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45" w:hRule="exac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46" w:type="dxa"/>
            <w:vMerge w:val="continue"/>
            <w:shd w:val="clear" w:color="auto" w:fill="FFFFFF"/>
            <w:vAlign w:val="center"/>
          </w:tcPr>
          <w:p>
            <w:pPr>
              <w:adjustRightInd w:val="0"/>
              <w:snapToGrid w:val="0"/>
              <w:rPr>
                <w:rFonts w:ascii="仿宋_GB2312" w:hAnsi="仿宋" w:eastAsia="仿宋_GB2312"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成本</w:t>
            </w:r>
          </w:p>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12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80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22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1" w:hRule="atLeas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46" w:type="dxa"/>
            <w:vMerge w:val="restart"/>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效益指标</w:t>
            </w: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经济效益指标</w:t>
            </w:r>
          </w:p>
        </w:tc>
        <w:tc>
          <w:tcPr>
            <w:tcW w:w="112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80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22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77" w:hRule="exac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46" w:type="dxa"/>
            <w:vMerge w:val="continue"/>
            <w:shd w:val="clear" w:color="auto" w:fill="FFFFFF"/>
            <w:vAlign w:val="center"/>
          </w:tcPr>
          <w:p>
            <w:pPr>
              <w:adjustRightInd w:val="0"/>
              <w:snapToGrid w:val="0"/>
              <w:jc w:val="center"/>
              <w:rPr>
                <w:rFonts w:ascii="仿宋_GB2312" w:hAnsi="仿宋" w:eastAsia="仿宋_GB2312" w:cs="Times New Roman"/>
                <w:spacing w:val="7"/>
              </w:rPr>
            </w:pPr>
          </w:p>
        </w:tc>
        <w:tc>
          <w:tcPr>
            <w:tcW w:w="993" w:type="dxa"/>
            <w:gridSpan w:val="2"/>
            <w:vMerge w:val="restart"/>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社会效益指标</w:t>
            </w:r>
          </w:p>
        </w:tc>
        <w:tc>
          <w:tcPr>
            <w:tcW w:w="112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提升水质</w:t>
            </w:r>
          </w:p>
        </w:tc>
        <w:tc>
          <w:tcPr>
            <w:tcW w:w="180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管网畅通，雨天无积水，减少雨污合流，提升水质</w:t>
            </w:r>
          </w:p>
        </w:tc>
        <w:tc>
          <w:tcPr>
            <w:tcW w:w="122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管网运载量明显增强，水质明显改善</w:t>
            </w: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20</w:t>
            </w: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20</w:t>
            </w: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21" w:hRule="exac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46" w:type="dxa"/>
            <w:vMerge w:val="continue"/>
            <w:shd w:val="clear" w:color="auto" w:fill="FFFFFF"/>
            <w:vAlign w:val="center"/>
          </w:tcPr>
          <w:p>
            <w:pPr>
              <w:adjustRightInd w:val="0"/>
              <w:snapToGrid w:val="0"/>
              <w:jc w:val="center"/>
              <w:rPr>
                <w:rFonts w:ascii="仿宋_GB2312" w:hAnsi="仿宋" w:eastAsia="仿宋_GB2312" w:cs="Times New Roman"/>
                <w:spacing w:val="7"/>
              </w:rPr>
            </w:pPr>
          </w:p>
        </w:tc>
        <w:tc>
          <w:tcPr>
            <w:tcW w:w="993"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112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人员设备配备</w:t>
            </w:r>
          </w:p>
        </w:tc>
        <w:tc>
          <w:tcPr>
            <w:tcW w:w="180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专业修复人员及设备修复管网配备到位</w:t>
            </w:r>
          </w:p>
        </w:tc>
        <w:tc>
          <w:tcPr>
            <w:tcW w:w="122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修复技术人员及修复设备配备到位</w:t>
            </w: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20</w:t>
            </w: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18</w:t>
            </w: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ascii="仿宋_GB2312" w:hAnsi="仿宋" w:eastAsia="仿宋_GB2312" w:cs="仿宋_GB2312"/>
                <w:spacing w:val="7"/>
              </w:rPr>
              <w:t>1</w:t>
            </w:r>
            <w:r>
              <w:rPr>
                <w:rFonts w:hint="eastAsia" w:ascii="仿宋_GB2312" w:hAnsi="仿宋" w:eastAsia="仿宋_GB2312" w:cs="仿宋_GB2312"/>
                <w:spacing w:val="7"/>
              </w:rPr>
              <w:t>、修复人员业务水平有差距</w:t>
            </w:r>
            <w:r>
              <w:rPr>
                <w:rFonts w:ascii="仿宋_GB2312" w:hAnsi="仿宋" w:eastAsia="仿宋_GB2312" w:cs="仿宋_GB2312"/>
                <w:spacing w:val="7"/>
              </w:rPr>
              <w:t>2</w:t>
            </w:r>
            <w:r>
              <w:rPr>
                <w:rFonts w:hint="eastAsia" w:ascii="仿宋_GB2312" w:hAnsi="仿宋" w:eastAsia="仿宋_GB2312" w:cs="仿宋_GB2312"/>
                <w:spacing w:val="7"/>
              </w:rPr>
              <w:t>、要求施工单位加强修复管理，业主方同时派人监管修复质量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87" w:hRule="exac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46" w:type="dxa"/>
            <w:vMerge w:val="continue"/>
            <w:shd w:val="clear" w:color="auto" w:fill="FFFFFF"/>
            <w:vAlign w:val="center"/>
          </w:tcPr>
          <w:p>
            <w:pPr>
              <w:adjustRightInd w:val="0"/>
              <w:snapToGrid w:val="0"/>
              <w:rPr>
                <w:rFonts w:ascii="仿宋_GB2312" w:hAnsi="仿宋" w:eastAsia="仿宋_GB2312"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生态效益指标</w:t>
            </w:r>
          </w:p>
        </w:tc>
        <w:tc>
          <w:tcPr>
            <w:tcW w:w="112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指标</w:t>
            </w:r>
            <w:r>
              <w:rPr>
                <w:rFonts w:ascii="仿宋_GB2312" w:hAnsi="仿宋" w:eastAsia="仿宋_GB2312" w:cs="仿宋_GB2312"/>
                <w:spacing w:val="7"/>
              </w:rPr>
              <w:t>1</w:t>
            </w:r>
            <w:r>
              <w:rPr>
                <w:rFonts w:hint="eastAsia" w:ascii="仿宋_GB2312" w:hAnsi="仿宋" w:eastAsia="仿宋_GB2312" w:cs="仿宋_GB2312"/>
                <w:spacing w:val="7"/>
              </w:rPr>
              <w:t>：</w:t>
            </w:r>
          </w:p>
        </w:tc>
        <w:tc>
          <w:tcPr>
            <w:tcW w:w="180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22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72" w:hRule="exac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46" w:type="dxa"/>
            <w:vMerge w:val="continue"/>
            <w:shd w:val="clear" w:color="auto" w:fill="FFFFFF"/>
            <w:vAlign w:val="center"/>
          </w:tcPr>
          <w:p>
            <w:pPr>
              <w:adjustRightInd w:val="0"/>
              <w:snapToGrid w:val="0"/>
              <w:rPr>
                <w:rFonts w:ascii="仿宋_GB2312" w:hAnsi="仿宋" w:eastAsia="仿宋_GB2312"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可持续影响指标</w:t>
            </w:r>
          </w:p>
        </w:tc>
        <w:tc>
          <w:tcPr>
            <w:tcW w:w="112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指标</w:t>
            </w:r>
            <w:r>
              <w:rPr>
                <w:rFonts w:ascii="仿宋_GB2312" w:hAnsi="仿宋" w:eastAsia="仿宋_GB2312" w:cs="仿宋_GB2312"/>
                <w:spacing w:val="7"/>
              </w:rPr>
              <w:t>1</w:t>
            </w:r>
            <w:r>
              <w:rPr>
                <w:rFonts w:hint="eastAsia" w:ascii="仿宋_GB2312" w:hAnsi="仿宋" w:eastAsia="仿宋_GB2312" w:cs="仿宋_GB2312"/>
                <w:spacing w:val="7"/>
              </w:rPr>
              <w:t>：</w:t>
            </w:r>
          </w:p>
        </w:tc>
        <w:tc>
          <w:tcPr>
            <w:tcW w:w="180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22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28" w:hRule="exac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46"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满意度</w:t>
            </w:r>
          </w:p>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指标</w:t>
            </w:r>
          </w:p>
        </w:tc>
        <w:tc>
          <w:tcPr>
            <w:tcW w:w="993"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服务对象满意度指标</w:t>
            </w:r>
          </w:p>
        </w:tc>
        <w:tc>
          <w:tcPr>
            <w:tcW w:w="1125"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指标</w:t>
            </w:r>
            <w:r>
              <w:rPr>
                <w:rFonts w:ascii="仿宋_GB2312" w:hAnsi="仿宋" w:eastAsia="仿宋_GB2312" w:cs="仿宋_GB2312"/>
                <w:spacing w:val="7"/>
              </w:rPr>
              <w:t>1</w:t>
            </w:r>
            <w:r>
              <w:rPr>
                <w:rFonts w:hint="eastAsia" w:ascii="仿宋_GB2312" w:hAnsi="仿宋" w:eastAsia="仿宋_GB2312" w:cs="仿宋_GB2312"/>
                <w:spacing w:val="7"/>
              </w:rPr>
              <w:t>：</w:t>
            </w:r>
          </w:p>
        </w:tc>
        <w:tc>
          <w:tcPr>
            <w:tcW w:w="1806"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22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5" w:hRule="atLeast"/>
        </w:trPr>
        <w:tc>
          <w:tcPr>
            <w:tcW w:w="6352" w:type="dxa"/>
            <w:gridSpan w:val="8"/>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总分</w:t>
            </w:r>
          </w:p>
        </w:tc>
        <w:tc>
          <w:tcPr>
            <w:tcW w:w="795"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100</w:t>
            </w:r>
          </w:p>
        </w:tc>
        <w:tc>
          <w:tcPr>
            <w:tcW w:w="57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96</w:t>
            </w:r>
          </w:p>
        </w:tc>
        <w:tc>
          <w:tcPr>
            <w:tcW w:w="1823" w:type="dxa"/>
            <w:gridSpan w:val="2"/>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75" w:hRule="atLeast"/>
        </w:trPr>
        <w:tc>
          <w:tcPr>
            <w:tcW w:w="2089" w:type="dxa"/>
            <w:gridSpan w:val="3"/>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自评结论</w:t>
            </w:r>
          </w:p>
        </w:tc>
        <w:tc>
          <w:tcPr>
            <w:tcW w:w="4263" w:type="dxa"/>
            <w:gridSpan w:val="5"/>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color w:val="000000"/>
              </w:rPr>
              <w:t>优</w:t>
            </w:r>
            <w:r>
              <w:rPr>
                <w:rFonts w:hint="eastAsia" w:ascii="仿宋_GB2312" w:hAnsi="Wingdings 2" w:eastAsia="仿宋_GB2312" w:cs="Times New Roman"/>
                <w:color w:val="000000"/>
              </w:rPr>
              <w:sym w:font="Wingdings 2" w:char="F052"/>
            </w:r>
            <w:r>
              <w:rPr>
                <w:rFonts w:ascii="仿宋_GB2312" w:hAnsi="仿宋" w:eastAsia="仿宋_GB2312" w:cs="仿宋_GB2312"/>
                <w:color w:val="000000"/>
              </w:rPr>
              <w:t xml:space="preserve">      </w:t>
            </w:r>
            <w:r>
              <w:rPr>
                <w:rFonts w:hint="eastAsia" w:ascii="仿宋_GB2312" w:hAnsi="仿宋" w:eastAsia="仿宋_GB2312" w:cs="仿宋_GB2312"/>
                <w:color w:val="000000"/>
              </w:rPr>
              <w:t>良□</w:t>
            </w:r>
            <w:r>
              <w:rPr>
                <w:rFonts w:ascii="仿宋_GB2312" w:hAnsi="仿宋" w:eastAsia="仿宋_GB2312" w:cs="仿宋_GB2312"/>
                <w:color w:val="000000"/>
              </w:rPr>
              <w:t xml:space="preserve">      </w:t>
            </w:r>
            <w:r>
              <w:rPr>
                <w:rFonts w:hint="eastAsia" w:ascii="仿宋_GB2312" w:hAnsi="仿宋" w:eastAsia="仿宋_GB2312" w:cs="仿宋_GB2312"/>
                <w:color w:val="000000"/>
              </w:rPr>
              <w:t>中□</w:t>
            </w:r>
            <w:r>
              <w:rPr>
                <w:rFonts w:ascii="仿宋_GB2312" w:hAnsi="仿宋" w:eastAsia="仿宋_GB2312" w:cs="仿宋_GB2312"/>
                <w:color w:val="000000"/>
              </w:rPr>
              <w:t xml:space="preserve">    </w:t>
            </w:r>
            <w:r>
              <w:rPr>
                <w:rFonts w:hint="eastAsia" w:ascii="仿宋_GB2312" w:hAnsi="仿宋" w:eastAsia="仿宋_GB2312" w:cs="仿宋_GB2312"/>
                <w:color w:val="000000"/>
              </w:rPr>
              <w:t>差□</w:t>
            </w:r>
          </w:p>
        </w:tc>
        <w:tc>
          <w:tcPr>
            <w:tcW w:w="3195" w:type="dxa"/>
            <w:gridSpan w:val="5"/>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color w:val="000000"/>
              </w:rPr>
              <w:t>总分高于</w:t>
            </w:r>
            <w:r>
              <w:rPr>
                <w:rFonts w:ascii="仿宋_GB2312" w:hAnsi="仿宋" w:eastAsia="仿宋_GB2312" w:cs="仿宋_GB2312"/>
                <w:color w:val="000000"/>
              </w:rPr>
              <w:t>90</w:t>
            </w:r>
            <w:r>
              <w:rPr>
                <w:rFonts w:hint="eastAsia" w:ascii="仿宋_GB2312" w:hAnsi="仿宋" w:eastAsia="仿宋_GB2312" w:cs="仿宋_GB2312"/>
                <w:color w:val="000000"/>
              </w:rPr>
              <w:t>分（含）的结论为“优”，</w:t>
            </w:r>
            <w:r>
              <w:rPr>
                <w:rFonts w:ascii="仿宋_GB2312" w:hAnsi="仿宋" w:eastAsia="仿宋_GB2312" w:cs="仿宋_GB2312"/>
                <w:color w:val="000000"/>
              </w:rPr>
              <w:t>90</w:t>
            </w:r>
            <w:r>
              <w:rPr>
                <w:rFonts w:hint="eastAsia" w:ascii="仿宋_GB2312" w:hAnsi="仿宋" w:eastAsia="仿宋_GB2312" w:cs="仿宋_GB2312"/>
                <w:color w:val="000000"/>
              </w:rPr>
              <w:t>～</w:t>
            </w:r>
            <w:r>
              <w:rPr>
                <w:rFonts w:ascii="仿宋_GB2312" w:hAnsi="仿宋" w:eastAsia="仿宋_GB2312" w:cs="仿宋_GB2312"/>
                <w:color w:val="000000"/>
              </w:rPr>
              <w:t>80</w:t>
            </w:r>
            <w:r>
              <w:rPr>
                <w:rFonts w:hint="eastAsia" w:ascii="仿宋_GB2312" w:hAnsi="仿宋" w:eastAsia="仿宋_GB2312" w:cs="仿宋_GB2312"/>
                <w:color w:val="000000"/>
              </w:rPr>
              <w:t>分（含）为“良”，</w:t>
            </w:r>
            <w:r>
              <w:rPr>
                <w:rFonts w:ascii="仿宋_GB2312" w:hAnsi="仿宋" w:eastAsia="仿宋_GB2312" w:cs="仿宋_GB2312"/>
                <w:color w:val="000000"/>
              </w:rPr>
              <w:t>80</w:t>
            </w:r>
            <w:r>
              <w:rPr>
                <w:rFonts w:hint="eastAsia" w:ascii="仿宋_GB2312" w:hAnsi="仿宋" w:eastAsia="仿宋_GB2312" w:cs="仿宋_GB2312"/>
                <w:color w:val="000000"/>
              </w:rPr>
              <w:t>～</w:t>
            </w:r>
            <w:r>
              <w:rPr>
                <w:rFonts w:ascii="仿宋_GB2312" w:hAnsi="仿宋" w:eastAsia="仿宋_GB2312" w:cs="仿宋_GB2312"/>
                <w:color w:val="000000"/>
              </w:rPr>
              <w:t>60</w:t>
            </w:r>
            <w:r>
              <w:rPr>
                <w:rFonts w:hint="eastAsia" w:ascii="仿宋_GB2312" w:hAnsi="仿宋" w:eastAsia="仿宋_GB2312" w:cs="仿宋_GB2312"/>
                <w:color w:val="000000"/>
              </w:rPr>
              <w:t>分（含）为“中”，低于</w:t>
            </w:r>
            <w:r>
              <w:rPr>
                <w:rFonts w:ascii="仿宋_GB2312" w:hAnsi="仿宋" w:eastAsia="仿宋_GB2312" w:cs="仿宋_GB2312"/>
                <w:color w:val="000000"/>
              </w:rPr>
              <w:t>60</w:t>
            </w:r>
            <w:r>
              <w:rPr>
                <w:rFonts w:hint="eastAsia" w:ascii="仿宋_GB2312" w:hAnsi="仿宋" w:eastAsia="仿宋_GB2312" w:cs="仿宋_GB2312"/>
                <w:color w:val="000000"/>
              </w:rPr>
              <w:t>分为“差”。</w:t>
            </w:r>
          </w:p>
        </w:tc>
      </w:tr>
    </w:tbl>
    <w:p>
      <w:pPr>
        <w:spacing w:line="600" w:lineRule="atLeast"/>
        <w:jc w:val="both"/>
        <w:rPr>
          <w:rFonts w:cs="Times New Roman"/>
        </w:rPr>
      </w:pPr>
    </w:p>
    <w:p>
      <w:pPr>
        <w:spacing w:line="600" w:lineRule="exact"/>
        <w:ind w:firstLine="641"/>
        <w:jc w:val="both"/>
        <w:rPr>
          <w:rFonts w:ascii="仿宋_GB2312" w:hAnsi="仿宋" w:eastAsia="仿宋_GB2312" w:cs="Times New Roman"/>
          <w:sz w:val="32"/>
          <w:szCs w:val="32"/>
        </w:rPr>
      </w:pPr>
      <w:r>
        <w:rPr>
          <w:rFonts w:hint="eastAsia" w:ascii="仿宋_GB2312" w:hAnsi="仿宋" w:eastAsia="仿宋_GB2312" w:cs="仿宋_GB2312"/>
          <w:sz w:val="32"/>
          <w:szCs w:val="32"/>
        </w:rPr>
        <w:t>建筑质量安全监管费用项目绩效自评综述：根据年初设定的绩效目标，项目自评得分</w:t>
      </w:r>
      <w:r>
        <w:rPr>
          <w:rFonts w:ascii="仿宋_GB2312" w:hAnsi="仿宋" w:eastAsia="仿宋_GB2312" w:cs="仿宋_GB2312"/>
          <w:sz w:val="32"/>
          <w:szCs w:val="32"/>
        </w:rPr>
        <w:t>96</w:t>
      </w:r>
      <w:r>
        <w:rPr>
          <w:rFonts w:hint="eastAsia" w:ascii="仿宋_GB2312" w:hAnsi="仿宋" w:eastAsia="仿宋_GB2312" w:cs="仿宋_GB2312"/>
          <w:sz w:val="32"/>
          <w:szCs w:val="32"/>
        </w:rPr>
        <w:t>分，自评结论为“优”。项目全年预算数为</w:t>
      </w:r>
      <w:r>
        <w:rPr>
          <w:rFonts w:ascii="仿宋_GB2312" w:hAnsi="仿宋" w:eastAsia="仿宋_GB2312" w:cs="仿宋_GB2312"/>
          <w:sz w:val="32"/>
          <w:szCs w:val="32"/>
        </w:rPr>
        <w:t>38</w:t>
      </w:r>
      <w:r>
        <w:rPr>
          <w:rFonts w:hint="eastAsia" w:ascii="仿宋_GB2312" w:hAnsi="仿宋" w:eastAsia="仿宋_GB2312" w:cs="仿宋_GB2312"/>
          <w:sz w:val="32"/>
          <w:szCs w:val="32"/>
        </w:rPr>
        <w:t>万元，执行数为</w:t>
      </w:r>
      <w:r>
        <w:rPr>
          <w:rFonts w:ascii="仿宋_GB2312" w:hAnsi="仿宋" w:eastAsia="仿宋_GB2312" w:cs="仿宋_GB2312"/>
          <w:sz w:val="32"/>
          <w:szCs w:val="32"/>
        </w:rPr>
        <w:t>38</w:t>
      </w:r>
      <w:r>
        <w:rPr>
          <w:rFonts w:hint="eastAsia" w:ascii="仿宋_GB2312" w:hAnsi="仿宋" w:eastAsia="仿宋_GB2312" w:cs="仿宋_GB2312"/>
          <w:sz w:val="32"/>
          <w:szCs w:val="32"/>
        </w:rPr>
        <w:t>万元，完成预算的</w:t>
      </w:r>
      <w:r>
        <w:rPr>
          <w:rFonts w:ascii="仿宋_GB2312" w:hAnsi="仿宋" w:eastAsia="仿宋_GB2312" w:cs="仿宋_GB2312"/>
          <w:sz w:val="32"/>
          <w:szCs w:val="32"/>
        </w:rPr>
        <w:t>100%</w:t>
      </w:r>
      <w:r>
        <w:rPr>
          <w:rFonts w:hint="eastAsia" w:ascii="仿宋_GB2312" w:hAnsi="仿宋" w:eastAsia="仿宋_GB2312" w:cs="仿宋_GB2312"/>
          <w:sz w:val="32"/>
          <w:szCs w:val="32"/>
        </w:rPr>
        <w:t>。项目绩效目标完成情况：一是全年组织各类安全检查</w:t>
      </w:r>
      <w:r>
        <w:rPr>
          <w:rFonts w:ascii="仿宋_GB2312" w:hAnsi="仿宋" w:eastAsia="仿宋_GB2312" w:cs="仿宋_GB2312"/>
          <w:sz w:val="32"/>
          <w:szCs w:val="32"/>
        </w:rPr>
        <w:t>15</w:t>
      </w:r>
      <w:r>
        <w:rPr>
          <w:rFonts w:hint="eastAsia" w:ascii="仿宋_GB2312" w:hAnsi="仿宋" w:eastAsia="仿宋_GB2312" w:cs="仿宋_GB2312"/>
          <w:sz w:val="32"/>
          <w:szCs w:val="32"/>
        </w:rPr>
        <w:t>次；二是对关键岗位人员记不良行为记录及记分处理。发现的问题及原因：一是建设单位作为第一责任人责任落实不到位；二是监理单位人员履职到岗率低。下一步改进措施：要求各企业将责任分解到每一个项目部、作业班组和各岗位，形成横向到边，纵向到底的责任网格，全面提高企业安全管理的主体和责任意识。</w:t>
      </w:r>
    </w:p>
    <w:p>
      <w:pPr>
        <w:adjustRightInd w:val="0"/>
        <w:snapToGrid w:val="0"/>
        <w:jc w:val="center"/>
        <w:rPr>
          <w:rFonts w:ascii="楷体_GB2312" w:hAnsi="华文仿宋" w:eastAsia="楷体_GB2312" w:cs="Times New Roman"/>
          <w:spacing w:val="7"/>
          <w:sz w:val="32"/>
          <w:szCs w:val="32"/>
        </w:rPr>
      </w:pPr>
      <w:r>
        <w:rPr>
          <w:rFonts w:hint="eastAsia" w:ascii="方正小标宋简体" w:hAnsi="华文仿宋" w:eastAsia="方正小标宋简体" w:cs="方正小标宋简体"/>
          <w:spacing w:val="7"/>
          <w:sz w:val="44"/>
          <w:szCs w:val="44"/>
        </w:rPr>
        <w:t>温岭市项目支出绩效自评表</w:t>
      </w:r>
    </w:p>
    <w:p>
      <w:pPr>
        <w:adjustRightInd w:val="0"/>
        <w:snapToGrid w:val="0"/>
        <w:jc w:val="center"/>
        <w:rPr>
          <w:rFonts w:ascii="楷体_GB2312" w:hAnsi="华文仿宋" w:eastAsia="楷体_GB2312" w:cs="Times New Roman"/>
          <w:spacing w:val="7"/>
          <w:sz w:val="32"/>
          <w:szCs w:val="32"/>
        </w:rPr>
      </w:pPr>
      <w:r>
        <w:rPr>
          <w:rFonts w:hint="eastAsia" w:ascii="楷体_GB2312" w:hAnsi="华文仿宋" w:eastAsia="楷体_GB2312" w:cs="楷体_GB2312"/>
          <w:spacing w:val="7"/>
          <w:sz w:val="32"/>
          <w:szCs w:val="32"/>
        </w:rPr>
        <w:t>（</w:t>
      </w:r>
      <w:r>
        <w:rPr>
          <w:rFonts w:ascii="楷体_GB2312" w:hAnsi="华文仿宋" w:eastAsia="楷体_GB2312" w:cs="楷体_GB2312"/>
          <w:spacing w:val="7"/>
          <w:sz w:val="32"/>
          <w:szCs w:val="32"/>
        </w:rPr>
        <w:t>2020</w:t>
      </w:r>
      <w:r>
        <w:rPr>
          <w:rFonts w:hint="eastAsia" w:ascii="楷体_GB2312" w:hAnsi="华文仿宋" w:eastAsia="楷体_GB2312" w:cs="楷体_GB2312"/>
          <w:spacing w:val="7"/>
          <w:sz w:val="32"/>
          <w:szCs w:val="32"/>
        </w:rPr>
        <w:t>年度）</w:t>
      </w:r>
    </w:p>
    <w:tbl>
      <w:tblPr>
        <w:tblStyle w:val="5"/>
        <w:tblW w:w="9757" w:type="dxa"/>
        <w:tblInd w:w="-72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774"/>
        <w:gridCol w:w="885"/>
        <w:gridCol w:w="108"/>
        <w:gridCol w:w="1291"/>
        <w:gridCol w:w="345"/>
        <w:gridCol w:w="1087"/>
        <w:gridCol w:w="1778"/>
        <w:gridCol w:w="64"/>
        <w:gridCol w:w="709"/>
        <w:gridCol w:w="607"/>
        <w:gridCol w:w="300"/>
        <w:gridCol w:w="13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1" w:hRule="atLeast"/>
        </w:trPr>
        <w:tc>
          <w:tcPr>
            <w:tcW w:w="1232"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rPr>
            </w:pPr>
            <w:r>
              <w:rPr>
                <w:rFonts w:hint="eastAsia" w:ascii="仿宋_GB2312" w:hAnsi="仿宋" w:eastAsia="仿宋_GB2312" w:cs="仿宋_GB2312"/>
              </w:rPr>
              <w:t>项目</w:t>
            </w:r>
          </w:p>
          <w:p>
            <w:pPr>
              <w:adjustRightInd w:val="0"/>
              <w:snapToGrid w:val="0"/>
              <w:jc w:val="center"/>
              <w:rPr>
                <w:rFonts w:ascii="仿宋_GB2312" w:hAnsi="仿宋" w:eastAsia="仿宋_GB2312" w:cs="Times New Roman"/>
              </w:rPr>
            </w:pPr>
            <w:r>
              <w:rPr>
                <w:rFonts w:hint="eastAsia" w:ascii="仿宋_GB2312" w:hAnsi="仿宋" w:eastAsia="仿宋_GB2312" w:cs="仿宋_GB2312"/>
              </w:rPr>
              <w:t>名称</w:t>
            </w:r>
          </w:p>
        </w:tc>
        <w:tc>
          <w:tcPr>
            <w:tcW w:w="8525" w:type="dxa"/>
            <w:gridSpan w:val="11"/>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建筑质量安全监管费用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3" w:hRule="atLeast"/>
        </w:trPr>
        <w:tc>
          <w:tcPr>
            <w:tcW w:w="1232" w:type="dxa"/>
            <w:gridSpan w:val="2"/>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主管</w:t>
            </w:r>
          </w:p>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部门</w:t>
            </w:r>
          </w:p>
        </w:tc>
        <w:tc>
          <w:tcPr>
            <w:tcW w:w="3716" w:type="dxa"/>
            <w:gridSpan w:val="5"/>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温岭市住房和城乡建设局</w:t>
            </w:r>
          </w:p>
        </w:tc>
        <w:tc>
          <w:tcPr>
            <w:tcW w:w="1778"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实施单位</w:t>
            </w:r>
          </w:p>
        </w:tc>
        <w:tc>
          <w:tcPr>
            <w:tcW w:w="3031" w:type="dxa"/>
            <w:gridSpan w:val="5"/>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温岭市住房和城乡建设局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66" w:hRule="exact"/>
        </w:trPr>
        <w:tc>
          <w:tcPr>
            <w:tcW w:w="1232" w:type="dxa"/>
            <w:gridSpan w:val="2"/>
            <w:vMerge w:val="restart"/>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项目</w:t>
            </w:r>
          </w:p>
          <w:p>
            <w:pPr>
              <w:adjustRightInd w:val="0"/>
              <w:snapToGrid w:val="0"/>
              <w:jc w:val="center"/>
              <w:rPr>
                <w:rFonts w:ascii="仿宋_GB2312" w:hAnsi="仿宋" w:eastAsia="仿宋_GB2312" w:cs="仿宋_GB2312"/>
                <w:spacing w:val="7"/>
              </w:rPr>
            </w:pPr>
            <w:r>
              <w:rPr>
                <w:rFonts w:hint="eastAsia" w:ascii="仿宋_GB2312" w:hAnsi="仿宋" w:eastAsia="仿宋_GB2312" w:cs="仿宋_GB2312"/>
                <w:spacing w:val="7"/>
              </w:rPr>
              <w:t>资金</w:t>
            </w:r>
            <w:r>
              <w:rPr>
                <w:rFonts w:ascii="仿宋_GB2312" w:hAnsi="仿宋" w:eastAsia="仿宋_GB2312" w:cs="仿宋_GB2312"/>
                <w:spacing w:val="7"/>
              </w:rPr>
              <w:t>(</w:t>
            </w:r>
            <w:r>
              <w:rPr>
                <w:rFonts w:hint="eastAsia" w:ascii="仿宋_GB2312" w:hAnsi="仿宋" w:eastAsia="仿宋_GB2312" w:cs="仿宋_GB2312"/>
                <w:spacing w:val="7"/>
              </w:rPr>
              <w:t>万元</w:t>
            </w:r>
            <w:r>
              <w:rPr>
                <w:rFonts w:ascii="仿宋_GB2312" w:hAnsi="仿宋" w:eastAsia="仿宋_GB2312" w:cs="仿宋_GB2312"/>
                <w:spacing w:val="7"/>
              </w:rPr>
              <w:t>)</w:t>
            </w:r>
          </w:p>
        </w:tc>
        <w:tc>
          <w:tcPr>
            <w:tcW w:w="2629" w:type="dxa"/>
            <w:gridSpan w:val="4"/>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08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年初预算数</w:t>
            </w:r>
          </w:p>
        </w:tc>
        <w:tc>
          <w:tcPr>
            <w:tcW w:w="1778"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全年预算数</w:t>
            </w:r>
          </w:p>
        </w:tc>
        <w:tc>
          <w:tcPr>
            <w:tcW w:w="1680" w:type="dxa"/>
            <w:gridSpan w:val="4"/>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全年执行数</w:t>
            </w:r>
          </w:p>
        </w:tc>
        <w:tc>
          <w:tcPr>
            <w:tcW w:w="1351"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trPr>
        <w:tc>
          <w:tcPr>
            <w:tcW w:w="1232"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2629" w:type="dxa"/>
            <w:gridSpan w:val="4"/>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年度资金总额</w:t>
            </w:r>
          </w:p>
        </w:tc>
        <w:tc>
          <w:tcPr>
            <w:tcW w:w="108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38</w:t>
            </w:r>
          </w:p>
        </w:tc>
        <w:tc>
          <w:tcPr>
            <w:tcW w:w="1778"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38</w:t>
            </w:r>
          </w:p>
        </w:tc>
        <w:tc>
          <w:tcPr>
            <w:tcW w:w="1680" w:type="dxa"/>
            <w:gridSpan w:val="4"/>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38</w:t>
            </w:r>
          </w:p>
        </w:tc>
        <w:tc>
          <w:tcPr>
            <w:tcW w:w="1351"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trPr>
        <w:tc>
          <w:tcPr>
            <w:tcW w:w="1232"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2629" w:type="dxa"/>
            <w:gridSpan w:val="4"/>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其中：当年财政拨款</w:t>
            </w:r>
          </w:p>
        </w:tc>
        <w:tc>
          <w:tcPr>
            <w:tcW w:w="108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38</w:t>
            </w:r>
          </w:p>
        </w:tc>
        <w:tc>
          <w:tcPr>
            <w:tcW w:w="1778"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38</w:t>
            </w:r>
          </w:p>
        </w:tc>
        <w:tc>
          <w:tcPr>
            <w:tcW w:w="1680" w:type="dxa"/>
            <w:gridSpan w:val="4"/>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38</w:t>
            </w:r>
          </w:p>
        </w:tc>
        <w:tc>
          <w:tcPr>
            <w:tcW w:w="1351"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仿宋_GB2312"/>
                <w:spacing w:val="7"/>
              </w:rPr>
            </w:pPr>
            <w:r>
              <w:rPr>
                <w:rFonts w:ascii="仿宋_GB2312" w:hAnsi="仿宋" w:eastAsia="仿宋_GB2312" w:cs="仿宋_GB2312"/>
                <w:spacing w:val="7"/>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trPr>
        <w:tc>
          <w:tcPr>
            <w:tcW w:w="1232"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2629" w:type="dxa"/>
            <w:gridSpan w:val="4"/>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eastAsia="仿宋_GB2312" w:cs="Times New Roman"/>
                <w:spacing w:val="7"/>
              </w:rPr>
              <w:t>   </w:t>
            </w:r>
            <w:r>
              <w:rPr>
                <w:rFonts w:hint="eastAsia" w:ascii="仿宋_GB2312" w:hAnsi="仿宋" w:eastAsia="仿宋_GB2312" w:cs="仿宋_GB2312"/>
                <w:spacing w:val="7"/>
              </w:rPr>
              <w:t>上年结转资金</w:t>
            </w:r>
          </w:p>
        </w:tc>
        <w:tc>
          <w:tcPr>
            <w:tcW w:w="1087"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778"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680" w:type="dxa"/>
            <w:gridSpan w:val="4"/>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c>
          <w:tcPr>
            <w:tcW w:w="1351"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trPr>
        <w:tc>
          <w:tcPr>
            <w:tcW w:w="1232"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2629" w:type="dxa"/>
            <w:gridSpan w:val="4"/>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其他资金</w:t>
            </w:r>
          </w:p>
        </w:tc>
        <w:tc>
          <w:tcPr>
            <w:tcW w:w="1087"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778" w:type="dxa"/>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680" w:type="dxa"/>
            <w:gridSpan w:val="4"/>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p>
        </w:tc>
        <w:tc>
          <w:tcPr>
            <w:tcW w:w="1351"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exact"/>
        </w:trPr>
        <w:tc>
          <w:tcPr>
            <w:tcW w:w="1232" w:type="dxa"/>
            <w:gridSpan w:val="2"/>
            <w:vMerge w:val="restart"/>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年度总体目标</w:t>
            </w:r>
          </w:p>
        </w:tc>
        <w:tc>
          <w:tcPr>
            <w:tcW w:w="3716" w:type="dxa"/>
            <w:gridSpan w:val="5"/>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预期目标</w:t>
            </w:r>
          </w:p>
        </w:tc>
        <w:tc>
          <w:tcPr>
            <w:tcW w:w="4809" w:type="dxa"/>
            <w:gridSpan w:val="6"/>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63" w:hRule="atLeast"/>
        </w:trPr>
        <w:tc>
          <w:tcPr>
            <w:tcW w:w="1232" w:type="dxa"/>
            <w:gridSpan w:val="2"/>
            <w:vMerge w:val="continue"/>
            <w:shd w:val="clear" w:color="auto" w:fill="FFFFFF"/>
            <w:vAlign w:val="center"/>
          </w:tcPr>
          <w:p>
            <w:pPr>
              <w:adjustRightInd w:val="0"/>
              <w:snapToGrid w:val="0"/>
              <w:rPr>
                <w:rFonts w:ascii="仿宋_GB2312" w:hAnsi="仿宋" w:eastAsia="仿宋_GB2312" w:cs="Times New Roman"/>
                <w:spacing w:val="7"/>
              </w:rPr>
            </w:pPr>
          </w:p>
        </w:tc>
        <w:tc>
          <w:tcPr>
            <w:tcW w:w="3716" w:type="dxa"/>
            <w:gridSpan w:val="5"/>
            <w:shd w:val="clear" w:color="auto" w:fill="FFFFFF"/>
            <w:tcMar>
              <w:top w:w="0" w:type="dxa"/>
              <w:left w:w="105" w:type="dxa"/>
              <w:bottom w:w="0" w:type="dxa"/>
              <w:right w:w="105" w:type="dxa"/>
            </w:tcMar>
            <w:vAlign w:val="center"/>
          </w:tcPr>
          <w:p>
            <w:pPr>
              <w:spacing w:line="320" w:lineRule="exact"/>
              <w:ind w:firstLine="508" w:firstLineChars="200"/>
              <w:rPr>
                <w:rFonts w:ascii="仿宋_GB2312" w:hAnsi="仿宋" w:eastAsia="仿宋_GB2312" w:cs="Times New Roman"/>
                <w:spacing w:val="7"/>
              </w:rPr>
            </w:pPr>
            <w:r>
              <w:rPr>
                <w:rFonts w:hint="eastAsia" w:ascii="仿宋_GB2312" w:hAnsi="仿宋" w:eastAsia="仿宋_GB2312" w:cs="仿宋_GB2312"/>
                <w:spacing w:val="7"/>
              </w:rPr>
              <w:t>全市建筑工程质量合格率</w:t>
            </w:r>
            <w:r>
              <w:rPr>
                <w:rFonts w:ascii="仿宋_GB2312" w:hAnsi="仿宋" w:eastAsia="仿宋_GB2312" w:cs="仿宋_GB2312"/>
                <w:spacing w:val="7"/>
              </w:rPr>
              <w:t>100%</w:t>
            </w:r>
            <w:r>
              <w:rPr>
                <w:rFonts w:hint="eastAsia" w:ascii="仿宋_GB2312" w:hAnsi="仿宋" w:eastAsia="仿宋_GB2312" w:cs="仿宋_GB2312"/>
                <w:spacing w:val="7"/>
              </w:rPr>
              <w:t>，不出现重大质量问题，安全生产亡人指标控制在考核范围内，杜绝群死群伤事故。每季度开展一次质量安全检查，平时组织巡查，配合上级主管部门开展专项整治。</w:t>
            </w:r>
          </w:p>
          <w:p>
            <w:pPr>
              <w:adjustRightInd w:val="0"/>
              <w:snapToGrid w:val="0"/>
              <w:spacing w:line="320" w:lineRule="exact"/>
              <w:rPr>
                <w:rFonts w:ascii="仿宋_GB2312" w:hAnsi="仿宋" w:eastAsia="仿宋_GB2312" w:cs="Times New Roman"/>
                <w:spacing w:val="7"/>
              </w:rPr>
            </w:pPr>
          </w:p>
        </w:tc>
        <w:tc>
          <w:tcPr>
            <w:tcW w:w="4809" w:type="dxa"/>
            <w:gridSpan w:val="6"/>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spacing w:val="7"/>
              </w:rPr>
              <w:t>全年共组织了不同规模的各类安全检查</w:t>
            </w:r>
            <w:r>
              <w:rPr>
                <w:rFonts w:ascii="仿宋_GB2312" w:hAnsi="仿宋" w:eastAsia="仿宋_GB2312" w:cs="仿宋_GB2312"/>
                <w:spacing w:val="7"/>
              </w:rPr>
              <w:t>15</w:t>
            </w:r>
            <w:r>
              <w:rPr>
                <w:rFonts w:hint="eastAsia" w:ascii="仿宋_GB2312" w:hAnsi="仿宋" w:eastAsia="仿宋_GB2312" w:cs="仿宋_GB2312"/>
                <w:spacing w:val="7"/>
              </w:rPr>
              <w:t>次，共发出停工通知书</w:t>
            </w:r>
            <w:r>
              <w:rPr>
                <w:rFonts w:ascii="仿宋_GB2312" w:hAnsi="仿宋" w:eastAsia="仿宋_GB2312" w:cs="仿宋_GB2312"/>
                <w:spacing w:val="7"/>
              </w:rPr>
              <w:t>27</w:t>
            </w:r>
            <w:r>
              <w:rPr>
                <w:rFonts w:hint="eastAsia" w:ascii="仿宋_GB2312" w:hAnsi="仿宋" w:eastAsia="仿宋_GB2312" w:cs="仿宋_GB2312"/>
                <w:spacing w:val="7"/>
              </w:rPr>
              <w:t>份，限期整改通知书</w:t>
            </w:r>
            <w:r>
              <w:rPr>
                <w:rFonts w:ascii="仿宋_GB2312" w:hAnsi="仿宋" w:eastAsia="仿宋_GB2312" w:cs="仿宋_GB2312"/>
                <w:spacing w:val="7"/>
              </w:rPr>
              <w:t>489</w:t>
            </w:r>
            <w:r>
              <w:rPr>
                <w:rFonts w:hint="eastAsia" w:ascii="仿宋_GB2312" w:hAnsi="仿宋" w:eastAsia="仿宋_GB2312" w:cs="仿宋_GB2312"/>
                <w:spacing w:val="7"/>
              </w:rPr>
              <w:t>份，提出整改意见</w:t>
            </w:r>
            <w:r>
              <w:rPr>
                <w:rFonts w:ascii="仿宋_GB2312" w:hAnsi="仿宋" w:eastAsia="仿宋_GB2312" w:cs="仿宋_GB2312"/>
                <w:spacing w:val="7"/>
              </w:rPr>
              <w:t>2902</w:t>
            </w:r>
            <w:r>
              <w:rPr>
                <w:rFonts w:hint="eastAsia" w:ascii="仿宋_GB2312" w:hAnsi="仿宋" w:eastAsia="仿宋_GB2312" w:cs="仿宋_GB2312"/>
                <w:spacing w:val="7"/>
              </w:rPr>
              <w:t>条，建筑起重机械设备限制使用通知书</w:t>
            </w:r>
            <w:r>
              <w:rPr>
                <w:rFonts w:ascii="仿宋_GB2312" w:hAnsi="仿宋" w:eastAsia="仿宋_GB2312" w:cs="仿宋_GB2312"/>
                <w:spacing w:val="7"/>
              </w:rPr>
              <w:t>8</w:t>
            </w:r>
            <w:r>
              <w:rPr>
                <w:rFonts w:hint="eastAsia" w:ascii="仿宋_GB2312" w:hAnsi="仿宋" w:eastAsia="仿宋_GB2312" w:cs="仿宋_GB2312"/>
                <w:spacing w:val="7"/>
              </w:rPr>
              <w:t>份，对</w:t>
            </w:r>
            <w:r>
              <w:rPr>
                <w:rFonts w:ascii="仿宋_GB2312" w:hAnsi="仿宋" w:eastAsia="仿宋_GB2312" w:cs="仿宋_GB2312"/>
                <w:spacing w:val="7"/>
              </w:rPr>
              <w:t>13</w:t>
            </w:r>
            <w:r>
              <w:rPr>
                <w:rFonts w:hint="eastAsia" w:ascii="仿宋_GB2312" w:hAnsi="仿宋" w:eastAsia="仿宋_GB2312" w:cs="仿宋_GB2312"/>
                <w:spacing w:val="7"/>
              </w:rPr>
              <w:t>家监理企业暂停在我市新承接业务</w:t>
            </w:r>
            <w:r>
              <w:rPr>
                <w:rFonts w:ascii="仿宋_GB2312" w:hAnsi="仿宋" w:eastAsia="仿宋_GB2312" w:cs="仿宋_GB2312"/>
                <w:spacing w:val="7"/>
              </w:rPr>
              <w:t>6</w:t>
            </w:r>
            <w:r>
              <w:rPr>
                <w:rFonts w:hint="eastAsia" w:ascii="仿宋_GB2312" w:hAnsi="仿宋" w:eastAsia="仿宋_GB2312" w:cs="仿宋_GB2312"/>
                <w:spacing w:val="7"/>
              </w:rPr>
              <w:t>个月，对</w:t>
            </w:r>
            <w:r>
              <w:rPr>
                <w:rFonts w:ascii="仿宋_GB2312" w:hAnsi="仿宋" w:eastAsia="仿宋_GB2312" w:cs="仿宋_GB2312"/>
                <w:spacing w:val="7"/>
              </w:rPr>
              <w:t>17</w:t>
            </w:r>
            <w:r>
              <w:rPr>
                <w:rFonts w:hint="eastAsia" w:ascii="仿宋_GB2312" w:hAnsi="仿宋" w:eastAsia="仿宋_GB2312" w:cs="仿宋_GB2312"/>
                <w:spacing w:val="7"/>
              </w:rPr>
              <w:t>名项目负责人和</w:t>
            </w:r>
            <w:r>
              <w:rPr>
                <w:rFonts w:ascii="仿宋_GB2312" w:hAnsi="仿宋" w:eastAsia="仿宋_GB2312" w:cs="仿宋_GB2312"/>
                <w:spacing w:val="7"/>
              </w:rPr>
              <w:t>25</w:t>
            </w:r>
            <w:r>
              <w:rPr>
                <w:rFonts w:hint="eastAsia" w:ascii="仿宋_GB2312" w:hAnsi="仿宋" w:eastAsia="仿宋_GB2312" w:cs="仿宋_GB2312"/>
                <w:spacing w:val="7"/>
              </w:rPr>
              <w:t>名项目总监暂停在温岭市新承担相应岗位</w:t>
            </w:r>
            <w:r>
              <w:rPr>
                <w:rFonts w:ascii="仿宋_GB2312" w:hAnsi="仿宋" w:eastAsia="仿宋_GB2312" w:cs="仿宋_GB2312"/>
                <w:spacing w:val="7"/>
              </w:rPr>
              <w:t>6</w:t>
            </w:r>
            <w:r>
              <w:rPr>
                <w:rFonts w:hint="eastAsia" w:ascii="仿宋_GB2312" w:hAnsi="仿宋" w:eastAsia="仿宋_GB2312" w:cs="仿宋_GB2312"/>
                <w:spacing w:val="7"/>
              </w:rPr>
              <w:t>个月至</w:t>
            </w:r>
            <w:r>
              <w:rPr>
                <w:rFonts w:ascii="仿宋_GB2312" w:hAnsi="仿宋" w:eastAsia="仿宋_GB2312" w:cs="仿宋_GB2312"/>
                <w:spacing w:val="7"/>
              </w:rPr>
              <w:t>2</w:t>
            </w:r>
            <w:r>
              <w:rPr>
                <w:rFonts w:hint="eastAsia" w:ascii="仿宋_GB2312" w:hAnsi="仿宋" w:eastAsia="仿宋_GB2312" w:cs="仿宋_GB2312"/>
                <w:spacing w:val="7"/>
              </w:rPr>
              <w:t>年，列入不良行为记录公示</w:t>
            </w:r>
            <w:r>
              <w:rPr>
                <w:rFonts w:ascii="仿宋_GB2312" w:hAnsi="仿宋" w:eastAsia="仿宋_GB2312" w:cs="仿宋_GB2312"/>
                <w:spacing w:val="7"/>
              </w:rPr>
              <w:t>6</w:t>
            </w:r>
            <w:r>
              <w:rPr>
                <w:rFonts w:hint="eastAsia" w:ascii="仿宋_GB2312" w:hAnsi="仿宋" w:eastAsia="仿宋_GB2312" w:cs="仿宋_GB2312"/>
                <w:spacing w:val="7"/>
              </w:rPr>
              <w:t>个月至</w:t>
            </w:r>
            <w:r>
              <w:rPr>
                <w:rFonts w:ascii="仿宋_GB2312" w:hAnsi="仿宋" w:eastAsia="仿宋_GB2312" w:cs="仿宋_GB2312"/>
                <w:spacing w:val="7"/>
              </w:rPr>
              <w:t>2</w:t>
            </w:r>
            <w:r>
              <w:rPr>
                <w:rFonts w:hint="eastAsia" w:ascii="仿宋_GB2312" w:hAnsi="仿宋" w:eastAsia="仿宋_GB2312" w:cs="仿宋_GB2312"/>
                <w:spacing w:val="7"/>
              </w:rPr>
              <w:t>年；还对</w:t>
            </w:r>
            <w:r>
              <w:rPr>
                <w:rFonts w:ascii="仿宋_GB2312" w:hAnsi="仿宋" w:eastAsia="仿宋_GB2312" w:cs="仿宋_GB2312"/>
                <w:spacing w:val="7"/>
              </w:rPr>
              <w:t>63</w:t>
            </w:r>
            <w:r>
              <w:rPr>
                <w:rFonts w:hint="eastAsia" w:ascii="仿宋_GB2312" w:hAnsi="仿宋" w:eastAsia="仿宋_GB2312" w:cs="仿宋_GB2312"/>
                <w:spacing w:val="7"/>
              </w:rPr>
              <w:t>名关键岗位人员记不良行为记录，对</w:t>
            </w:r>
            <w:r>
              <w:rPr>
                <w:rFonts w:ascii="仿宋_GB2312" w:hAnsi="仿宋" w:eastAsia="仿宋_GB2312" w:cs="仿宋_GB2312"/>
                <w:spacing w:val="7"/>
              </w:rPr>
              <w:t>1369</w:t>
            </w:r>
            <w:r>
              <w:rPr>
                <w:rFonts w:hint="eastAsia" w:ascii="仿宋_GB2312" w:hAnsi="仿宋" w:eastAsia="仿宋_GB2312" w:cs="仿宋_GB2312"/>
                <w:spacing w:val="7"/>
              </w:rPr>
              <w:t>名项目关键岗位人员记分处理，共计分</w:t>
            </w:r>
            <w:r>
              <w:rPr>
                <w:rFonts w:ascii="仿宋_GB2312" w:hAnsi="仿宋" w:eastAsia="仿宋_GB2312" w:cs="仿宋_GB2312"/>
                <w:spacing w:val="7"/>
              </w:rPr>
              <w:t>2788</w:t>
            </w:r>
            <w:r>
              <w:rPr>
                <w:rFonts w:hint="eastAsia" w:ascii="仿宋_GB2312" w:hAnsi="仿宋" w:eastAsia="仿宋_GB2312" w:cs="仿宋_GB2312"/>
                <w:spacing w:val="7"/>
              </w:rPr>
              <w:t>分，完成预期目标。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0" w:hRule="atLeast"/>
        </w:trPr>
        <w:tc>
          <w:tcPr>
            <w:tcW w:w="458" w:type="dxa"/>
            <w:vMerge w:val="restart"/>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绩效指标</w:t>
            </w:r>
          </w:p>
        </w:tc>
        <w:tc>
          <w:tcPr>
            <w:tcW w:w="774" w:type="dxa"/>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一级指标</w:t>
            </w:r>
          </w:p>
        </w:tc>
        <w:tc>
          <w:tcPr>
            <w:tcW w:w="993"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二级</w:t>
            </w:r>
          </w:p>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291" w:type="dxa"/>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三级</w:t>
            </w:r>
          </w:p>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432"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年度</w:t>
            </w:r>
          </w:p>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指标值</w:t>
            </w:r>
          </w:p>
        </w:tc>
        <w:tc>
          <w:tcPr>
            <w:tcW w:w="1842"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实际</w:t>
            </w:r>
          </w:p>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完成值</w:t>
            </w: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权重</w:t>
            </w: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得分</w:t>
            </w:r>
          </w:p>
        </w:tc>
        <w:tc>
          <w:tcPr>
            <w:tcW w:w="1651" w:type="dxa"/>
            <w:gridSpan w:val="2"/>
            <w:shd w:val="clear" w:color="auto" w:fill="FFFFFF"/>
            <w:tcMar>
              <w:top w:w="0" w:type="dxa"/>
              <w:left w:w="105" w:type="dxa"/>
              <w:bottom w:w="0" w:type="dxa"/>
              <w:right w:w="105" w:type="dxa"/>
            </w:tcMar>
            <w:vAlign w:val="center"/>
          </w:tcPr>
          <w:p>
            <w:pPr>
              <w:adjustRightInd w:val="0"/>
              <w:snapToGrid w:val="0"/>
              <w:spacing w:line="320" w:lineRule="exact"/>
              <w:ind w:right="-62" w:rightChars="-26"/>
              <w:jc w:val="center"/>
              <w:rPr>
                <w:rFonts w:ascii="仿宋_GB2312" w:hAnsi="仿宋" w:eastAsia="仿宋_GB2312" w:cs="Times New Roman"/>
                <w:spacing w:val="7"/>
              </w:rPr>
            </w:pPr>
            <w:r>
              <w:rPr>
                <w:rFonts w:hint="eastAsia" w:ascii="仿宋_GB2312" w:hAnsi="仿宋" w:eastAsia="仿宋_GB2312" w:cs="仿宋_GB2312"/>
                <w:spacing w:val="7"/>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43" w:hRule="atLeas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74" w:type="dxa"/>
            <w:vMerge w:val="restart"/>
            <w:shd w:val="clear" w:color="auto" w:fill="FFFFFF"/>
            <w:tcMar>
              <w:top w:w="0" w:type="dxa"/>
              <w:left w:w="105" w:type="dxa"/>
              <w:bottom w:w="0" w:type="dxa"/>
              <w:right w:w="105" w:type="dxa"/>
            </w:tcMar>
            <w:vAlign w:val="center"/>
          </w:tcPr>
          <w:p>
            <w:pPr>
              <w:adjustRightInd w:val="0"/>
              <w:snapToGrid w:val="0"/>
              <w:rPr>
                <w:rFonts w:ascii="仿宋_GB2312" w:hAnsi="仿宋" w:eastAsia="仿宋_GB2312" w:cs="Times New Roman"/>
                <w:spacing w:val="7"/>
              </w:rPr>
            </w:pPr>
            <w:r>
              <w:rPr>
                <w:rFonts w:hint="eastAsia" w:ascii="仿宋_GB2312" w:hAnsi="仿宋" w:eastAsia="仿宋_GB2312" w:cs="仿宋_GB2312"/>
                <w:spacing w:val="7"/>
              </w:rPr>
              <w:t>产出指标</w:t>
            </w:r>
          </w:p>
        </w:tc>
        <w:tc>
          <w:tcPr>
            <w:tcW w:w="993"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数量</w:t>
            </w:r>
          </w:p>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291"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rPr>
              <w:t>开展各类检查</w:t>
            </w:r>
          </w:p>
        </w:tc>
        <w:tc>
          <w:tcPr>
            <w:tcW w:w="143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ascii="仿宋_GB2312" w:hAnsi="仿宋" w:eastAsia="仿宋_GB2312" w:cs="仿宋_GB2312"/>
                <w:spacing w:val="7"/>
              </w:rPr>
              <w:t>13</w:t>
            </w:r>
            <w:r>
              <w:rPr>
                <w:rFonts w:hint="eastAsia" w:ascii="仿宋_GB2312" w:hAnsi="仿宋" w:eastAsia="仿宋_GB2312" w:cs="仿宋_GB2312"/>
                <w:spacing w:val="7"/>
              </w:rPr>
              <w:t>次</w:t>
            </w:r>
          </w:p>
        </w:tc>
        <w:tc>
          <w:tcPr>
            <w:tcW w:w="1842" w:type="dxa"/>
            <w:gridSpan w:val="2"/>
            <w:shd w:val="clear" w:color="auto" w:fill="FFFFFF"/>
            <w:tcMar>
              <w:top w:w="0" w:type="dxa"/>
              <w:left w:w="105" w:type="dxa"/>
              <w:bottom w:w="0" w:type="dxa"/>
              <w:right w:w="105" w:type="dxa"/>
            </w:tcMar>
            <w:vAlign w:val="center"/>
          </w:tcPr>
          <w:p>
            <w:pPr>
              <w:adjustRightInd w:val="0"/>
              <w:snapToGrid w:val="0"/>
              <w:spacing w:line="300" w:lineRule="exact"/>
              <w:rPr>
                <w:rFonts w:ascii="仿宋_GB2312" w:hAnsi="仿宋" w:eastAsia="仿宋_GB2312" w:cs="Times New Roman"/>
                <w:spacing w:val="7"/>
              </w:rPr>
            </w:pPr>
            <w:r>
              <w:rPr>
                <w:rFonts w:hint="eastAsia" w:ascii="仿宋_GB2312" w:hAnsi="仿宋" w:eastAsia="仿宋_GB2312" w:cs="仿宋_GB2312"/>
                <w:spacing w:val="7"/>
              </w:rPr>
              <w:t>全年共组织了不同规模的各类安全检查</w:t>
            </w:r>
            <w:r>
              <w:rPr>
                <w:rFonts w:ascii="仿宋_GB2312" w:hAnsi="仿宋" w:eastAsia="仿宋_GB2312" w:cs="仿宋_GB2312"/>
                <w:spacing w:val="7"/>
              </w:rPr>
              <w:t>15</w:t>
            </w:r>
            <w:r>
              <w:rPr>
                <w:rFonts w:hint="eastAsia" w:ascii="仿宋_GB2312" w:hAnsi="仿宋" w:eastAsia="仿宋_GB2312" w:cs="仿宋_GB2312"/>
                <w:spacing w:val="7"/>
              </w:rPr>
              <w:t>次，共发出停工通知书</w:t>
            </w:r>
            <w:r>
              <w:rPr>
                <w:rFonts w:ascii="仿宋_GB2312" w:hAnsi="仿宋" w:eastAsia="仿宋_GB2312" w:cs="仿宋_GB2312"/>
                <w:spacing w:val="7"/>
              </w:rPr>
              <w:t>27</w:t>
            </w:r>
            <w:r>
              <w:rPr>
                <w:rFonts w:hint="eastAsia" w:ascii="仿宋_GB2312" w:hAnsi="仿宋" w:eastAsia="仿宋_GB2312" w:cs="仿宋_GB2312"/>
                <w:spacing w:val="7"/>
              </w:rPr>
              <w:t>份，限期整改通知书</w:t>
            </w:r>
            <w:r>
              <w:rPr>
                <w:rFonts w:ascii="仿宋_GB2312" w:hAnsi="仿宋" w:eastAsia="仿宋_GB2312" w:cs="仿宋_GB2312"/>
                <w:spacing w:val="7"/>
              </w:rPr>
              <w:t>489</w:t>
            </w:r>
            <w:r>
              <w:rPr>
                <w:rFonts w:hint="eastAsia" w:ascii="仿宋_GB2312" w:hAnsi="仿宋" w:eastAsia="仿宋_GB2312" w:cs="仿宋_GB2312"/>
                <w:spacing w:val="7"/>
              </w:rPr>
              <w:t>份，提出整改意见</w:t>
            </w:r>
            <w:r>
              <w:rPr>
                <w:rFonts w:ascii="仿宋_GB2312" w:hAnsi="仿宋" w:eastAsia="仿宋_GB2312" w:cs="仿宋_GB2312"/>
                <w:spacing w:val="7"/>
              </w:rPr>
              <w:t>2902</w:t>
            </w:r>
            <w:r>
              <w:rPr>
                <w:rFonts w:hint="eastAsia" w:ascii="仿宋_GB2312" w:hAnsi="仿宋" w:eastAsia="仿宋_GB2312" w:cs="仿宋_GB2312"/>
                <w:spacing w:val="7"/>
              </w:rPr>
              <w:t>条。</w:t>
            </w: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r>
              <w:rPr>
                <w:rFonts w:ascii="仿宋_GB2312" w:hAnsi="仿宋" w:eastAsia="仿宋_GB2312" w:cs="仿宋_GB2312"/>
                <w:spacing w:val="7"/>
              </w:rPr>
              <w:t>30</w:t>
            </w: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r>
              <w:rPr>
                <w:rFonts w:ascii="仿宋_GB2312" w:hAnsi="仿宋" w:eastAsia="仿宋_GB2312" w:cs="仿宋_GB2312"/>
                <w:spacing w:val="7"/>
              </w:rPr>
              <w:t>30</w:t>
            </w:r>
          </w:p>
        </w:tc>
        <w:tc>
          <w:tcPr>
            <w:tcW w:w="1651"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39" w:hRule="atLeas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74" w:type="dxa"/>
            <w:vMerge w:val="continue"/>
            <w:shd w:val="clear" w:color="auto" w:fill="FFFFFF"/>
            <w:vAlign w:val="center"/>
          </w:tcPr>
          <w:p>
            <w:pPr>
              <w:adjustRightInd w:val="0"/>
              <w:snapToGrid w:val="0"/>
              <w:rPr>
                <w:rFonts w:ascii="仿宋_GB2312" w:hAnsi="仿宋" w:eastAsia="仿宋_GB2312"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质量</w:t>
            </w:r>
          </w:p>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291"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spacing w:val="7"/>
              </w:rPr>
              <w:t>省、市级优质工程创建</w:t>
            </w:r>
          </w:p>
        </w:tc>
        <w:tc>
          <w:tcPr>
            <w:tcW w:w="143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spacing w:val="7"/>
              </w:rPr>
              <w:t>实现括苍杯夺杯</w:t>
            </w:r>
            <w:r>
              <w:rPr>
                <w:rFonts w:ascii="仿宋_GB2312" w:hAnsi="仿宋" w:eastAsia="仿宋_GB2312" w:cs="仿宋_GB2312"/>
                <w:spacing w:val="7"/>
              </w:rPr>
              <w:t>11</w:t>
            </w:r>
            <w:r>
              <w:rPr>
                <w:rFonts w:hint="eastAsia" w:ascii="仿宋_GB2312" w:hAnsi="仿宋" w:eastAsia="仿宋_GB2312" w:cs="仿宋_GB2312"/>
                <w:spacing w:val="7"/>
              </w:rPr>
              <w:t>项，钱江杯工程保二争三。</w:t>
            </w:r>
          </w:p>
        </w:tc>
        <w:tc>
          <w:tcPr>
            <w:tcW w:w="1842" w:type="dxa"/>
            <w:gridSpan w:val="2"/>
            <w:shd w:val="clear" w:color="auto" w:fill="FFFFFF"/>
            <w:tcMar>
              <w:top w:w="0" w:type="dxa"/>
              <w:left w:w="105" w:type="dxa"/>
              <w:bottom w:w="0" w:type="dxa"/>
              <w:right w:w="105" w:type="dxa"/>
            </w:tcMar>
            <w:vAlign w:val="center"/>
          </w:tcPr>
          <w:p>
            <w:pPr>
              <w:adjustRightInd w:val="0"/>
              <w:snapToGrid w:val="0"/>
              <w:spacing w:line="300" w:lineRule="exact"/>
              <w:rPr>
                <w:rFonts w:ascii="仿宋_GB2312" w:hAnsi="仿宋" w:eastAsia="仿宋_GB2312" w:cs="Times New Roman"/>
                <w:spacing w:val="7"/>
              </w:rPr>
            </w:pPr>
            <w:r>
              <w:rPr>
                <w:rFonts w:hint="eastAsia" w:ascii="仿宋_GB2312" w:hAnsi="仿宋" w:eastAsia="仿宋_GB2312" w:cs="仿宋_GB2312"/>
                <w:spacing w:val="7"/>
              </w:rPr>
              <w:t>我市有</w:t>
            </w:r>
            <w:r>
              <w:rPr>
                <w:rFonts w:ascii="仿宋_GB2312" w:hAnsi="仿宋" w:eastAsia="仿宋_GB2312" w:cs="仿宋_GB2312"/>
                <w:spacing w:val="7"/>
              </w:rPr>
              <w:t>18</w:t>
            </w:r>
            <w:r>
              <w:rPr>
                <w:rFonts w:hint="eastAsia" w:ascii="仿宋_GB2312" w:hAnsi="仿宋" w:eastAsia="仿宋_GB2312" w:cs="仿宋_GB2312"/>
                <w:spacing w:val="7"/>
              </w:rPr>
              <w:t>个项目（其中房建</w:t>
            </w:r>
            <w:r>
              <w:rPr>
                <w:rFonts w:ascii="仿宋_GB2312" w:hAnsi="仿宋" w:eastAsia="仿宋_GB2312" w:cs="仿宋_GB2312"/>
                <w:spacing w:val="7"/>
              </w:rPr>
              <w:t>14</w:t>
            </w:r>
            <w:r>
              <w:rPr>
                <w:rFonts w:hint="eastAsia" w:ascii="仿宋_GB2312" w:hAnsi="仿宋" w:eastAsia="仿宋_GB2312" w:cs="仿宋_GB2312"/>
                <w:spacing w:val="7"/>
              </w:rPr>
              <w:t>个、市政</w:t>
            </w:r>
            <w:r>
              <w:rPr>
                <w:rFonts w:ascii="仿宋_GB2312" w:hAnsi="仿宋" w:eastAsia="仿宋_GB2312" w:cs="仿宋_GB2312"/>
                <w:spacing w:val="7"/>
              </w:rPr>
              <w:t>4</w:t>
            </w:r>
            <w:r>
              <w:rPr>
                <w:rFonts w:hint="eastAsia" w:ascii="仿宋_GB2312" w:hAnsi="仿宋" w:eastAsia="仿宋_GB2312" w:cs="仿宋_GB2312"/>
                <w:spacing w:val="7"/>
              </w:rPr>
              <w:t>个）被评为括苍杯奖，</w:t>
            </w:r>
            <w:r>
              <w:rPr>
                <w:rFonts w:ascii="仿宋_GB2312" w:hAnsi="仿宋" w:eastAsia="仿宋_GB2312" w:cs="仿宋_GB2312"/>
                <w:spacing w:val="7"/>
              </w:rPr>
              <w:t>5</w:t>
            </w:r>
            <w:r>
              <w:rPr>
                <w:rFonts w:hint="eastAsia" w:ascii="仿宋_GB2312" w:hAnsi="仿宋" w:eastAsia="仿宋_GB2312" w:cs="仿宋_GB2312"/>
                <w:spacing w:val="7"/>
              </w:rPr>
              <w:t>个房建项目被评为钱江杯奖</w:t>
            </w: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r>
              <w:rPr>
                <w:rFonts w:ascii="仿宋_GB2312" w:hAnsi="仿宋" w:eastAsia="仿宋_GB2312" w:cs="仿宋_GB2312"/>
                <w:spacing w:val="7"/>
              </w:rPr>
              <w:t>30</w:t>
            </w: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r>
              <w:rPr>
                <w:rFonts w:ascii="仿宋_GB2312" w:hAnsi="仿宋" w:eastAsia="仿宋_GB2312" w:cs="仿宋_GB2312"/>
                <w:spacing w:val="7"/>
              </w:rPr>
              <w:t>30</w:t>
            </w:r>
          </w:p>
        </w:tc>
        <w:tc>
          <w:tcPr>
            <w:tcW w:w="1651"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7" w:hRule="exac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74" w:type="dxa"/>
            <w:vMerge w:val="continue"/>
            <w:shd w:val="clear" w:color="auto" w:fill="FFFFFF"/>
            <w:vAlign w:val="center"/>
          </w:tcPr>
          <w:p>
            <w:pPr>
              <w:adjustRightInd w:val="0"/>
              <w:snapToGrid w:val="0"/>
              <w:rPr>
                <w:rFonts w:ascii="仿宋_GB2312" w:hAnsi="仿宋" w:eastAsia="仿宋_GB2312"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时效</w:t>
            </w:r>
          </w:p>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291" w:type="dxa"/>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指标</w:t>
            </w:r>
            <w:r>
              <w:rPr>
                <w:rFonts w:ascii="仿宋_GB2312" w:hAnsi="仿宋" w:eastAsia="仿宋_GB2312" w:cs="仿宋_GB2312"/>
                <w:spacing w:val="7"/>
              </w:rPr>
              <w:t>1</w:t>
            </w:r>
            <w:r>
              <w:rPr>
                <w:rFonts w:hint="eastAsia" w:ascii="仿宋_GB2312" w:hAnsi="仿宋" w:eastAsia="仿宋_GB2312" w:cs="仿宋_GB2312"/>
                <w:spacing w:val="7"/>
              </w:rPr>
              <w:t>：</w:t>
            </w:r>
          </w:p>
        </w:tc>
        <w:tc>
          <w:tcPr>
            <w:tcW w:w="143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84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651"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25" w:hRule="atLeas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74" w:type="dxa"/>
            <w:vMerge w:val="continue"/>
            <w:shd w:val="clear" w:color="auto" w:fill="FFFFFF"/>
            <w:vAlign w:val="center"/>
          </w:tcPr>
          <w:p>
            <w:pPr>
              <w:adjustRightInd w:val="0"/>
              <w:snapToGrid w:val="0"/>
              <w:rPr>
                <w:rFonts w:ascii="仿宋_GB2312" w:hAnsi="仿宋" w:eastAsia="仿宋_GB2312"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成本</w:t>
            </w:r>
          </w:p>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指标</w:t>
            </w:r>
          </w:p>
        </w:tc>
        <w:tc>
          <w:tcPr>
            <w:tcW w:w="1291" w:type="dxa"/>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指标</w:t>
            </w:r>
            <w:r>
              <w:rPr>
                <w:rFonts w:ascii="仿宋_GB2312" w:hAnsi="仿宋" w:eastAsia="仿宋_GB2312" w:cs="仿宋_GB2312"/>
                <w:spacing w:val="7"/>
              </w:rPr>
              <w:t>1</w:t>
            </w:r>
            <w:r>
              <w:rPr>
                <w:rFonts w:hint="eastAsia" w:ascii="仿宋_GB2312" w:hAnsi="仿宋" w:eastAsia="仿宋_GB2312" w:cs="仿宋_GB2312"/>
                <w:spacing w:val="7"/>
              </w:rPr>
              <w:t>：</w:t>
            </w:r>
          </w:p>
        </w:tc>
        <w:tc>
          <w:tcPr>
            <w:tcW w:w="143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84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651"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81" w:hRule="atLeast"/>
        </w:trPr>
        <w:tc>
          <w:tcPr>
            <w:tcW w:w="458" w:type="dxa"/>
            <w:vMerge w:val="continue"/>
            <w:shd w:val="clear" w:color="auto" w:fill="FFFFFF"/>
            <w:vAlign w:val="center"/>
          </w:tcPr>
          <w:p>
            <w:pPr>
              <w:adjustRightInd w:val="0"/>
              <w:snapToGrid w:val="0"/>
              <w:rPr>
                <w:rFonts w:ascii="仿宋_GB2312" w:hAnsi="仿宋" w:eastAsia="仿宋_GB2312" w:cs="Times New Roman"/>
                <w:spacing w:val="7"/>
              </w:rPr>
            </w:pPr>
          </w:p>
        </w:tc>
        <w:tc>
          <w:tcPr>
            <w:tcW w:w="774" w:type="dxa"/>
            <w:vMerge w:val="restart"/>
            <w:shd w:val="clear" w:color="auto" w:fill="FFFFFF"/>
            <w:tcMar>
              <w:top w:w="0" w:type="dxa"/>
              <w:left w:w="105" w:type="dxa"/>
              <w:bottom w:w="0" w:type="dxa"/>
              <w:right w:w="105" w:type="dxa"/>
            </w:tcMar>
            <w:vAlign w:val="center"/>
          </w:tcPr>
          <w:p>
            <w:pPr>
              <w:adjustRightInd w:val="0"/>
              <w:snapToGrid w:val="0"/>
              <w:jc w:val="center"/>
              <w:rPr>
                <w:rFonts w:ascii="仿宋_GB2312" w:hAnsi="仿宋" w:eastAsia="仿宋_GB2312" w:cs="Times New Roman"/>
                <w:spacing w:val="7"/>
              </w:rPr>
            </w:pPr>
            <w:r>
              <w:rPr>
                <w:rFonts w:hint="eastAsia" w:ascii="仿宋_GB2312" w:hAnsi="仿宋" w:eastAsia="仿宋_GB2312" w:cs="仿宋_GB2312"/>
                <w:spacing w:val="7"/>
              </w:rPr>
              <w:t>效益指标</w:t>
            </w:r>
          </w:p>
        </w:tc>
        <w:tc>
          <w:tcPr>
            <w:tcW w:w="993"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经济效益指标</w:t>
            </w:r>
          </w:p>
        </w:tc>
        <w:tc>
          <w:tcPr>
            <w:tcW w:w="1291" w:type="dxa"/>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指标</w:t>
            </w:r>
            <w:r>
              <w:rPr>
                <w:rFonts w:ascii="仿宋_GB2312" w:hAnsi="仿宋" w:eastAsia="仿宋_GB2312" w:cs="仿宋_GB2312"/>
                <w:spacing w:val="7"/>
              </w:rPr>
              <w:t>1</w:t>
            </w:r>
            <w:r>
              <w:rPr>
                <w:rFonts w:hint="eastAsia" w:ascii="仿宋_GB2312" w:hAnsi="仿宋" w:eastAsia="仿宋_GB2312" w:cs="仿宋_GB2312"/>
                <w:spacing w:val="7"/>
              </w:rPr>
              <w:t>：</w:t>
            </w:r>
          </w:p>
        </w:tc>
        <w:tc>
          <w:tcPr>
            <w:tcW w:w="143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84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651"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520" w:hRule="atLeast"/>
        </w:trPr>
        <w:tc>
          <w:tcPr>
            <w:tcW w:w="458" w:type="dxa"/>
            <w:vMerge w:val="continue"/>
            <w:shd w:val="clear" w:color="auto" w:fill="FFFFFF"/>
            <w:vAlign w:val="center"/>
          </w:tcPr>
          <w:p>
            <w:pPr>
              <w:adjustRightInd w:val="0"/>
              <w:snapToGrid w:val="0"/>
              <w:rPr>
                <w:rFonts w:ascii="仿宋" w:hAnsi="仿宋" w:eastAsia="仿宋" w:cs="Times New Roman"/>
                <w:spacing w:val="7"/>
              </w:rPr>
            </w:pPr>
          </w:p>
        </w:tc>
        <w:tc>
          <w:tcPr>
            <w:tcW w:w="774" w:type="dxa"/>
            <w:vMerge w:val="continue"/>
            <w:shd w:val="clear" w:color="auto" w:fill="FFFFFF"/>
            <w:vAlign w:val="center"/>
          </w:tcPr>
          <w:p>
            <w:pPr>
              <w:adjustRightInd w:val="0"/>
              <w:snapToGrid w:val="0"/>
              <w:jc w:val="center"/>
              <w:rPr>
                <w:rFonts w:ascii="仿宋" w:hAnsi="仿宋" w:eastAsia="仿宋"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社会效益指标</w:t>
            </w:r>
          </w:p>
        </w:tc>
        <w:tc>
          <w:tcPr>
            <w:tcW w:w="1291"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spacing w:val="7"/>
              </w:rPr>
              <w:t>助推社会服务稳定发展</w:t>
            </w:r>
          </w:p>
        </w:tc>
        <w:tc>
          <w:tcPr>
            <w:tcW w:w="143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spacing w:val="7"/>
              </w:rPr>
              <w:t>不出现重大质量问题，安全生产亡人指标控制在考核范围内</w:t>
            </w:r>
          </w:p>
        </w:tc>
        <w:tc>
          <w:tcPr>
            <w:tcW w:w="184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rPr>
              <w:t>落实建筑企业主体责任，强化宣传教育，开展隐患排查，实施专项整治，发挥示范引领作用，发生一起安全生产责任事故，未发生高处坠落、基坑、外脚手架、施工承重支模架坍塌和塔吊倒塌事故。</w:t>
            </w: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r>
              <w:rPr>
                <w:rFonts w:ascii="仿宋_GB2312" w:hAnsi="仿宋" w:eastAsia="仿宋_GB2312" w:cs="仿宋_GB2312"/>
                <w:spacing w:val="7"/>
              </w:rPr>
              <w:t>40</w:t>
            </w: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r>
              <w:rPr>
                <w:rFonts w:ascii="仿宋_GB2312" w:hAnsi="仿宋" w:eastAsia="仿宋_GB2312" w:cs="仿宋_GB2312"/>
                <w:spacing w:val="7"/>
              </w:rPr>
              <w:t>36</w:t>
            </w:r>
          </w:p>
        </w:tc>
        <w:tc>
          <w:tcPr>
            <w:tcW w:w="1651" w:type="dxa"/>
            <w:gridSpan w:val="2"/>
            <w:shd w:val="clear" w:color="auto" w:fill="FFFFFF"/>
            <w:tcMar>
              <w:top w:w="0" w:type="dxa"/>
              <w:left w:w="105" w:type="dxa"/>
              <w:bottom w:w="0" w:type="dxa"/>
              <w:right w:w="105" w:type="dxa"/>
            </w:tcMar>
            <w:vAlign w:val="center"/>
          </w:tcPr>
          <w:p>
            <w:pPr>
              <w:adjustRightInd w:val="0"/>
              <w:snapToGrid w:val="0"/>
              <w:spacing w:line="280" w:lineRule="exact"/>
              <w:ind w:left="2" w:leftChars="-20" w:right="-77" w:rightChars="-32" w:hanging="50" w:hangingChars="20"/>
              <w:rPr>
                <w:rFonts w:ascii="仿宋_GB2312" w:hAnsi="仿宋" w:eastAsia="仿宋_GB2312" w:cs="Times New Roman"/>
                <w:spacing w:val="7"/>
              </w:rPr>
            </w:pPr>
            <w:r>
              <w:rPr>
                <w:rFonts w:hint="eastAsia" w:ascii="仿宋_GB2312" w:hAnsi="仿宋" w:eastAsia="仿宋_GB2312" w:cs="仿宋_GB2312"/>
                <w:spacing w:val="7"/>
              </w:rPr>
              <w:t>各方主体责任落实不够，缺乏有效手段。尤其是建设单位作为第一责任人的责任落实不到位，监理单位人员履职到岗率低。措施：要求各企业将责任分解到每一个项目部、作业班组和每个岗位，形成横向到边，纵向到底的责任网格，全面提高企业安全管理的主体和责任意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24" w:hRule="exact"/>
        </w:trPr>
        <w:tc>
          <w:tcPr>
            <w:tcW w:w="458" w:type="dxa"/>
            <w:vMerge w:val="continue"/>
            <w:shd w:val="clear" w:color="auto" w:fill="FFFFFF"/>
            <w:vAlign w:val="center"/>
          </w:tcPr>
          <w:p>
            <w:pPr>
              <w:adjustRightInd w:val="0"/>
              <w:snapToGrid w:val="0"/>
              <w:rPr>
                <w:rFonts w:ascii="仿宋" w:hAnsi="仿宋" w:eastAsia="仿宋" w:cs="Times New Roman"/>
                <w:spacing w:val="7"/>
              </w:rPr>
            </w:pPr>
          </w:p>
        </w:tc>
        <w:tc>
          <w:tcPr>
            <w:tcW w:w="774" w:type="dxa"/>
            <w:vMerge w:val="continue"/>
            <w:shd w:val="clear" w:color="auto" w:fill="FFFFFF"/>
            <w:vAlign w:val="center"/>
          </w:tcPr>
          <w:p>
            <w:pPr>
              <w:adjustRightInd w:val="0"/>
              <w:snapToGrid w:val="0"/>
              <w:rPr>
                <w:rFonts w:ascii="仿宋" w:hAnsi="仿宋" w:eastAsia="仿宋"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生态效益指标</w:t>
            </w:r>
          </w:p>
        </w:tc>
        <w:tc>
          <w:tcPr>
            <w:tcW w:w="1291"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spacing w:val="7"/>
              </w:rPr>
              <w:t>指标</w:t>
            </w:r>
            <w:r>
              <w:rPr>
                <w:rFonts w:ascii="仿宋_GB2312" w:hAnsi="仿宋" w:eastAsia="仿宋_GB2312" w:cs="仿宋_GB2312"/>
                <w:spacing w:val="7"/>
              </w:rPr>
              <w:t>1</w:t>
            </w:r>
            <w:r>
              <w:rPr>
                <w:rFonts w:hint="eastAsia" w:ascii="仿宋_GB2312" w:hAnsi="仿宋" w:eastAsia="仿宋_GB2312" w:cs="仿宋_GB2312"/>
                <w:spacing w:val="7"/>
              </w:rPr>
              <w:t>：</w:t>
            </w:r>
          </w:p>
        </w:tc>
        <w:tc>
          <w:tcPr>
            <w:tcW w:w="143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84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651"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84" w:hRule="exact"/>
        </w:trPr>
        <w:tc>
          <w:tcPr>
            <w:tcW w:w="458" w:type="dxa"/>
            <w:vMerge w:val="continue"/>
            <w:shd w:val="clear" w:color="auto" w:fill="FFFFFF"/>
            <w:vAlign w:val="center"/>
          </w:tcPr>
          <w:p>
            <w:pPr>
              <w:adjustRightInd w:val="0"/>
              <w:snapToGrid w:val="0"/>
              <w:rPr>
                <w:rFonts w:ascii="仿宋" w:hAnsi="仿宋" w:eastAsia="仿宋" w:cs="Times New Roman"/>
                <w:spacing w:val="7"/>
              </w:rPr>
            </w:pPr>
          </w:p>
        </w:tc>
        <w:tc>
          <w:tcPr>
            <w:tcW w:w="774" w:type="dxa"/>
            <w:vMerge w:val="continue"/>
            <w:shd w:val="clear" w:color="auto" w:fill="FFFFFF"/>
            <w:vAlign w:val="center"/>
          </w:tcPr>
          <w:p>
            <w:pPr>
              <w:adjustRightInd w:val="0"/>
              <w:snapToGrid w:val="0"/>
              <w:rPr>
                <w:rFonts w:ascii="仿宋" w:hAnsi="仿宋" w:eastAsia="仿宋" w:cs="Times New Roman"/>
                <w:spacing w:val="7"/>
              </w:rPr>
            </w:pPr>
          </w:p>
        </w:tc>
        <w:tc>
          <w:tcPr>
            <w:tcW w:w="993"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可持续影响指标</w:t>
            </w:r>
          </w:p>
        </w:tc>
        <w:tc>
          <w:tcPr>
            <w:tcW w:w="1291"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spacing w:val="7"/>
              </w:rPr>
              <w:t>指标</w:t>
            </w:r>
            <w:r>
              <w:rPr>
                <w:rFonts w:ascii="仿宋_GB2312" w:hAnsi="仿宋" w:eastAsia="仿宋_GB2312" w:cs="仿宋_GB2312"/>
                <w:spacing w:val="7"/>
              </w:rPr>
              <w:t>1</w:t>
            </w:r>
            <w:r>
              <w:rPr>
                <w:rFonts w:hint="eastAsia" w:ascii="仿宋_GB2312" w:hAnsi="仿宋" w:eastAsia="仿宋_GB2312" w:cs="仿宋_GB2312"/>
                <w:spacing w:val="7"/>
              </w:rPr>
              <w:t>：</w:t>
            </w:r>
          </w:p>
        </w:tc>
        <w:tc>
          <w:tcPr>
            <w:tcW w:w="143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84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651"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52" w:hRule="exact"/>
        </w:trPr>
        <w:tc>
          <w:tcPr>
            <w:tcW w:w="458" w:type="dxa"/>
            <w:vMerge w:val="continue"/>
            <w:shd w:val="clear" w:color="auto" w:fill="FFFFFF"/>
            <w:vAlign w:val="center"/>
          </w:tcPr>
          <w:p>
            <w:pPr>
              <w:adjustRightInd w:val="0"/>
              <w:snapToGrid w:val="0"/>
              <w:rPr>
                <w:rFonts w:ascii="仿宋" w:hAnsi="仿宋" w:eastAsia="仿宋" w:cs="Times New Roman"/>
                <w:spacing w:val="7"/>
              </w:rPr>
            </w:pPr>
          </w:p>
        </w:tc>
        <w:tc>
          <w:tcPr>
            <w:tcW w:w="774" w:type="dxa"/>
            <w:shd w:val="clear" w:color="auto" w:fill="FFFFFF"/>
            <w:tcMar>
              <w:top w:w="0" w:type="dxa"/>
              <w:left w:w="105" w:type="dxa"/>
              <w:bottom w:w="0" w:type="dxa"/>
              <w:right w:w="105" w:type="dxa"/>
            </w:tcMar>
            <w:vAlign w:val="center"/>
          </w:tcPr>
          <w:p>
            <w:pPr>
              <w:adjustRightInd w:val="0"/>
              <w:snapToGrid w:val="0"/>
              <w:rPr>
                <w:rFonts w:ascii="仿宋" w:hAnsi="仿宋" w:eastAsia="仿宋" w:cs="Times New Roman"/>
                <w:spacing w:val="7"/>
              </w:rPr>
            </w:pPr>
            <w:r>
              <w:rPr>
                <w:rFonts w:hint="eastAsia" w:ascii="仿宋" w:hAnsi="仿宋" w:eastAsia="仿宋" w:cs="仿宋"/>
                <w:spacing w:val="7"/>
              </w:rPr>
              <w:t>满意度</w:t>
            </w:r>
          </w:p>
          <w:p>
            <w:pPr>
              <w:adjustRightInd w:val="0"/>
              <w:snapToGrid w:val="0"/>
              <w:rPr>
                <w:rFonts w:ascii="仿宋" w:hAnsi="仿宋" w:eastAsia="仿宋" w:cs="Times New Roman"/>
                <w:spacing w:val="7"/>
              </w:rPr>
            </w:pPr>
            <w:r>
              <w:rPr>
                <w:rFonts w:hint="eastAsia" w:ascii="仿宋" w:hAnsi="仿宋" w:eastAsia="仿宋" w:cs="仿宋"/>
                <w:spacing w:val="7"/>
              </w:rPr>
              <w:t>指标</w:t>
            </w:r>
          </w:p>
        </w:tc>
        <w:tc>
          <w:tcPr>
            <w:tcW w:w="993" w:type="dxa"/>
            <w:gridSpan w:val="2"/>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服务对象满意度指标</w:t>
            </w:r>
          </w:p>
        </w:tc>
        <w:tc>
          <w:tcPr>
            <w:tcW w:w="1291"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spacing w:val="7"/>
              </w:rPr>
              <w:t>指标</w:t>
            </w:r>
            <w:r>
              <w:rPr>
                <w:rFonts w:ascii="仿宋_GB2312" w:hAnsi="仿宋" w:eastAsia="仿宋_GB2312" w:cs="仿宋_GB2312"/>
                <w:spacing w:val="7"/>
              </w:rPr>
              <w:t>1</w:t>
            </w:r>
            <w:r>
              <w:rPr>
                <w:rFonts w:hint="eastAsia" w:ascii="仿宋_GB2312" w:hAnsi="仿宋" w:eastAsia="仿宋_GB2312" w:cs="仿宋_GB2312"/>
                <w:spacing w:val="7"/>
              </w:rPr>
              <w:t>：</w:t>
            </w:r>
          </w:p>
        </w:tc>
        <w:tc>
          <w:tcPr>
            <w:tcW w:w="143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842"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c>
          <w:tcPr>
            <w:tcW w:w="1651"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5" w:hRule="atLeast"/>
        </w:trPr>
        <w:tc>
          <w:tcPr>
            <w:tcW w:w="6790" w:type="dxa"/>
            <w:gridSpan w:val="9"/>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总分</w:t>
            </w:r>
          </w:p>
        </w:tc>
        <w:tc>
          <w:tcPr>
            <w:tcW w:w="709"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r>
              <w:rPr>
                <w:rFonts w:ascii="仿宋_GB2312" w:hAnsi="仿宋" w:eastAsia="仿宋_GB2312" w:cs="仿宋_GB2312"/>
                <w:spacing w:val="7"/>
              </w:rPr>
              <w:t>100</w:t>
            </w:r>
          </w:p>
        </w:tc>
        <w:tc>
          <w:tcPr>
            <w:tcW w:w="607" w:type="dxa"/>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r>
              <w:rPr>
                <w:rFonts w:ascii="仿宋_GB2312" w:hAnsi="仿宋" w:eastAsia="仿宋_GB2312" w:cs="仿宋_GB2312"/>
                <w:spacing w:val="7"/>
              </w:rPr>
              <w:t>96</w:t>
            </w:r>
          </w:p>
        </w:tc>
        <w:tc>
          <w:tcPr>
            <w:tcW w:w="1651" w:type="dxa"/>
            <w:gridSpan w:val="2"/>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75" w:hRule="atLeast"/>
        </w:trPr>
        <w:tc>
          <w:tcPr>
            <w:tcW w:w="2117" w:type="dxa"/>
            <w:gridSpan w:val="3"/>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spacing w:val="7"/>
              </w:rPr>
              <w:t>自评结论</w:t>
            </w:r>
          </w:p>
        </w:tc>
        <w:tc>
          <w:tcPr>
            <w:tcW w:w="4673" w:type="dxa"/>
            <w:gridSpan w:val="6"/>
            <w:shd w:val="clear" w:color="auto" w:fill="FFFFFF"/>
            <w:tcMar>
              <w:top w:w="0" w:type="dxa"/>
              <w:left w:w="105" w:type="dxa"/>
              <w:bottom w:w="0" w:type="dxa"/>
              <w:right w:w="105" w:type="dxa"/>
            </w:tcMar>
            <w:vAlign w:val="center"/>
          </w:tcPr>
          <w:p>
            <w:pPr>
              <w:adjustRightInd w:val="0"/>
              <w:snapToGrid w:val="0"/>
              <w:spacing w:line="320" w:lineRule="exact"/>
              <w:jc w:val="center"/>
              <w:rPr>
                <w:rFonts w:ascii="仿宋_GB2312" w:hAnsi="仿宋" w:eastAsia="仿宋_GB2312" w:cs="Times New Roman"/>
                <w:spacing w:val="7"/>
              </w:rPr>
            </w:pPr>
            <w:r>
              <w:rPr>
                <w:rFonts w:hint="eastAsia" w:ascii="仿宋_GB2312" w:hAnsi="仿宋" w:eastAsia="仿宋_GB2312" w:cs="仿宋_GB2312"/>
                <w:color w:val="000000"/>
              </w:rPr>
              <w:t>优</w:t>
            </w:r>
            <w:r>
              <w:rPr>
                <w:rFonts w:hint="eastAsia" w:ascii="仿宋_GB2312" w:hAnsi="Wingdings 2" w:eastAsia="仿宋_GB2312" w:cs="Times New Roman"/>
                <w:color w:val="000000"/>
              </w:rPr>
              <w:sym w:font="Wingdings 2" w:char="F052"/>
            </w:r>
            <w:r>
              <w:rPr>
                <w:rFonts w:ascii="仿宋_GB2312" w:hAnsi="仿宋" w:eastAsia="仿宋_GB2312" w:cs="仿宋_GB2312"/>
                <w:color w:val="000000"/>
              </w:rPr>
              <w:t xml:space="preserve">      </w:t>
            </w:r>
            <w:r>
              <w:rPr>
                <w:rFonts w:hint="eastAsia" w:ascii="仿宋_GB2312" w:hAnsi="仿宋" w:eastAsia="仿宋_GB2312" w:cs="仿宋_GB2312"/>
                <w:color w:val="000000"/>
              </w:rPr>
              <w:t>良□</w:t>
            </w:r>
            <w:r>
              <w:rPr>
                <w:rFonts w:ascii="仿宋_GB2312" w:hAnsi="仿宋" w:eastAsia="仿宋_GB2312" w:cs="仿宋_GB2312"/>
                <w:color w:val="000000"/>
              </w:rPr>
              <w:t xml:space="preserve">      </w:t>
            </w:r>
            <w:r>
              <w:rPr>
                <w:rFonts w:hint="eastAsia" w:ascii="仿宋_GB2312" w:hAnsi="仿宋" w:eastAsia="仿宋_GB2312" w:cs="仿宋_GB2312"/>
                <w:color w:val="000000"/>
              </w:rPr>
              <w:t>中□</w:t>
            </w:r>
            <w:r>
              <w:rPr>
                <w:rFonts w:ascii="仿宋_GB2312" w:hAnsi="仿宋" w:eastAsia="仿宋_GB2312" w:cs="仿宋_GB2312"/>
                <w:color w:val="000000"/>
              </w:rPr>
              <w:t xml:space="preserve">    </w:t>
            </w:r>
            <w:r>
              <w:rPr>
                <w:rFonts w:hint="eastAsia" w:ascii="仿宋_GB2312" w:hAnsi="仿宋" w:eastAsia="仿宋_GB2312" w:cs="仿宋_GB2312"/>
                <w:color w:val="000000"/>
              </w:rPr>
              <w:t>差□</w:t>
            </w:r>
          </w:p>
        </w:tc>
        <w:tc>
          <w:tcPr>
            <w:tcW w:w="2967" w:type="dxa"/>
            <w:gridSpan w:val="4"/>
            <w:shd w:val="clear" w:color="auto" w:fill="FFFFFF"/>
            <w:tcMar>
              <w:top w:w="0" w:type="dxa"/>
              <w:left w:w="105" w:type="dxa"/>
              <w:bottom w:w="0" w:type="dxa"/>
              <w:right w:w="105" w:type="dxa"/>
            </w:tcMar>
            <w:vAlign w:val="center"/>
          </w:tcPr>
          <w:p>
            <w:pPr>
              <w:adjustRightInd w:val="0"/>
              <w:snapToGrid w:val="0"/>
              <w:spacing w:line="320" w:lineRule="exact"/>
              <w:rPr>
                <w:rFonts w:ascii="仿宋_GB2312" w:hAnsi="仿宋" w:eastAsia="仿宋_GB2312" w:cs="Times New Roman"/>
                <w:spacing w:val="7"/>
              </w:rPr>
            </w:pPr>
            <w:r>
              <w:rPr>
                <w:rFonts w:hint="eastAsia" w:ascii="仿宋_GB2312" w:hAnsi="仿宋" w:eastAsia="仿宋_GB2312" w:cs="仿宋_GB2312"/>
                <w:color w:val="000000"/>
              </w:rPr>
              <w:t>总分高于</w:t>
            </w:r>
            <w:r>
              <w:rPr>
                <w:rFonts w:ascii="仿宋_GB2312" w:hAnsi="仿宋" w:eastAsia="仿宋_GB2312" w:cs="仿宋_GB2312"/>
                <w:color w:val="000000"/>
              </w:rPr>
              <w:t>90</w:t>
            </w:r>
            <w:r>
              <w:rPr>
                <w:rFonts w:hint="eastAsia" w:ascii="仿宋_GB2312" w:hAnsi="仿宋" w:eastAsia="仿宋_GB2312" w:cs="仿宋_GB2312"/>
                <w:color w:val="000000"/>
              </w:rPr>
              <w:t>分（含）的结论为“优”，</w:t>
            </w:r>
            <w:r>
              <w:rPr>
                <w:rFonts w:ascii="仿宋_GB2312" w:hAnsi="仿宋" w:eastAsia="仿宋_GB2312" w:cs="仿宋_GB2312"/>
                <w:color w:val="000000"/>
              </w:rPr>
              <w:t>90</w:t>
            </w:r>
            <w:r>
              <w:rPr>
                <w:rFonts w:hint="eastAsia" w:ascii="仿宋_GB2312" w:hAnsi="仿宋" w:eastAsia="仿宋_GB2312" w:cs="仿宋_GB2312"/>
                <w:color w:val="000000"/>
              </w:rPr>
              <w:t>～</w:t>
            </w:r>
            <w:r>
              <w:rPr>
                <w:rFonts w:ascii="仿宋_GB2312" w:hAnsi="仿宋" w:eastAsia="仿宋_GB2312" w:cs="仿宋_GB2312"/>
                <w:color w:val="000000"/>
              </w:rPr>
              <w:t>80</w:t>
            </w:r>
            <w:r>
              <w:rPr>
                <w:rFonts w:hint="eastAsia" w:ascii="仿宋_GB2312" w:hAnsi="仿宋" w:eastAsia="仿宋_GB2312" w:cs="仿宋_GB2312"/>
                <w:color w:val="000000"/>
              </w:rPr>
              <w:t>分（含）为“良”，</w:t>
            </w:r>
            <w:r>
              <w:rPr>
                <w:rFonts w:ascii="仿宋_GB2312" w:hAnsi="仿宋" w:eastAsia="仿宋_GB2312" w:cs="仿宋_GB2312"/>
                <w:color w:val="000000"/>
              </w:rPr>
              <w:t>80</w:t>
            </w:r>
            <w:r>
              <w:rPr>
                <w:rFonts w:hint="eastAsia" w:ascii="仿宋_GB2312" w:hAnsi="仿宋" w:eastAsia="仿宋_GB2312" w:cs="仿宋_GB2312"/>
                <w:color w:val="000000"/>
              </w:rPr>
              <w:t>～</w:t>
            </w:r>
            <w:r>
              <w:rPr>
                <w:rFonts w:ascii="仿宋_GB2312" w:hAnsi="仿宋" w:eastAsia="仿宋_GB2312" w:cs="仿宋_GB2312"/>
                <w:color w:val="000000"/>
              </w:rPr>
              <w:t>60</w:t>
            </w:r>
            <w:r>
              <w:rPr>
                <w:rFonts w:hint="eastAsia" w:ascii="仿宋_GB2312" w:hAnsi="仿宋" w:eastAsia="仿宋_GB2312" w:cs="仿宋_GB2312"/>
                <w:color w:val="000000"/>
              </w:rPr>
              <w:t>分（含）为“中”，低于</w:t>
            </w:r>
            <w:r>
              <w:rPr>
                <w:rFonts w:ascii="仿宋_GB2312" w:hAnsi="仿宋" w:eastAsia="仿宋_GB2312" w:cs="仿宋_GB2312"/>
                <w:color w:val="000000"/>
              </w:rPr>
              <w:t>60</w:t>
            </w:r>
            <w:r>
              <w:rPr>
                <w:rFonts w:hint="eastAsia" w:ascii="仿宋_GB2312" w:hAnsi="仿宋" w:eastAsia="仿宋_GB2312" w:cs="仿宋_GB2312"/>
                <w:color w:val="000000"/>
              </w:rPr>
              <w:t>分为“差”。</w:t>
            </w:r>
          </w:p>
        </w:tc>
      </w:tr>
    </w:tbl>
    <w:p>
      <w:pPr>
        <w:spacing w:line="600" w:lineRule="atLeast"/>
        <w:jc w:val="both"/>
        <w:rPr>
          <w:rFonts w:cs="Times New Roman"/>
        </w:rPr>
      </w:pPr>
    </w:p>
    <w:p>
      <w:pPr>
        <w:spacing w:line="600" w:lineRule="atLeast"/>
        <w:ind w:firstLine="640"/>
        <w:jc w:val="both"/>
        <w:rPr>
          <w:rFonts w:ascii="仿宋_GB2312" w:hAnsi="仿宋" w:eastAsia="仿宋_GB2312" w:cs="Times New Roman"/>
          <w:sz w:val="32"/>
          <w:szCs w:val="32"/>
        </w:rPr>
      </w:pPr>
      <w:r>
        <w:rPr>
          <w:rStyle w:val="7"/>
          <w:rFonts w:ascii="仿宋_GB2312" w:hAnsi="仿宋" w:eastAsia="仿宋_GB2312" w:cs="仿宋_GB2312"/>
          <w:sz w:val="32"/>
          <w:szCs w:val="32"/>
        </w:rPr>
        <w:t>3.</w:t>
      </w:r>
      <w:r>
        <w:rPr>
          <w:rStyle w:val="7"/>
          <w:rFonts w:hint="eastAsia" w:ascii="仿宋_GB2312" w:hAnsi="仿宋" w:eastAsia="仿宋_GB2312" w:cs="仿宋_GB2312"/>
          <w:sz w:val="32"/>
          <w:szCs w:val="32"/>
        </w:rPr>
        <w:t>财政评价项目绩效评价结果</w:t>
      </w:r>
    </w:p>
    <w:p>
      <w:pPr>
        <w:spacing w:line="600" w:lineRule="atLeast"/>
        <w:ind w:firstLine="640"/>
        <w:jc w:val="both"/>
        <w:rPr>
          <w:rFonts w:ascii="仿宋_GB2312" w:eastAsia="仿宋_GB2312" w:cs="Times New Roman"/>
        </w:rPr>
      </w:pPr>
      <w:r>
        <w:rPr>
          <w:rFonts w:hint="eastAsia" w:ascii="仿宋_GB2312" w:hAnsi="仿宋" w:eastAsia="仿宋_GB2312" w:cs="仿宋_GB2312"/>
          <w:sz w:val="32"/>
          <w:szCs w:val="32"/>
        </w:rPr>
        <w:t>财政委托浙江中和联合会计师事务所（普通合伙）对我单位“温岭市虎山公园改造提升工程”项目进行绩效评价。绩效评价综合得分</w:t>
      </w:r>
      <w:r>
        <w:rPr>
          <w:rFonts w:ascii="仿宋_GB2312" w:hAnsi="仿宋" w:eastAsia="仿宋_GB2312" w:cs="仿宋_GB2312"/>
          <w:sz w:val="32"/>
          <w:szCs w:val="32"/>
        </w:rPr>
        <w:t>86.02</w:t>
      </w:r>
      <w:r>
        <w:rPr>
          <w:rFonts w:hint="eastAsia" w:ascii="仿宋_GB2312" w:hAnsi="仿宋" w:eastAsia="仿宋_GB2312" w:cs="仿宋_GB2312"/>
          <w:sz w:val="32"/>
          <w:szCs w:val="32"/>
        </w:rPr>
        <w:t>分，评价等次为良，详见附件1。</w:t>
      </w:r>
    </w:p>
    <w:p>
      <w:pPr>
        <w:spacing w:line="600" w:lineRule="atLeast"/>
        <w:ind w:firstLine="640"/>
        <w:jc w:val="both"/>
        <w:rPr>
          <w:rStyle w:val="7"/>
          <w:rFonts w:ascii="仿宋_GB2312" w:hAnsi="仿宋" w:eastAsia="仿宋_GB2312" w:cs="Times New Roman"/>
          <w:sz w:val="32"/>
          <w:szCs w:val="32"/>
        </w:rPr>
      </w:pPr>
      <w:r>
        <w:rPr>
          <w:rStyle w:val="7"/>
          <w:rFonts w:ascii="仿宋_GB2312" w:hAnsi="仿宋" w:eastAsia="仿宋_GB2312" w:cs="仿宋_GB2312"/>
          <w:sz w:val="32"/>
          <w:szCs w:val="32"/>
        </w:rPr>
        <w:t>4.</w:t>
      </w:r>
      <w:r>
        <w:rPr>
          <w:rStyle w:val="7"/>
          <w:rFonts w:hint="eastAsia" w:ascii="仿宋_GB2312" w:hAnsi="仿宋" w:eastAsia="仿宋_GB2312" w:cs="仿宋_GB2312"/>
          <w:sz w:val="32"/>
          <w:szCs w:val="32"/>
        </w:rPr>
        <w:t>部门评价项目绩效评价结果</w:t>
      </w:r>
    </w:p>
    <w:p>
      <w:pPr>
        <w:spacing w:line="600" w:lineRule="atLeast"/>
        <w:ind w:firstLine="640"/>
        <w:jc w:val="both"/>
        <w:rPr>
          <w:rFonts w:ascii="仿宋_GB2312" w:hAnsi="仿宋" w:eastAsia="仿宋_GB2312" w:cs="Times New Roman"/>
          <w:sz w:val="32"/>
          <w:szCs w:val="32"/>
        </w:rPr>
      </w:pPr>
      <w:r>
        <w:rPr>
          <w:rFonts w:hint="eastAsia" w:ascii="仿宋_GB2312" w:hAnsi="仿宋" w:eastAsia="仿宋_GB2312" w:cs="仿宋_GB2312"/>
          <w:sz w:val="32"/>
          <w:szCs w:val="32"/>
        </w:rPr>
        <w:t>组织对</w:t>
      </w:r>
      <w:r>
        <w:rPr>
          <w:rFonts w:ascii="仿宋_GB2312" w:hAnsi="仿宋" w:eastAsia="仿宋_GB2312" w:cs="仿宋_GB2312"/>
          <w:sz w:val="32"/>
          <w:szCs w:val="32"/>
        </w:rPr>
        <w:t>2020</w:t>
      </w:r>
      <w:r>
        <w:rPr>
          <w:rFonts w:hint="eastAsia" w:ascii="仿宋_GB2312" w:hAnsi="仿宋" w:eastAsia="仿宋_GB2312" w:cs="仿宋_GB2312"/>
          <w:sz w:val="32"/>
          <w:szCs w:val="32"/>
        </w:rPr>
        <w:t>年部门整体支出进行绩效自评，支出情况整体较好，详见附件2。</w:t>
      </w:r>
    </w:p>
    <w:p>
      <w:pPr>
        <w:spacing w:line="600" w:lineRule="atLeast"/>
        <w:ind w:firstLine="640"/>
        <w:jc w:val="both"/>
        <w:rPr>
          <w:rFonts w:cs="Times New Roman"/>
        </w:rPr>
      </w:pPr>
      <w:r>
        <w:rPr>
          <w:rFonts w:hint="eastAsia" w:ascii="黑体" w:hAnsi="黑体" w:eastAsia="黑体" w:cs="黑体"/>
          <w:sz w:val="32"/>
          <w:szCs w:val="32"/>
        </w:rPr>
        <w:t>四、名词解释</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1.</w:t>
      </w:r>
      <w:r>
        <w:rPr>
          <w:rFonts w:hint="eastAsia" w:ascii="仿宋_GB2312" w:hAnsi="仿宋" w:eastAsia="仿宋_GB2312" w:cs="仿宋_GB2312"/>
          <w:sz w:val="32"/>
          <w:szCs w:val="32"/>
        </w:rPr>
        <w:t>财政拨款收入：指本级财政部门当年拨付的财政预算资金，包括一般公共预算财政拨款、政府性基金预算财政拨款和国有资本经预算财政拨款。</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2.</w:t>
      </w:r>
      <w:r>
        <w:rPr>
          <w:rFonts w:hint="eastAsia" w:ascii="仿宋_GB2312" w:hAnsi="仿宋" w:eastAsia="仿宋_GB2312" w:cs="仿宋_GB2312"/>
          <w:sz w:val="32"/>
          <w:szCs w:val="32"/>
        </w:rPr>
        <w:t>事业收入：指事业单位开展专业业务活动及辅助活动所取得的收入。</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3.</w:t>
      </w:r>
      <w:r>
        <w:rPr>
          <w:rFonts w:hint="eastAsia" w:ascii="仿宋_GB2312" w:hAnsi="仿宋" w:eastAsia="仿宋_GB2312" w:cs="仿宋_GB2312"/>
          <w:sz w:val="32"/>
          <w:szCs w:val="32"/>
        </w:rPr>
        <w:t>经营收入：指事业单位在专业业务活动及辅助活动之外开展非独立核算经营活动取得的收入。</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4.</w:t>
      </w:r>
      <w:r>
        <w:rPr>
          <w:rFonts w:hint="eastAsia" w:ascii="仿宋_GB2312" w:hAnsi="仿宋" w:eastAsia="仿宋_GB2312" w:cs="仿宋_GB2312"/>
          <w:sz w:val="32"/>
          <w:szCs w:val="32"/>
        </w:rPr>
        <w:t>上级补助收入：指事业单位从主管部门和上级单位取得的非财政补助收入。</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5.</w:t>
      </w:r>
      <w:r>
        <w:rPr>
          <w:rFonts w:hint="eastAsia" w:ascii="仿宋_GB2312" w:hAnsi="仿宋" w:eastAsia="仿宋_GB2312" w:cs="仿宋_GB2312"/>
          <w:sz w:val="32"/>
          <w:szCs w:val="32"/>
        </w:rPr>
        <w:t>附属单位上缴收入：指事业单位附属独立核算单位按照有关规定上缴的收入。</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6.</w:t>
      </w:r>
      <w:r>
        <w:rPr>
          <w:rFonts w:hint="eastAsia" w:ascii="仿宋_GB2312" w:hAnsi="仿宋" w:eastAsia="仿宋_GB2312" w:cs="仿宋_GB2312"/>
          <w:sz w:val="32"/>
          <w:szCs w:val="32"/>
        </w:rPr>
        <w:t>其他收入：指预算单位在</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财政拨款</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事业收入</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经营收入</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上级补助收入</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附属单位上缴收入</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等之外取得的各项收入。</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7.</w:t>
      </w:r>
      <w:r>
        <w:rPr>
          <w:rFonts w:hint="eastAsia" w:ascii="仿宋_GB2312" w:hAnsi="仿宋" w:eastAsia="仿宋_GB2312" w:cs="仿宋_GB2312"/>
          <w:sz w:val="32"/>
          <w:szCs w:val="32"/>
        </w:rPr>
        <w:t>使用非财政拨款结余：指事业单位使用以前年度积累的非财政拨款结余弥补当年收支差额的金额。</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8.</w:t>
      </w:r>
      <w:r>
        <w:rPr>
          <w:rFonts w:hint="eastAsia" w:ascii="仿宋_GB2312" w:hAnsi="仿宋" w:eastAsia="仿宋_GB2312" w:cs="仿宋_GB2312"/>
          <w:sz w:val="32"/>
          <w:szCs w:val="32"/>
        </w:rPr>
        <w:t>年初结转和结余：指预算单位以前年度尚未完成、结转到本年仍按原规定用途继续使用的资金。</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9.</w:t>
      </w:r>
      <w:r>
        <w:rPr>
          <w:rFonts w:hint="eastAsia" w:ascii="仿宋_GB2312" w:hAnsi="仿宋" w:eastAsia="仿宋_GB2312" w:cs="仿宋_GB2312"/>
          <w:sz w:val="32"/>
          <w:szCs w:val="32"/>
        </w:rPr>
        <w:t>年末结转和结余：指单位按有关规定结转到下年或以后年度继续使用的资金。</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10.</w:t>
      </w:r>
      <w:r>
        <w:rPr>
          <w:rFonts w:hint="eastAsia" w:ascii="仿宋_GB2312" w:hAnsi="仿宋" w:eastAsia="仿宋_GB2312" w:cs="仿宋_GB2312"/>
          <w:sz w:val="32"/>
          <w:szCs w:val="32"/>
        </w:rPr>
        <w:t>基本支出：指预算单位为保障其正常运转，完成日常工作任务所发生的支出，包括人员经费支出和日常公用经费支出。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11.</w:t>
      </w:r>
      <w:r>
        <w:rPr>
          <w:rFonts w:hint="eastAsia" w:ascii="仿宋_GB2312" w:hAnsi="仿宋" w:eastAsia="仿宋_GB2312" w:cs="仿宋_GB2312"/>
          <w:sz w:val="32"/>
          <w:szCs w:val="32"/>
        </w:rPr>
        <w:t>项目支出：指预算单位为完成其特定的行政工作任务或事业发展目标所发生的支出。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12.</w:t>
      </w:r>
      <w:r>
        <w:rPr>
          <w:rFonts w:hint="eastAsia" w:ascii="仿宋_GB2312" w:hAnsi="仿宋" w:eastAsia="仿宋_GB2312" w:cs="仿宋_GB2312"/>
          <w:sz w:val="32"/>
          <w:szCs w:val="32"/>
        </w:rPr>
        <w:t>上缴上级支出：填列事业单位按照财政部门和主管部门的规定上缴上级单位的支出。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13.</w:t>
      </w:r>
      <w:r>
        <w:rPr>
          <w:rFonts w:hint="eastAsia" w:ascii="仿宋_GB2312" w:hAnsi="仿宋" w:eastAsia="仿宋_GB2312" w:cs="仿宋_GB2312"/>
          <w:sz w:val="32"/>
          <w:szCs w:val="32"/>
        </w:rPr>
        <w:t>经营支出：指事业单位在专业业务活动及其辅助活动之外开展非独立核算经营活动发生的支出。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14.</w:t>
      </w:r>
      <w:r>
        <w:rPr>
          <w:rFonts w:hint="eastAsia" w:ascii="仿宋_GB2312" w:hAnsi="仿宋" w:eastAsia="仿宋_GB2312" w:cs="仿宋_GB2312"/>
          <w:sz w:val="32"/>
          <w:szCs w:val="32"/>
        </w:rPr>
        <w:t>附属单位补助支出：填列事业单位用财政补助收入之外的收入对附属单位补助发生的支出。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三公</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经费：纳入财政预决算管理的</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三公</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16.</w:t>
      </w:r>
      <w:r>
        <w:rPr>
          <w:rFonts w:hint="eastAsia" w:ascii="仿宋_GB2312" w:hAnsi="仿宋" w:eastAsia="仿宋_GB2312" w:cs="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17.</w:t>
      </w:r>
      <w:r>
        <w:rPr>
          <w:rFonts w:hint="eastAsia" w:ascii="仿宋_GB2312" w:hAnsi="仿宋" w:eastAsia="仿宋_GB2312" w:cs="仿宋_GB2312"/>
          <w:sz w:val="32"/>
          <w:szCs w:val="32"/>
        </w:rPr>
        <w:t>一般公共服务支出（类）其他一般公共服务支出（款）其他一般公共服务支出（项）：指反映除国家赔偿方面的其他一般公共服务支出。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18.</w:t>
      </w:r>
      <w:r>
        <w:rPr>
          <w:rFonts w:hint="eastAsia" w:ascii="仿宋_GB2312" w:hAnsi="仿宋" w:eastAsia="仿宋_GB2312" w:cs="仿宋_GB2312"/>
          <w:sz w:val="32"/>
          <w:szCs w:val="32"/>
        </w:rPr>
        <w:t>文化旅游体育与传媒支出（类）文化和旅游（款）其他文化和旅游支出（项）：指反映上述项目以外其他用于文化和旅游方面的支出。</w:t>
      </w:r>
    </w:p>
    <w:p>
      <w:pPr>
        <w:spacing w:line="600" w:lineRule="atLeast"/>
        <w:ind w:firstLine="640"/>
        <w:jc w:val="both"/>
        <w:rPr>
          <w:rFonts w:ascii="仿宋_GB2312" w:hAnsi="Times New Roman" w:eastAsia="仿宋_GB2312" w:cs="仿宋_GB2312"/>
          <w:sz w:val="32"/>
          <w:szCs w:val="32"/>
        </w:rPr>
      </w:pPr>
      <w:r>
        <w:rPr>
          <w:rFonts w:ascii="仿宋_GB2312" w:hAnsi="Times New Roman" w:eastAsia="仿宋_GB2312" w:cs="仿宋_GB2312"/>
          <w:sz w:val="32"/>
          <w:szCs w:val="32"/>
        </w:rPr>
        <w:t>19.</w:t>
      </w:r>
      <w:r>
        <w:rPr>
          <w:rFonts w:hint="eastAsia" w:ascii="仿宋_GB2312" w:hAnsi="仿宋" w:eastAsia="仿宋_GB2312" w:cs="仿宋_GB2312"/>
          <w:sz w:val="32"/>
          <w:szCs w:val="32"/>
        </w:rPr>
        <w:t>社会保障和就业支出（类）行政事业单位离退休（款）机关事业单位基本养老保险缴费支出（项）：指反映机关事业单位实施养老保险制度由单位缴纳的基本养老保险费支出。</w:t>
      </w:r>
      <w:r>
        <w:rPr>
          <w:rFonts w:ascii="仿宋_GB2312" w:hAnsi="Times New Roman" w:eastAsia="仿宋_GB2312" w:cs="仿宋_GB2312"/>
          <w:sz w:val="32"/>
          <w:szCs w:val="32"/>
        </w:rPr>
        <w:t xml:space="preserve"> </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20.</w:t>
      </w:r>
      <w:r>
        <w:rPr>
          <w:rFonts w:hint="eastAsia" w:ascii="仿宋_GB2312" w:hAnsi="仿宋" w:eastAsia="仿宋_GB2312" w:cs="仿宋_GB2312"/>
          <w:sz w:val="32"/>
          <w:szCs w:val="32"/>
        </w:rPr>
        <w:t>社会保障和就业支出（类）行政事业单位离退休（款）机关事业单位职业年金缴费支出（项）：指反映机关事业单位实施养老保险制度由单位实际缴纳的职业年金支出。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21.</w:t>
      </w:r>
      <w:r>
        <w:rPr>
          <w:rFonts w:hint="eastAsia" w:ascii="仿宋_GB2312" w:hAnsi="仿宋" w:eastAsia="仿宋_GB2312" w:cs="仿宋_GB2312"/>
          <w:sz w:val="32"/>
          <w:szCs w:val="32"/>
        </w:rPr>
        <w:t>城乡社区支出（类）城乡社区管理事务（款）行政运行（项）：指反映行政单位（包括实行公务员管理的事业单位）的基本支出。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22.</w:t>
      </w:r>
      <w:r>
        <w:rPr>
          <w:rFonts w:hint="eastAsia" w:ascii="仿宋_GB2312" w:hAnsi="仿宋" w:eastAsia="仿宋_GB2312" w:cs="仿宋_GB2312"/>
          <w:sz w:val="32"/>
          <w:szCs w:val="32"/>
        </w:rPr>
        <w:t>城乡社区支出（类）城乡社区管理事务（款）市政公用行业市场监管（项）：指反映拟定城镇市政公用设施建设法规政策、组织跨区域污水垃圾及供水燃气管网等公共基础设施建设、对城乡基础设施建设工程中资源利用与环境保护实施监管等方面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23.</w:t>
      </w:r>
      <w:r>
        <w:rPr>
          <w:rFonts w:hint="eastAsia" w:ascii="仿宋_GB2312" w:hAnsi="仿宋" w:eastAsia="仿宋_GB2312" w:cs="仿宋_GB2312"/>
          <w:sz w:val="32"/>
          <w:szCs w:val="32"/>
        </w:rPr>
        <w:t>城乡社区支出（类）城乡社区管理事务（款）其他城乡社区管理事务支出（项）：指反映除上述项目以外其他用于城乡社区管理事务方面的支出。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24.</w:t>
      </w:r>
      <w:r>
        <w:rPr>
          <w:rFonts w:hint="eastAsia" w:ascii="仿宋_GB2312" w:hAnsi="仿宋" w:eastAsia="仿宋_GB2312" w:cs="仿宋_GB2312"/>
          <w:sz w:val="32"/>
          <w:szCs w:val="32"/>
        </w:rPr>
        <w:t>城乡社区支出（类）城乡社区规划与管理（款）城乡社区规划与管理（项）：指反映城乡社区、防灾减灾、历史名城规划制定与管理等方面的支出。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25.</w:t>
      </w:r>
      <w:r>
        <w:rPr>
          <w:rFonts w:hint="eastAsia" w:ascii="仿宋_GB2312" w:hAnsi="仿宋" w:eastAsia="仿宋_GB2312" w:cs="仿宋_GB2312"/>
          <w:sz w:val="32"/>
          <w:szCs w:val="32"/>
        </w:rPr>
        <w:t>城乡社区支出（类）城乡社区公共设施（款）其他城乡社区公共设施支出（项）：指反映除上述项目以外其他用于城乡社区公共设施方面的支出。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26.</w:t>
      </w:r>
      <w:r>
        <w:rPr>
          <w:rFonts w:hint="eastAsia" w:ascii="仿宋_GB2312" w:hAnsi="仿宋" w:eastAsia="仿宋_GB2312" w:cs="仿宋_GB2312"/>
          <w:sz w:val="32"/>
          <w:szCs w:val="32"/>
        </w:rPr>
        <w:t>城乡社区支出（类）城乡社区环境卫生（款）城乡社区环境卫生（项）：指反映城乡社区道路清扫、垃圾清运与处理、公厕建设与维护、园林绿化等方面的支出。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27.</w:t>
      </w:r>
      <w:r>
        <w:rPr>
          <w:rFonts w:hint="eastAsia" w:ascii="仿宋_GB2312" w:hAnsi="仿宋" w:eastAsia="仿宋_GB2312" w:cs="仿宋_GB2312"/>
          <w:sz w:val="32"/>
          <w:szCs w:val="32"/>
        </w:rPr>
        <w:t>城乡社区支出（类）建设市场管理与监督（款）建设市场管理与监督（项）：指反映各类建筑工程强制性和推荐性标准及规范的制定与修改、建筑工程招投标等市场管理、建筑工程质量与安全监督等方面的支出。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28.</w:t>
      </w:r>
      <w:r>
        <w:rPr>
          <w:rFonts w:hint="eastAsia" w:ascii="仿宋_GB2312" w:hAnsi="仿宋" w:eastAsia="仿宋_GB2312" w:cs="仿宋_GB2312"/>
          <w:sz w:val="32"/>
          <w:szCs w:val="32"/>
        </w:rPr>
        <w:t>城乡社区支出（类）其他城乡社区支出（款）其他城乡社区支出（项）：指反映除上述项目以外其他用于城乡社区方面的支出。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29.</w:t>
      </w:r>
      <w:r>
        <w:rPr>
          <w:rFonts w:hint="eastAsia" w:ascii="仿宋_GB2312" w:hAnsi="仿宋" w:eastAsia="仿宋_GB2312" w:cs="仿宋_GB2312"/>
          <w:sz w:val="32"/>
          <w:szCs w:val="32"/>
        </w:rPr>
        <w:t>农林水支出（类）其他农林水支出（款）其他农林水支出（项）：指反映反应除化解债务支出以外其他用于农林水方面的支出。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30.</w:t>
      </w:r>
      <w:r>
        <w:rPr>
          <w:rFonts w:hint="eastAsia" w:ascii="仿宋_GB2312" w:hAnsi="仿宋" w:eastAsia="仿宋_GB2312" w:cs="仿宋_GB2312"/>
          <w:sz w:val="32"/>
          <w:szCs w:val="32"/>
        </w:rPr>
        <w:t>住房保障支出（类）保障性安居工程支出（款）棚户区改造（项）：指反映用于棚户区改造方面的支出。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 xml:space="preserve">31. </w:t>
      </w:r>
      <w:r>
        <w:rPr>
          <w:rFonts w:hint="eastAsia" w:ascii="仿宋_GB2312" w:hAnsi="仿宋" w:eastAsia="仿宋_GB2312" w:cs="仿宋_GB2312"/>
          <w:sz w:val="32"/>
          <w:szCs w:val="32"/>
        </w:rPr>
        <w:t>住房保障支出（类）保障性安居工程支出（款）农村危房改造（项）：指反映用于农村危房改造方面的支出。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32.</w:t>
      </w:r>
      <w:r>
        <w:rPr>
          <w:rFonts w:hint="eastAsia" w:ascii="仿宋_GB2312" w:hAnsi="仿宋" w:eastAsia="仿宋_GB2312" w:cs="仿宋_GB2312"/>
          <w:sz w:val="32"/>
          <w:szCs w:val="32"/>
        </w:rPr>
        <w:t>住房保障支出（类）保障性安居工程支出（款）保障性住房租金补贴（项）</w:t>
      </w:r>
      <w:r>
        <w:rPr>
          <w:rFonts w:ascii="仿宋_GB2312" w:hAnsi="Times New Roman" w:eastAsia="仿宋_GB2312" w:cs="仿宋_GB2312"/>
          <w:sz w:val="32"/>
          <w:szCs w:val="32"/>
        </w:rPr>
        <w:t>:</w:t>
      </w:r>
      <w:r>
        <w:rPr>
          <w:rFonts w:hint="eastAsia" w:ascii="仿宋_GB2312" w:hAnsi="仿宋" w:eastAsia="仿宋_GB2312" w:cs="仿宋_GB2312"/>
          <w:sz w:val="32"/>
          <w:szCs w:val="32"/>
        </w:rPr>
        <w:t>指反映各级政府向低收入住房保障家庭发放的住房租赁补贴支出。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33.</w:t>
      </w:r>
      <w:r>
        <w:rPr>
          <w:rFonts w:hint="eastAsia" w:ascii="仿宋_GB2312" w:hAnsi="仿宋" w:eastAsia="仿宋_GB2312" w:cs="仿宋_GB2312"/>
          <w:sz w:val="32"/>
          <w:szCs w:val="32"/>
        </w:rPr>
        <w:t>住房保障支出（类）保障性安居工程支出（款）其他保障性安居工程支出（项）：指反映除上述项目以外其他用于保障性住房方面的支出。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34.</w:t>
      </w:r>
      <w:r>
        <w:rPr>
          <w:rFonts w:hint="eastAsia" w:ascii="仿宋_GB2312" w:hAnsi="仿宋" w:eastAsia="仿宋_GB2312" w:cs="仿宋_GB2312"/>
          <w:sz w:val="32"/>
          <w:szCs w:val="32"/>
        </w:rPr>
        <w:t>灾害防治及应急管理支出（类）自然灾害救灾及恢复重建支出（款）其他自然灾害生活救助支出（项）：指反映除上述项目以外其他用于自然灾害救灾、灾后恢复重建等方面的支出。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35.</w:t>
      </w:r>
      <w:r>
        <w:rPr>
          <w:rFonts w:hint="eastAsia" w:ascii="仿宋_GB2312" w:hAnsi="仿宋" w:eastAsia="仿宋_GB2312" w:cs="仿宋_GB2312"/>
          <w:sz w:val="32"/>
          <w:szCs w:val="32"/>
        </w:rPr>
        <w:t>城乡社区支出（类）国有土地使用权出让收入及对应专项债务收入安排的支出（款）廉租住房支出（项）：指反映从土地出让收入中安排用于城建廉租住房建设和保障方面的支出。</w:t>
      </w:r>
    </w:p>
    <w:p>
      <w:pPr>
        <w:spacing w:line="600" w:lineRule="atLeast"/>
        <w:ind w:firstLine="640"/>
        <w:jc w:val="both"/>
        <w:rPr>
          <w:rFonts w:ascii="仿宋_GB2312" w:hAnsi="Times New Roman" w:eastAsia="仿宋_GB2312" w:cs="Times New Roman"/>
        </w:rPr>
      </w:pPr>
      <w:r>
        <w:rPr>
          <w:rFonts w:ascii="仿宋_GB2312" w:hAnsi="Times New Roman" w:eastAsia="仿宋_GB2312" w:cs="仿宋_GB2312"/>
          <w:sz w:val="32"/>
          <w:szCs w:val="32"/>
        </w:rPr>
        <w:t>36.</w:t>
      </w:r>
      <w:r>
        <w:rPr>
          <w:rFonts w:hint="eastAsia" w:ascii="仿宋_GB2312" w:hAnsi="仿宋" w:eastAsia="仿宋_GB2312" w:cs="仿宋_GB2312"/>
          <w:sz w:val="32"/>
          <w:szCs w:val="32"/>
        </w:rPr>
        <w:t>城乡社区支出（类）国有土地使用权出让收入及对应专项债务收入安排的支出（款）其他国有土地使用权出让收入安排的支出（项）：指反映土地出让收入用于其他方面的支出。不包括市县级政府当年按规定用土地出让收入向中央和省级政府缴纳的新增建设用地土地有偿使用费的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37.</w:t>
      </w:r>
      <w:r>
        <w:rPr>
          <w:rFonts w:hint="eastAsia" w:ascii="仿宋_GB2312" w:hAnsi="仿宋" w:eastAsia="仿宋_GB2312" w:cs="仿宋_GB2312"/>
          <w:sz w:val="32"/>
          <w:szCs w:val="32"/>
        </w:rPr>
        <w:t>城乡社区支出（类）城市基础设施配套费安排的支出（款）其他城市基础设施配套费安排的支出（项）：指反映上述项目以外的城市基础设施配套费的支出。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38.</w:t>
      </w:r>
      <w:r>
        <w:rPr>
          <w:rFonts w:hint="eastAsia" w:ascii="仿宋_GB2312" w:hAnsi="仿宋" w:eastAsia="仿宋_GB2312" w:cs="仿宋_GB2312"/>
          <w:sz w:val="32"/>
          <w:szCs w:val="32"/>
        </w:rPr>
        <w:t>其他支出（类）其他政府性基金及对应专项债务收入安排的支出（款）其他政府性基金安排的支出（项）：指反映其他政府性基金安排的支出（包括用以前年度欠款收入安排的支出）。</w:t>
      </w:r>
    </w:p>
    <w:p>
      <w:pPr>
        <w:spacing w:line="600" w:lineRule="atLeast"/>
        <w:ind w:firstLine="640"/>
        <w:jc w:val="both"/>
        <w:rPr>
          <w:rFonts w:ascii="仿宋_GB2312" w:hAnsi="Times New Roman" w:eastAsia="仿宋_GB2312" w:cs="Times New Roman"/>
          <w:sz w:val="32"/>
          <w:szCs w:val="32"/>
        </w:rPr>
      </w:pPr>
      <w:r>
        <w:rPr>
          <w:rFonts w:ascii="仿宋_GB2312" w:hAnsi="Times New Roman" w:eastAsia="仿宋_GB2312" w:cs="仿宋_GB2312"/>
          <w:sz w:val="32"/>
          <w:szCs w:val="32"/>
        </w:rPr>
        <w:t>39.</w:t>
      </w:r>
      <w:r>
        <w:rPr>
          <w:rFonts w:hint="eastAsia" w:ascii="仿宋_GB2312" w:hAnsi="仿宋" w:eastAsia="仿宋_GB2312" w:cs="仿宋_GB2312"/>
          <w:sz w:val="32"/>
          <w:szCs w:val="32"/>
        </w:rPr>
        <w:t>其他支出（类）其他政府性基金及对应专项债务收入安排的支出（款）其他地方自行试点项目收益专项债券收入安排的支出。</w:t>
      </w:r>
    </w:p>
    <w:sectPr>
      <w:footerReference r:id="rId3" w:type="default"/>
      <w:pgSz w:w="11907" w:h="16840"/>
      <w:pgMar w:top="1440" w:right="1701" w:bottom="1440" w:left="1701"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Times New Roman" w:hAnsi="Times New Roman" w:cs="Times New Roman"/>
      </w:rPr>
    </w:pPr>
    <w:r>
      <w:rPr>
        <w:rStyle w:val="8"/>
        <w:rFonts w:ascii="Times New Roman" w:hAnsi="Times New Roman" w:cs="Times New Roman"/>
      </w:rPr>
      <w:fldChar w:fldCharType="begin"/>
    </w:r>
    <w:r>
      <w:rPr>
        <w:rStyle w:val="8"/>
        <w:rFonts w:ascii="Times New Roman" w:hAnsi="Times New Roman" w:cs="Times New Roman"/>
      </w:rPr>
      <w:instrText xml:space="preserve">PAGE  </w:instrText>
    </w:r>
    <w:r>
      <w:rPr>
        <w:rStyle w:val="8"/>
        <w:rFonts w:ascii="Times New Roman" w:hAnsi="Times New Roman" w:cs="Times New Roman"/>
      </w:rPr>
      <w:fldChar w:fldCharType="separate"/>
    </w:r>
    <w:r>
      <w:rPr>
        <w:rStyle w:val="8"/>
        <w:rFonts w:ascii="Times New Roman" w:hAnsi="Times New Roman" w:cs="Times New Roman"/>
      </w:rPr>
      <w:t>- 15 -</w:t>
    </w:r>
    <w:r>
      <w:rPr>
        <w:rStyle w:val="8"/>
        <w:rFonts w:ascii="Times New Roman" w:hAnsi="Times New Roman" w:cs="Times New Roman"/>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noPunctuationKerning w:val="1"/>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E15"/>
    <w:rsid w:val="000271FC"/>
    <w:rsid w:val="000547BF"/>
    <w:rsid w:val="0009758F"/>
    <w:rsid w:val="000B3B91"/>
    <w:rsid w:val="000C0AA1"/>
    <w:rsid w:val="001369D6"/>
    <w:rsid w:val="00156CAE"/>
    <w:rsid w:val="001642A5"/>
    <w:rsid w:val="001657CC"/>
    <w:rsid w:val="00175AD0"/>
    <w:rsid w:val="001B1127"/>
    <w:rsid w:val="001C179A"/>
    <w:rsid w:val="001D1C0D"/>
    <w:rsid w:val="001E0B8E"/>
    <w:rsid w:val="0021290C"/>
    <w:rsid w:val="00230A73"/>
    <w:rsid w:val="0023668B"/>
    <w:rsid w:val="00264FAB"/>
    <w:rsid w:val="00270E15"/>
    <w:rsid w:val="002E27F0"/>
    <w:rsid w:val="002F3AF2"/>
    <w:rsid w:val="00325F66"/>
    <w:rsid w:val="00326887"/>
    <w:rsid w:val="003312B3"/>
    <w:rsid w:val="00352E06"/>
    <w:rsid w:val="003648A9"/>
    <w:rsid w:val="003A292E"/>
    <w:rsid w:val="003D2D9D"/>
    <w:rsid w:val="003D7D55"/>
    <w:rsid w:val="003F3365"/>
    <w:rsid w:val="003F634B"/>
    <w:rsid w:val="00406FBF"/>
    <w:rsid w:val="00434959"/>
    <w:rsid w:val="00434D9E"/>
    <w:rsid w:val="00474D98"/>
    <w:rsid w:val="00483D43"/>
    <w:rsid w:val="00490E66"/>
    <w:rsid w:val="004E4218"/>
    <w:rsid w:val="004F229C"/>
    <w:rsid w:val="00502C1A"/>
    <w:rsid w:val="00515185"/>
    <w:rsid w:val="00523653"/>
    <w:rsid w:val="00531128"/>
    <w:rsid w:val="0054389D"/>
    <w:rsid w:val="00587E17"/>
    <w:rsid w:val="005A3CA0"/>
    <w:rsid w:val="005B21F1"/>
    <w:rsid w:val="00602531"/>
    <w:rsid w:val="00614BE5"/>
    <w:rsid w:val="0063622B"/>
    <w:rsid w:val="006650C6"/>
    <w:rsid w:val="00682EDA"/>
    <w:rsid w:val="00684F9C"/>
    <w:rsid w:val="006A1191"/>
    <w:rsid w:val="006C6063"/>
    <w:rsid w:val="006F41F6"/>
    <w:rsid w:val="006F7A00"/>
    <w:rsid w:val="006F7EC4"/>
    <w:rsid w:val="007040A7"/>
    <w:rsid w:val="0070446F"/>
    <w:rsid w:val="007616D1"/>
    <w:rsid w:val="00765624"/>
    <w:rsid w:val="00774442"/>
    <w:rsid w:val="00786700"/>
    <w:rsid w:val="0078724C"/>
    <w:rsid w:val="00787DA6"/>
    <w:rsid w:val="007C33B4"/>
    <w:rsid w:val="00801E4E"/>
    <w:rsid w:val="0081072C"/>
    <w:rsid w:val="008229C2"/>
    <w:rsid w:val="0083290E"/>
    <w:rsid w:val="0089555D"/>
    <w:rsid w:val="008B5394"/>
    <w:rsid w:val="008F17C6"/>
    <w:rsid w:val="009062F4"/>
    <w:rsid w:val="00947210"/>
    <w:rsid w:val="00954B10"/>
    <w:rsid w:val="009666FA"/>
    <w:rsid w:val="009805F8"/>
    <w:rsid w:val="00992F50"/>
    <w:rsid w:val="009976DD"/>
    <w:rsid w:val="009A0C07"/>
    <w:rsid w:val="009A6ABB"/>
    <w:rsid w:val="009B0251"/>
    <w:rsid w:val="009C17DF"/>
    <w:rsid w:val="009C3353"/>
    <w:rsid w:val="009F574D"/>
    <w:rsid w:val="00A178A5"/>
    <w:rsid w:val="00A27D1C"/>
    <w:rsid w:val="00A3500F"/>
    <w:rsid w:val="00A44A84"/>
    <w:rsid w:val="00A62837"/>
    <w:rsid w:val="00A92428"/>
    <w:rsid w:val="00AE3295"/>
    <w:rsid w:val="00B64407"/>
    <w:rsid w:val="00B75BA1"/>
    <w:rsid w:val="00B90AC9"/>
    <w:rsid w:val="00BA6F0B"/>
    <w:rsid w:val="00C14676"/>
    <w:rsid w:val="00C2498C"/>
    <w:rsid w:val="00C322CB"/>
    <w:rsid w:val="00C943F7"/>
    <w:rsid w:val="00CA6259"/>
    <w:rsid w:val="00CB36D2"/>
    <w:rsid w:val="00CB5798"/>
    <w:rsid w:val="00CD3984"/>
    <w:rsid w:val="00CE248E"/>
    <w:rsid w:val="00D0405D"/>
    <w:rsid w:val="00D32D15"/>
    <w:rsid w:val="00D47AEE"/>
    <w:rsid w:val="00D560E3"/>
    <w:rsid w:val="00D86D5E"/>
    <w:rsid w:val="00DE4DC4"/>
    <w:rsid w:val="00DF1F6A"/>
    <w:rsid w:val="00E00383"/>
    <w:rsid w:val="00E1527E"/>
    <w:rsid w:val="00E1632B"/>
    <w:rsid w:val="00E202BE"/>
    <w:rsid w:val="00E55EA7"/>
    <w:rsid w:val="00E620DE"/>
    <w:rsid w:val="00E740DA"/>
    <w:rsid w:val="00E77660"/>
    <w:rsid w:val="00E849B8"/>
    <w:rsid w:val="00ED3C8F"/>
    <w:rsid w:val="00EF6C21"/>
    <w:rsid w:val="00F014AF"/>
    <w:rsid w:val="00F0255C"/>
    <w:rsid w:val="00F02EFD"/>
    <w:rsid w:val="00F36CC9"/>
    <w:rsid w:val="00F70EE0"/>
    <w:rsid w:val="00F81EFC"/>
    <w:rsid w:val="00F97FD2"/>
    <w:rsid w:val="00FC6E5E"/>
    <w:rsid w:val="00FD3062"/>
    <w:rsid w:val="00FE78C7"/>
    <w:rsid w:val="00FE7EAC"/>
    <w:rsid w:val="00FF48C2"/>
    <w:rsid w:val="7AC27A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spacing w:before="100" w:beforeAutospacing="1" w:after="100" w:afterAutospacing="1"/>
    </w:pPr>
  </w:style>
  <w:style w:type="character" w:styleId="7">
    <w:name w:val="Strong"/>
    <w:basedOn w:val="6"/>
    <w:qFormat/>
    <w:uiPriority w:val="0"/>
    <w:rPr>
      <w:b/>
      <w:bCs/>
    </w:rPr>
  </w:style>
  <w:style w:type="character" w:styleId="8">
    <w:name w:val="page number"/>
    <w:basedOn w:val="6"/>
    <w:uiPriority w:val="99"/>
  </w:style>
  <w:style w:type="character" w:customStyle="1" w:styleId="9">
    <w:name w:val="页眉 Char"/>
    <w:basedOn w:val="6"/>
    <w:link w:val="3"/>
    <w:semiHidden/>
    <w:locked/>
    <w:uiPriority w:val="99"/>
    <w:rPr>
      <w:rFonts w:ascii="宋体" w:hAnsi="宋体" w:eastAsia="宋体" w:cs="宋体"/>
      <w:sz w:val="18"/>
      <w:szCs w:val="18"/>
    </w:rPr>
  </w:style>
  <w:style w:type="character" w:customStyle="1" w:styleId="10">
    <w:name w:val="页脚 Char"/>
    <w:basedOn w:val="6"/>
    <w:link w:val="2"/>
    <w:semiHidden/>
    <w:locked/>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98993-FC1B-4C6A-8F6F-59EEE183ECF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2344</Words>
  <Characters>13362</Characters>
  <Lines>111</Lines>
  <Paragraphs>31</Paragraphs>
  <TotalTime>2037</TotalTime>
  <ScaleCrop>false</ScaleCrop>
  <LinksUpToDate>false</LinksUpToDate>
  <CharactersWithSpaces>15675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2021-09-15T00:46:00Z</dcterms:created>
  <dc:creator>Administrator</dc:creator>
  <cp:lastModifiedBy>张立志</cp:lastModifiedBy>
  <cp:lastPrinted>2021-09-24T01:26:00Z</cp:lastPrinted>
  <dcterms:modified xsi:type="dcterms:W3CDTF">2021-09-26T02:44:32Z</dcterms:modified>
  <dc:title>DWZDM</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