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07" w:rsidRPr="00B4234C" w:rsidRDefault="00D82307" w:rsidP="00D82307">
      <w:pPr>
        <w:jc w:val="center"/>
        <w:rPr>
          <w:rFonts w:eastAsia="方正小标宋简体"/>
          <w:kern w:val="0"/>
          <w:sz w:val="44"/>
          <w:szCs w:val="44"/>
        </w:rPr>
      </w:pPr>
      <w:r w:rsidRPr="00074FD9">
        <w:rPr>
          <w:rFonts w:eastAsia="方正小标宋简体" w:hint="eastAsia"/>
          <w:kern w:val="0"/>
          <w:sz w:val="44"/>
          <w:szCs w:val="44"/>
        </w:rPr>
        <w:t>温岭市评标专家评价考核管理办法</w:t>
      </w:r>
    </w:p>
    <w:p w:rsidR="00D82307" w:rsidRPr="00074FD9" w:rsidRDefault="00D82307" w:rsidP="00D82307">
      <w:pPr>
        <w:snapToGrid w:val="0"/>
        <w:spacing w:line="360" w:lineRule="auto"/>
        <w:jc w:val="center"/>
        <w:rPr>
          <w:rFonts w:eastAsia="黑体"/>
          <w:kern w:val="0"/>
        </w:rPr>
      </w:pP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为加强对工程建设项目招投标评标专家的管理，规范评标行为，提高评标质量，根据《关于进一步规范温岭市工程建设项目招标投标相关事项管理的通知》（温公管【</w:t>
      </w:r>
      <w:r w:rsidRPr="002D3DCE">
        <w:rPr>
          <w:rFonts w:ascii="仿宋_GB2312" w:eastAsia="仿宋_GB2312"/>
          <w:kern w:val="0"/>
          <w:sz w:val="32"/>
          <w:szCs w:val="32"/>
        </w:rPr>
        <w:t>2019</w:t>
      </w:r>
      <w:r w:rsidRPr="002D3DCE">
        <w:rPr>
          <w:rFonts w:ascii="仿宋_GB2312" w:eastAsia="仿宋_GB2312" w:hint="eastAsia"/>
          <w:kern w:val="0"/>
          <w:sz w:val="32"/>
          <w:szCs w:val="32"/>
        </w:rPr>
        <w:t>】</w:t>
      </w:r>
      <w:r w:rsidRPr="002D3DCE">
        <w:rPr>
          <w:rFonts w:ascii="仿宋_GB2312" w:eastAsia="仿宋_GB2312"/>
          <w:kern w:val="0"/>
          <w:sz w:val="32"/>
          <w:szCs w:val="32"/>
        </w:rPr>
        <w:t>3</w:t>
      </w:r>
      <w:r w:rsidRPr="002D3DCE">
        <w:rPr>
          <w:rFonts w:ascii="仿宋_GB2312" w:eastAsia="仿宋_GB2312" w:hint="eastAsia"/>
          <w:kern w:val="0"/>
          <w:sz w:val="32"/>
          <w:szCs w:val="32"/>
        </w:rPr>
        <w:t>号）等规定，结合本市实际，制定本办法。</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本办法适用于参加温岭市范围内工程建设项目招投标评标专家的评价考核及管理工作。</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评标专家评价考核以日常评价和综合考核相结合，考核结果记入评标专家个人信用档案。考核工作坚持统一标准、客观公正、实事求是的原则。</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温岭市公共资源交易管理委员会（以下简称市公管委）负责全市评标专家的考核、监督和管理工作，建立全市评标专家信用信息档案，对全市评标专家实行动态管理。市公管委负责组织协调招标人（招标代理机构）对评标专家进行日常评价，汇总上报评价考核及相关处理结果。</w:t>
      </w:r>
      <w:r w:rsidRPr="002D3DCE">
        <w:rPr>
          <w:rFonts w:ascii="仿宋_GB2312" w:eastAsia="仿宋_GB2312"/>
          <w:kern w:val="0"/>
          <w:sz w:val="32"/>
          <w:szCs w:val="32"/>
        </w:rPr>
        <w:t> </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评价考核对象分为浙江省综合性评标专家</w:t>
      </w:r>
      <w:proofErr w:type="gramStart"/>
      <w:r w:rsidRPr="002D3DCE">
        <w:rPr>
          <w:rFonts w:ascii="仿宋_GB2312" w:eastAsia="仿宋_GB2312" w:hint="eastAsia"/>
          <w:kern w:val="0"/>
          <w:sz w:val="32"/>
          <w:szCs w:val="32"/>
        </w:rPr>
        <w:t>库专家</w:t>
      </w:r>
      <w:proofErr w:type="gramEnd"/>
      <w:r w:rsidRPr="002D3DCE">
        <w:rPr>
          <w:rFonts w:ascii="仿宋_GB2312" w:eastAsia="仿宋_GB2312" w:hint="eastAsia"/>
          <w:kern w:val="0"/>
          <w:sz w:val="32"/>
          <w:szCs w:val="32"/>
        </w:rPr>
        <w:t>和温岭库专家。</w:t>
      </w:r>
    </w:p>
    <w:p w:rsidR="00D82307" w:rsidRPr="002D3DCE" w:rsidRDefault="00D82307" w:rsidP="00D82307">
      <w:pPr>
        <w:snapToGrid w:val="0"/>
        <w:spacing w:line="560" w:lineRule="exact"/>
        <w:ind w:firstLineChars="200" w:firstLine="640"/>
        <w:rPr>
          <w:rFonts w:ascii="黑体" w:eastAsia="黑体" w:hAnsi="黑体"/>
          <w:kern w:val="0"/>
          <w:sz w:val="32"/>
          <w:szCs w:val="32"/>
        </w:rPr>
      </w:pPr>
      <w:r w:rsidRPr="002D3DCE">
        <w:rPr>
          <w:rFonts w:ascii="黑体" w:eastAsia="黑体" w:hAnsi="黑体" w:hint="eastAsia"/>
          <w:kern w:val="0"/>
          <w:sz w:val="32"/>
          <w:szCs w:val="32"/>
        </w:rPr>
        <w:t>一、浙江省综合性评标专家</w:t>
      </w:r>
      <w:proofErr w:type="gramStart"/>
      <w:r w:rsidRPr="002D3DCE">
        <w:rPr>
          <w:rFonts w:ascii="黑体" w:eastAsia="黑体" w:hAnsi="黑体" w:hint="eastAsia"/>
          <w:kern w:val="0"/>
          <w:sz w:val="32"/>
          <w:szCs w:val="32"/>
        </w:rPr>
        <w:t>库专家</w:t>
      </w:r>
      <w:proofErr w:type="gramEnd"/>
      <w:r w:rsidRPr="002D3DCE">
        <w:rPr>
          <w:rFonts w:ascii="黑体" w:eastAsia="黑体" w:hAnsi="黑体" w:hint="eastAsia"/>
          <w:kern w:val="0"/>
          <w:sz w:val="32"/>
          <w:szCs w:val="32"/>
        </w:rPr>
        <w:t>的考核</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从浙江省综合性评标专家库抽取的专家，根据《关于印发台州市评标专家评价考核管理办法（试行）的通知》（</w:t>
      </w:r>
      <w:proofErr w:type="gramStart"/>
      <w:r w:rsidRPr="002D3DCE">
        <w:rPr>
          <w:rFonts w:ascii="仿宋_GB2312" w:eastAsia="仿宋_GB2312" w:hint="eastAsia"/>
          <w:kern w:val="0"/>
          <w:sz w:val="32"/>
          <w:szCs w:val="32"/>
        </w:rPr>
        <w:t>台公管办</w:t>
      </w:r>
      <w:proofErr w:type="gramEnd"/>
      <w:r w:rsidRPr="002D3DCE">
        <w:rPr>
          <w:rFonts w:ascii="仿宋_GB2312" w:eastAsia="仿宋_GB2312" w:hint="eastAsia"/>
          <w:kern w:val="0"/>
          <w:sz w:val="32"/>
          <w:szCs w:val="32"/>
        </w:rPr>
        <w:t>〔</w:t>
      </w:r>
      <w:r w:rsidRPr="002D3DCE">
        <w:rPr>
          <w:rFonts w:ascii="仿宋_GB2312" w:eastAsia="仿宋_GB2312"/>
          <w:kern w:val="0"/>
          <w:sz w:val="32"/>
          <w:szCs w:val="32"/>
        </w:rPr>
        <w:t>2018</w:t>
      </w:r>
      <w:r w:rsidRPr="002D3DCE">
        <w:rPr>
          <w:rFonts w:ascii="仿宋_GB2312" w:eastAsia="仿宋_GB2312" w:hint="eastAsia"/>
          <w:kern w:val="0"/>
          <w:sz w:val="32"/>
          <w:szCs w:val="32"/>
        </w:rPr>
        <w:t>〕</w:t>
      </w:r>
      <w:r w:rsidRPr="002D3DCE">
        <w:rPr>
          <w:rFonts w:ascii="仿宋_GB2312" w:eastAsia="仿宋_GB2312"/>
          <w:kern w:val="0"/>
          <w:sz w:val="32"/>
          <w:szCs w:val="32"/>
        </w:rPr>
        <w:t>3</w:t>
      </w:r>
      <w:r w:rsidRPr="002D3DCE">
        <w:rPr>
          <w:rFonts w:ascii="仿宋_GB2312" w:eastAsia="仿宋_GB2312" w:hint="eastAsia"/>
          <w:kern w:val="0"/>
          <w:sz w:val="32"/>
          <w:szCs w:val="32"/>
        </w:rPr>
        <w:t>号）文件的规定，由温岭市公管委汇总专家不良行</w:t>
      </w:r>
      <w:r w:rsidRPr="002D3DCE">
        <w:rPr>
          <w:rFonts w:ascii="仿宋_GB2312" w:eastAsia="仿宋_GB2312" w:hint="eastAsia"/>
          <w:kern w:val="0"/>
          <w:sz w:val="32"/>
          <w:szCs w:val="32"/>
        </w:rPr>
        <w:lastRenderedPageBreak/>
        <w:t>为情况，在每月月底前报送给台州市公管办（见附表</w:t>
      </w:r>
      <w:r w:rsidRPr="002D3DCE">
        <w:rPr>
          <w:rFonts w:ascii="仿宋_GB2312" w:eastAsia="仿宋_GB2312"/>
          <w:kern w:val="0"/>
          <w:sz w:val="32"/>
          <w:szCs w:val="32"/>
        </w:rPr>
        <w:t>5</w:t>
      </w:r>
      <w:r w:rsidRPr="002D3DCE">
        <w:rPr>
          <w:rFonts w:ascii="仿宋_GB2312" w:eastAsia="仿宋_GB2312" w:hint="eastAsia"/>
          <w:kern w:val="0"/>
          <w:sz w:val="32"/>
          <w:szCs w:val="32"/>
        </w:rPr>
        <w:t>）。</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若有不良行为的专家同时在温岭市库中，由市公管委以温岭市评标专家库的考核办法一并进行处理并公示。</w:t>
      </w:r>
    </w:p>
    <w:p w:rsidR="00D82307" w:rsidRPr="002D3DCE" w:rsidRDefault="00D82307" w:rsidP="00D82307">
      <w:pPr>
        <w:snapToGrid w:val="0"/>
        <w:spacing w:line="560" w:lineRule="exact"/>
        <w:ind w:firstLineChars="200" w:firstLine="640"/>
        <w:rPr>
          <w:rFonts w:ascii="黑体" w:eastAsia="黑体" w:hAnsi="黑体"/>
          <w:kern w:val="0"/>
          <w:sz w:val="32"/>
          <w:szCs w:val="32"/>
        </w:rPr>
      </w:pPr>
      <w:r w:rsidRPr="002D3DCE">
        <w:rPr>
          <w:rFonts w:ascii="黑体" w:eastAsia="黑体" w:hAnsi="黑体" w:hint="eastAsia"/>
          <w:kern w:val="0"/>
          <w:sz w:val="32"/>
          <w:szCs w:val="32"/>
        </w:rPr>
        <w:t>二、温岭市评标专家</w:t>
      </w:r>
      <w:proofErr w:type="gramStart"/>
      <w:r w:rsidRPr="002D3DCE">
        <w:rPr>
          <w:rFonts w:ascii="黑体" w:eastAsia="黑体" w:hAnsi="黑体" w:hint="eastAsia"/>
          <w:kern w:val="0"/>
          <w:sz w:val="32"/>
          <w:szCs w:val="32"/>
        </w:rPr>
        <w:t>库专家</w:t>
      </w:r>
      <w:proofErr w:type="gramEnd"/>
      <w:r w:rsidRPr="002D3DCE">
        <w:rPr>
          <w:rFonts w:ascii="黑体" w:eastAsia="黑体" w:hAnsi="黑体" w:hint="eastAsia"/>
          <w:kern w:val="0"/>
          <w:sz w:val="32"/>
          <w:szCs w:val="32"/>
        </w:rPr>
        <w:t>的考核</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（一）考核方式和流程</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1</w:t>
      </w:r>
      <w:r w:rsidRPr="002D3DCE">
        <w:rPr>
          <w:rFonts w:ascii="仿宋_GB2312" w:eastAsia="仿宋_GB2312" w:hint="eastAsia"/>
          <w:kern w:val="0"/>
          <w:sz w:val="32"/>
          <w:szCs w:val="32"/>
        </w:rPr>
        <w:t>、日常评价。日常评价责任单位按照“</w:t>
      </w:r>
      <w:proofErr w:type="gramStart"/>
      <w:r w:rsidRPr="002D3DCE">
        <w:rPr>
          <w:rFonts w:ascii="仿宋_GB2312" w:eastAsia="仿宋_GB2312" w:hint="eastAsia"/>
          <w:kern w:val="0"/>
          <w:sz w:val="32"/>
          <w:szCs w:val="32"/>
        </w:rPr>
        <w:t>一</w:t>
      </w:r>
      <w:proofErr w:type="gramEnd"/>
      <w:r w:rsidRPr="002D3DCE">
        <w:rPr>
          <w:rFonts w:ascii="仿宋_GB2312" w:eastAsia="仿宋_GB2312" w:hint="eastAsia"/>
          <w:kern w:val="0"/>
          <w:sz w:val="32"/>
          <w:szCs w:val="32"/>
        </w:rPr>
        <w:t>标一评”的要求，对评标专家进行量化评价。</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从温岭评标专家库中抽取的专家，若有不良行为的，招标人（招标代理机构）应及时向市公管委报送评标专家具体不良行为情况（见附表</w:t>
      </w:r>
      <w:r w:rsidRPr="002D3DCE">
        <w:rPr>
          <w:rFonts w:ascii="仿宋_GB2312" w:eastAsia="仿宋_GB2312"/>
          <w:kern w:val="0"/>
          <w:sz w:val="32"/>
          <w:szCs w:val="32"/>
        </w:rPr>
        <w:t>3</w:t>
      </w:r>
      <w:r w:rsidRPr="002D3DCE">
        <w:rPr>
          <w:rFonts w:ascii="仿宋_GB2312" w:eastAsia="仿宋_GB2312" w:hint="eastAsia"/>
          <w:kern w:val="0"/>
          <w:sz w:val="32"/>
          <w:szCs w:val="32"/>
        </w:rPr>
        <w:t>），由市公管委汇总评标专家具体不良行为情况并公示处理结果。</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2</w:t>
      </w:r>
      <w:r w:rsidRPr="002D3DCE">
        <w:rPr>
          <w:rFonts w:ascii="仿宋_GB2312" w:eastAsia="仿宋_GB2312" w:hint="eastAsia"/>
          <w:kern w:val="0"/>
          <w:sz w:val="32"/>
          <w:szCs w:val="32"/>
        </w:rPr>
        <w:t>、综合考核。市公管委根据汇总的日常评价情况，对存在扣分情形的评标专家建立综合考核档案，对在一个计分周期内扣分达到一定分值的评标专家，按照本办法有关规定</w:t>
      </w:r>
      <w:proofErr w:type="gramStart"/>
      <w:r w:rsidRPr="002D3DCE">
        <w:rPr>
          <w:rFonts w:ascii="仿宋_GB2312" w:eastAsia="仿宋_GB2312" w:hint="eastAsia"/>
          <w:kern w:val="0"/>
          <w:sz w:val="32"/>
          <w:szCs w:val="32"/>
        </w:rPr>
        <w:t>作出</w:t>
      </w:r>
      <w:proofErr w:type="gramEnd"/>
      <w:r w:rsidRPr="002D3DCE">
        <w:rPr>
          <w:rFonts w:ascii="仿宋_GB2312" w:eastAsia="仿宋_GB2312" w:hint="eastAsia"/>
          <w:kern w:val="0"/>
          <w:sz w:val="32"/>
          <w:szCs w:val="32"/>
        </w:rPr>
        <w:t>处理决定。</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3</w:t>
      </w:r>
      <w:r w:rsidRPr="002D3DCE">
        <w:rPr>
          <w:rFonts w:ascii="仿宋_GB2312" w:eastAsia="仿宋_GB2312" w:hint="eastAsia"/>
          <w:kern w:val="0"/>
          <w:sz w:val="32"/>
          <w:szCs w:val="32"/>
        </w:rPr>
        <w:t>、考核周期。综合考核以一年为一个周期，采用百分制，初始分为</w:t>
      </w:r>
      <w:r w:rsidRPr="002D3DCE">
        <w:rPr>
          <w:rFonts w:ascii="仿宋_GB2312" w:eastAsia="仿宋_GB2312"/>
          <w:kern w:val="0"/>
          <w:sz w:val="32"/>
          <w:szCs w:val="32"/>
        </w:rPr>
        <w:t>100</w:t>
      </w:r>
      <w:r w:rsidRPr="002D3DCE">
        <w:rPr>
          <w:rFonts w:ascii="仿宋_GB2312" w:eastAsia="仿宋_GB2312" w:hint="eastAsia"/>
          <w:kern w:val="0"/>
          <w:sz w:val="32"/>
          <w:szCs w:val="32"/>
        </w:rPr>
        <w:t>分。一个周期结束后其累计扣分值予以清零，不再转入下一个周期。</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（二）考核内容</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1</w:t>
      </w:r>
      <w:r w:rsidRPr="002D3DCE">
        <w:rPr>
          <w:rFonts w:ascii="仿宋_GB2312" w:eastAsia="仿宋_GB2312" w:hint="eastAsia"/>
          <w:kern w:val="0"/>
          <w:sz w:val="32"/>
          <w:szCs w:val="32"/>
        </w:rPr>
        <w:t>、招标人（招标代理机构）负责对评标专家的下列情形进行评价（详见附表</w:t>
      </w:r>
      <w:r w:rsidRPr="002D3DCE">
        <w:rPr>
          <w:rFonts w:ascii="仿宋_GB2312" w:eastAsia="仿宋_GB2312"/>
          <w:kern w:val="0"/>
          <w:sz w:val="32"/>
          <w:szCs w:val="32"/>
        </w:rPr>
        <w:t>1</w:t>
      </w:r>
      <w:r w:rsidRPr="002D3DCE">
        <w:rPr>
          <w:rFonts w:ascii="仿宋_GB2312" w:eastAsia="仿宋_GB2312" w:hint="eastAsia"/>
          <w:kern w:val="0"/>
          <w:sz w:val="32"/>
          <w:szCs w:val="32"/>
        </w:rPr>
        <w:t>）；</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2</w:t>
      </w:r>
      <w:r w:rsidRPr="002D3DCE">
        <w:rPr>
          <w:rFonts w:ascii="仿宋_GB2312" w:eastAsia="仿宋_GB2312" w:hint="eastAsia"/>
          <w:kern w:val="0"/>
          <w:sz w:val="32"/>
          <w:szCs w:val="32"/>
        </w:rPr>
        <w:t>、市公管委负责对评标专家的下列情形进行评价（详见附</w:t>
      </w:r>
      <w:r w:rsidRPr="002D3DCE">
        <w:rPr>
          <w:rFonts w:ascii="仿宋_GB2312" w:eastAsia="仿宋_GB2312" w:hint="eastAsia"/>
          <w:kern w:val="0"/>
          <w:sz w:val="32"/>
          <w:szCs w:val="32"/>
        </w:rPr>
        <w:lastRenderedPageBreak/>
        <w:t>表</w:t>
      </w:r>
      <w:r w:rsidRPr="002D3DCE">
        <w:rPr>
          <w:rFonts w:ascii="仿宋_GB2312" w:eastAsia="仿宋_GB2312"/>
          <w:kern w:val="0"/>
          <w:sz w:val="32"/>
          <w:szCs w:val="32"/>
        </w:rPr>
        <w:t>2</w:t>
      </w:r>
      <w:r w:rsidRPr="002D3DCE">
        <w:rPr>
          <w:rFonts w:ascii="仿宋_GB2312" w:eastAsia="仿宋_GB2312" w:hint="eastAsia"/>
          <w:kern w:val="0"/>
          <w:sz w:val="32"/>
          <w:szCs w:val="32"/>
        </w:rPr>
        <w:t>）；</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3</w:t>
      </w:r>
      <w:r w:rsidRPr="002D3DCE">
        <w:rPr>
          <w:rFonts w:ascii="仿宋_GB2312" w:eastAsia="仿宋_GB2312" w:hint="eastAsia"/>
          <w:kern w:val="0"/>
          <w:sz w:val="32"/>
          <w:szCs w:val="32"/>
        </w:rPr>
        <w:t>、以下法律文书中认定的评标专家行为，符合附表</w:t>
      </w:r>
      <w:r w:rsidRPr="002D3DCE">
        <w:rPr>
          <w:rFonts w:ascii="仿宋_GB2312" w:eastAsia="仿宋_GB2312"/>
          <w:kern w:val="0"/>
          <w:sz w:val="32"/>
          <w:szCs w:val="32"/>
        </w:rPr>
        <w:t>1</w:t>
      </w:r>
      <w:r w:rsidRPr="002D3DCE">
        <w:rPr>
          <w:rFonts w:ascii="仿宋_GB2312" w:eastAsia="仿宋_GB2312" w:hint="eastAsia"/>
          <w:kern w:val="0"/>
          <w:sz w:val="32"/>
          <w:szCs w:val="32"/>
        </w:rPr>
        <w:t>和附表</w:t>
      </w:r>
      <w:r w:rsidRPr="002D3DCE">
        <w:rPr>
          <w:rFonts w:ascii="仿宋_GB2312" w:eastAsia="仿宋_GB2312"/>
          <w:kern w:val="0"/>
          <w:sz w:val="32"/>
          <w:szCs w:val="32"/>
        </w:rPr>
        <w:t>2</w:t>
      </w:r>
      <w:r w:rsidRPr="002D3DCE">
        <w:rPr>
          <w:rFonts w:ascii="仿宋_GB2312" w:eastAsia="仿宋_GB2312" w:hint="eastAsia"/>
          <w:kern w:val="0"/>
          <w:sz w:val="32"/>
          <w:szCs w:val="32"/>
        </w:rPr>
        <w:t>中规定的，可以直接认定为不良行为并按照规定扣分：</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w:t>
      </w:r>
      <w:r w:rsidRPr="002D3DCE">
        <w:rPr>
          <w:rFonts w:ascii="仿宋_GB2312" w:eastAsia="仿宋_GB2312"/>
          <w:kern w:val="0"/>
          <w:sz w:val="32"/>
          <w:szCs w:val="32"/>
        </w:rPr>
        <w:t>1</w:t>
      </w:r>
      <w:r w:rsidRPr="002D3DCE">
        <w:rPr>
          <w:rFonts w:ascii="仿宋_GB2312" w:eastAsia="仿宋_GB2312" w:hint="eastAsia"/>
          <w:kern w:val="0"/>
          <w:sz w:val="32"/>
          <w:szCs w:val="32"/>
        </w:rPr>
        <w:t>）行政机关生效的行政处罚决定书；</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w:t>
      </w:r>
      <w:r w:rsidRPr="002D3DCE">
        <w:rPr>
          <w:rFonts w:ascii="仿宋_GB2312" w:eastAsia="仿宋_GB2312"/>
          <w:kern w:val="0"/>
          <w:sz w:val="32"/>
          <w:szCs w:val="32"/>
        </w:rPr>
        <w:t>2</w:t>
      </w:r>
      <w:r w:rsidRPr="002D3DCE">
        <w:rPr>
          <w:rFonts w:ascii="仿宋_GB2312" w:eastAsia="仿宋_GB2312" w:hint="eastAsia"/>
          <w:kern w:val="0"/>
          <w:sz w:val="32"/>
          <w:szCs w:val="32"/>
        </w:rPr>
        <w:t>）发生法律效力的判决书；</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w:t>
      </w:r>
      <w:r w:rsidRPr="002D3DCE">
        <w:rPr>
          <w:rFonts w:ascii="仿宋_GB2312" w:eastAsia="仿宋_GB2312"/>
          <w:kern w:val="0"/>
          <w:sz w:val="32"/>
          <w:szCs w:val="32"/>
        </w:rPr>
        <w:t>3</w:t>
      </w:r>
      <w:r w:rsidRPr="002D3DCE">
        <w:rPr>
          <w:rFonts w:ascii="仿宋_GB2312" w:eastAsia="仿宋_GB2312" w:hint="eastAsia"/>
          <w:kern w:val="0"/>
          <w:sz w:val="32"/>
          <w:szCs w:val="32"/>
        </w:rPr>
        <w:t>）仲裁机构的生效裁定书；</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w:t>
      </w:r>
      <w:r w:rsidRPr="002D3DCE">
        <w:rPr>
          <w:rFonts w:ascii="仿宋_GB2312" w:eastAsia="仿宋_GB2312"/>
          <w:kern w:val="0"/>
          <w:sz w:val="32"/>
          <w:szCs w:val="32"/>
        </w:rPr>
        <w:t>4</w:t>
      </w:r>
      <w:r w:rsidRPr="002D3DCE">
        <w:rPr>
          <w:rFonts w:ascii="仿宋_GB2312" w:eastAsia="仿宋_GB2312" w:hint="eastAsia"/>
          <w:kern w:val="0"/>
          <w:sz w:val="32"/>
          <w:szCs w:val="32"/>
        </w:rPr>
        <w:t>）有效的公证文书。</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（三）考核结果的公开</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评标专家有不良行为扣分记录的，市公管委向本人发送《评标专家不良行为认定与记录告知单》。</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评标专家综合考核分数低于</w:t>
      </w:r>
      <w:r w:rsidRPr="002D3DCE">
        <w:rPr>
          <w:rFonts w:ascii="仿宋_GB2312" w:eastAsia="仿宋_GB2312"/>
          <w:kern w:val="0"/>
          <w:sz w:val="32"/>
          <w:szCs w:val="32"/>
        </w:rPr>
        <w:t>80</w:t>
      </w:r>
      <w:r w:rsidRPr="002D3DCE">
        <w:rPr>
          <w:rFonts w:ascii="仿宋_GB2312" w:eastAsia="仿宋_GB2312" w:hint="eastAsia"/>
          <w:kern w:val="0"/>
          <w:sz w:val="32"/>
          <w:szCs w:val="32"/>
        </w:rPr>
        <w:t>分（含本数），通报批评并暂停评标资格</w:t>
      </w:r>
      <w:r w:rsidRPr="002D3DCE">
        <w:rPr>
          <w:rFonts w:ascii="仿宋_GB2312" w:eastAsia="仿宋_GB2312"/>
          <w:kern w:val="0"/>
          <w:sz w:val="32"/>
          <w:szCs w:val="32"/>
        </w:rPr>
        <w:t>6</w:t>
      </w:r>
      <w:r w:rsidRPr="002D3DCE">
        <w:rPr>
          <w:rFonts w:ascii="仿宋_GB2312" w:eastAsia="仿宋_GB2312" w:hint="eastAsia"/>
          <w:kern w:val="0"/>
          <w:sz w:val="32"/>
          <w:szCs w:val="32"/>
        </w:rPr>
        <w:t>个月的，公示期为</w:t>
      </w:r>
      <w:r w:rsidRPr="002D3DCE">
        <w:rPr>
          <w:rFonts w:ascii="仿宋_GB2312" w:eastAsia="仿宋_GB2312"/>
          <w:kern w:val="0"/>
          <w:sz w:val="32"/>
          <w:szCs w:val="32"/>
        </w:rPr>
        <w:t>6</w:t>
      </w:r>
      <w:r w:rsidRPr="002D3DCE">
        <w:rPr>
          <w:rFonts w:ascii="仿宋_GB2312" w:eastAsia="仿宋_GB2312" w:hint="eastAsia"/>
          <w:kern w:val="0"/>
          <w:sz w:val="32"/>
          <w:szCs w:val="32"/>
        </w:rPr>
        <w:t>个月。</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被取消评标专家资格的，公示期限为</w:t>
      </w:r>
      <w:r w:rsidRPr="002D3DCE">
        <w:rPr>
          <w:rFonts w:ascii="仿宋_GB2312" w:eastAsia="仿宋_GB2312"/>
          <w:kern w:val="0"/>
          <w:sz w:val="32"/>
          <w:szCs w:val="32"/>
        </w:rPr>
        <w:t>1</w:t>
      </w:r>
      <w:r w:rsidRPr="002D3DCE">
        <w:rPr>
          <w:rFonts w:ascii="仿宋_GB2312" w:eastAsia="仿宋_GB2312" w:hint="eastAsia"/>
          <w:kern w:val="0"/>
          <w:sz w:val="32"/>
          <w:szCs w:val="32"/>
        </w:rPr>
        <w:t>年。</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本条规定的公示期限低于行政处罚禁止参加招标项目评标活动期限的，以行政处罚决定的期限作为公示期限。</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不良行为记录公示内容主要包括评标专家姓名、不良行为内容、处理结果、处理依据、处理日期、处理部门和公示期限等。</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（四）考核结果的应用</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评标专家综合考核分数低于</w:t>
      </w:r>
      <w:r w:rsidRPr="002D3DCE">
        <w:rPr>
          <w:rFonts w:ascii="仿宋_GB2312" w:eastAsia="仿宋_GB2312"/>
          <w:kern w:val="0"/>
          <w:sz w:val="32"/>
          <w:szCs w:val="32"/>
        </w:rPr>
        <w:t>80</w:t>
      </w:r>
      <w:r w:rsidRPr="002D3DCE">
        <w:rPr>
          <w:rFonts w:ascii="仿宋_GB2312" w:eastAsia="仿宋_GB2312" w:hint="eastAsia"/>
          <w:kern w:val="0"/>
          <w:sz w:val="32"/>
          <w:szCs w:val="32"/>
        </w:rPr>
        <w:t>分（含本数）的，给予通报批评并暂停评标资格</w:t>
      </w:r>
      <w:r w:rsidRPr="002D3DCE">
        <w:rPr>
          <w:rFonts w:ascii="仿宋_GB2312" w:eastAsia="仿宋_GB2312"/>
          <w:kern w:val="0"/>
          <w:sz w:val="32"/>
          <w:szCs w:val="32"/>
        </w:rPr>
        <w:t>6</w:t>
      </w:r>
      <w:r w:rsidRPr="002D3DCE">
        <w:rPr>
          <w:rFonts w:ascii="仿宋_GB2312" w:eastAsia="仿宋_GB2312" w:hint="eastAsia"/>
          <w:kern w:val="0"/>
          <w:sz w:val="32"/>
          <w:szCs w:val="32"/>
        </w:rPr>
        <w:t>个月。在考核周期内，恢复评标资格后，再次累计扣分</w:t>
      </w:r>
      <w:r w:rsidRPr="002D3DCE">
        <w:rPr>
          <w:rFonts w:ascii="仿宋_GB2312" w:eastAsia="仿宋_GB2312"/>
          <w:kern w:val="0"/>
          <w:sz w:val="32"/>
          <w:szCs w:val="32"/>
        </w:rPr>
        <w:t>20</w:t>
      </w:r>
      <w:r w:rsidRPr="002D3DCE">
        <w:rPr>
          <w:rFonts w:ascii="仿宋_GB2312" w:eastAsia="仿宋_GB2312" w:hint="eastAsia"/>
          <w:kern w:val="0"/>
          <w:sz w:val="32"/>
          <w:szCs w:val="32"/>
        </w:rPr>
        <w:t>分（含本数）以上的，再次给予通报批评和暂</w:t>
      </w:r>
      <w:r w:rsidRPr="002D3DCE">
        <w:rPr>
          <w:rFonts w:ascii="仿宋_GB2312" w:eastAsia="仿宋_GB2312" w:hint="eastAsia"/>
          <w:kern w:val="0"/>
          <w:sz w:val="32"/>
          <w:szCs w:val="32"/>
        </w:rPr>
        <w:lastRenderedPageBreak/>
        <w:t>停评标资格</w:t>
      </w:r>
      <w:r w:rsidRPr="002D3DCE">
        <w:rPr>
          <w:rFonts w:ascii="仿宋_GB2312" w:eastAsia="仿宋_GB2312"/>
          <w:kern w:val="0"/>
          <w:sz w:val="32"/>
          <w:szCs w:val="32"/>
        </w:rPr>
        <w:t>6</w:t>
      </w:r>
      <w:r w:rsidRPr="002D3DCE">
        <w:rPr>
          <w:rFonts w:ascii="仿宋_GB2312" w:eastAsia="仿宋_GB2312" w:hint="eastAsia"/>
          <w:kern w:val="0"/>
          <w:sz w:val="32"/>
          <w:szCs w:val="32"/>
        </w:rPr>
        <w:t>个月。</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行政处罚禁止其参加评标活动的期限长于本条规定的，以行政处罚时限为准。</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被暂停评标资格的专家，暂停期满后，需本人向市公管委提出申请，经相关程序后恢复其评标资格。</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hint="eastAsia"/>
          <w:kern w:val="0"/>
          <w:sz w:val="32"/>
          <w:szCs w:val="32"/>
        </w:rPr>
        <w:t>从温岭库抽取的评标专家具有下列情形的，由市公管委直接将其从温岭市综合性评标专家库中除名。</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1</w:t>
      </w:r>
      <w:r w:rsidRPr="002D3DCE">
        <w:rPr>
          <w:rFonts w:ascii="仿宋_GB2312" w:eastAsia="仿宋_GB2312" w:hint="eastAsia"/>
          <w:kern w:val="0"/>
          <w:sz w:val="32"/>
          <w:szCs w:val="32"/>
        </w:rPr>
        <w:t>、被依法追究刑事责任的；</w:t>
      </w:r>
    </w:p>
    <w:p w:rsidR="00D82307" w:rsidRPr="002D3DCE" w:rsidRDefault="00D82307" w:rsidP="00D82307">
      <w:pPr>
        <w:snapToGrid w:val="0"/>
        <w:spacing w:line="560" w:lineRule="exact"/>
        <w:ind w:firstLineChars="200" w:firstLine="640"/>
        <w:rPr>
          <w:rFonts w:ascii="仿宋_GB2312" w:eastAsia="仿宋_GB2312"/>
          <w:kern w:val="0"/>
          <w:sz w:val="32"/>
          <w:szCs w:val="32"/>
        </w:rPr>
      </w:pPr>
      <w:r w:rsidRPr="002D3DCE">
        <w:rPr>
          <w:rFonts w:ascii="仿宋_GB2312" w:eastAsia="仿宋_GB2312"/>
          <w:kern w:val="0"/>
          <w:sz w:val="32"/>
          <w:szCs w:val="32"/>
        </w:rPr>
        <w:t>2</w:t>
      </w:r>
      <w:r w:rsidRPr="002D3DCE">
        <w:rPr>
          <w:rFonts w:ascii="仿宋_GB2312" w:eastAsia="仿宋_GB2312" w:hint="eastAsia"/>
          <w:kern w:val="0"/>
          <w:sz w:val="32"/>
          <w:szCs w:val="32"/>
        </w:rPr>
        <w:t>、因违反招标投标法律法规受到行政处罚，被取消评标专家资格的。</w:t>
      </w:r>
    </w:p>
    <w:p w:rsidR="00D82307" w:rsidRDefault="00D82307" w:rsidP="00D82307">
      <w:pPr>
        <w:pStyle w:val="7"/>
        <w:snapToGrid w:val="0"/>
        <w:spacing w:line="560" w:lineRule="exact"/>
        <w:ind w:firstLineChars="200" w:firstLine="640"/>
        <w:rPr>
          <w:rFonts w:ascii="仿宋_GB2312" w:eastAsia="仿宋_GB2312"/>
          <w:kern w:val="0"/>
          <w:sz w:val="32"/>
          <w:szCs w:val="32"/>
        </w:rPr>
      </w:pPr>
    </w:p>
    <w:p w:rsidR="00D82307" w:rsidRPr="002D3DCE" w:rsidRDefault="00D82307" w:rsidP="00D82307">
      <w:pPr>
        <w:pStyle w:val="7"/>
        <w:snapToGrid w:val="0"/>
        <w:spacing w:line="560" w:lineRule="exact"/>
        <w:ind w:left="840"/>
        <w:rPr>
          <w:rFonts w:ascii="仿宋_GB2312" w:eastAsia="仿宋_GB2312"/>
          <w:kern w:val="0"/>
          <w:sz w:val="32"/>
          <w:szCs w:val="32"/>
        </w:rPr>
      </w:pPr>
      <w:r w:rsidRPr="002D3DCE">
        <w:rPr>
          <w:rFonts w:ascii="仿宋_GB2312" w:eastAsia="仿宋_GB2312" w:hint="eastAsia"/>
          <w:kern w:val="0"/>
          <w:sz w:val="32"/>
          <w:szCs w:val="32"/>
        </w:rPr>
        <w:t>附表：</w:t>
      </w:r>
      <w:r w:rsidRPr="002D3DCE">
        <w:rPr>
          <w:rFonts w:ascii="仿宋_GB2312" w:eastAsia="仿宋_GB2312"/>
          <w:kern w:val="0"/>
          <w:sz w:val="32"/>
          <w:szCs w:val="32"/>
        </w:rPr>
        <w:t>1</w:t>
      </w:r>
      <w:r>
        <w:rPr>
          <w:rFonts w:ascii="仿宋_GB2312" w:eastAsia="仿宋_GB2312" w:hint="eastAsia"/>
          <w:kern w:val="0"/>
          <w:sz w:val="32"/>
          <w:szCs w:val="32"/>
        </w:rPr>
        <w:t>.</w:t>
      </w:r>
      <w:r w:rsidRPr="002D3DCE">
        <w:rPr>
          <w:rFonts w:ascii="仿宋_GB2312" w:eastAsia="仿宋_GB2312" w:hint="eastAsia"/>
          <w:w w:val="95"/>
          <w:kern w:val="0"/>
          <w:sz w:val="32"/>
          <w:szCs w:val="32"/>
        </w:rPr>
        <w:t>招标人（招标代理机构）对评标专家的评价对照表</w:t>
      </w:r>
    </w:p>
    <w:p w:rsidR="00D82307" w:rsidRPr="002D3DCE" w:rsidRDefault="00D82307" w:rsidP="00D82307">
      <w:pPr>
        <w:pStyle w:val="7"/>
        <w:snapToGrid w:val="0"/>
        <w:spacing w:line="560" w:lineRule="exact"/>
        <w:ind w:leftChars="600" w:firstLineChars="150" w:firstLine="480"/>
        <w:rPr>
          <w:rFonts w:ascii="仿宋_GB2312" w:eastAsia="仿宋_GB2312"/>
          <w:kern w:val="0"/>
          <w:sz w:val="32"/>
          <w:szCs w:val="32"/>
        </w:rPr>
      </w:pPr>
      <w:r w:rsidRPr="002D3DCE">
        <w:rPr>
          <w:rFonts w:ascii="仿宋_GB2312" w:eastAsia="仿宋_GB2312"/>
          <w:kern w:val="0"/>
          <w:sz w:val="32"/>
          <w:szCs w:val="32"/>
        </w:rPr>
        <w:t>2</w:t>
      </w:r>
      <w:r>
        <w:rPr>
          <w:rFonts w:ascii="仿宋_GB2312" w:eastAsia="仿宋_GB2312" w:hint="eastAsia"/>
          <w:kern w:val="0"/>
          <w:sz w:val="32"/>
          <w:szCs w:val="32"/>
        </w:rPr>
        <w:t>.</w:t>
      </w:r>
      <w:r w:rsidRPr="002D3DCE">
        <w:rPr>
          <w:rFonts w:ascii="仿宋_GB2312" w:eastAsia="仿宋_GB2312" w:hint="eastAsia"/>
          <w:kern w:val="0"/>
          <w:sz w:val="32"/>
          <w:szCs w:val="32"/>
        </w:rPr>
        <w:t>温岭市公管委对评标专家的评价对照表</w:t>
      </w:r>
    </w:p>
    <w:p w:rsidR="00D82307" w:rsidRPr="002D3DCE" w:rsidRDefault="00D82307" w:rsidP="00D82307">
      <w:pPr>
        <w:pStyle w:val="7"/>
        <w:snapToGrid w:val="0"/>
        <w:spacing w:line="560" w:lineRule="exact"/>
        <w:ind w:leftChars="600" w:firstLineChars="150" w:firstLine="480"/>
        <w:rPr>
          <w:rFonts w:ascii="仿宋_GB2312" w:eastAsia="仿宋_GB2312"/>
          <w:kern w:val="0"/>
          <w:sz w:val="32"/>
          <w:szCs w:val="32"/>
        </w:rPr>
      </w:pPr>
      <w:r w:rsidRPr="002D3DCE">
        <w:rPr>
          <w:rFonts w:ascii="仿宋_GB2312" w:eastAsia="仿宋_GB2312"/>
          <w:kern w:val="0"/>
          <w:sz w:val="32"/>
          <w:szCs w:val="32"/>
        </w:rPr>
        <w:t>3</w:t>
      </w:r>
      <w:r>
        <w:rPr>
          <w:rFonts w:ascii="仿宋_GB2312" w:eastAsia="仿宋_GB2312" w:hint="eastAsia"/>
          <w:kern w:val="0"/>
          <w:sz w:val="32"/>
          <w:szCs w:val="32"/>
        </w:rPr>
        <w:t>.</w:t>
      </w:r>
      <w:r w:rsidRPr="002D3DCE">
        <w:rPr>
          <w:rFonts w:ascii="仿宋_GB2312" w:eastAsia="仿宋_GB2312" w:hint="eastAsia"/>
          <w:kern w:val="0"/>
          <w:sz w:val="32"/>
          <w:szCs w:val="32"/>
        </w:rPr>
        <w:t>招标人（招标代理机构）日常评价表</w:t>
      </w:r>
    </w:p>
    <w:p w:rsidR="00D82307" w:rsidRPr="002D3DCE" w:rsidRDefault="00D82307" w:rsidP="00D82307">
      <w:pPr>
        <w:pStyle w:val="7"/>
        <w:snapToGrid w:val="0"/>
        <w:spacing w:line="560" w:lineRule="exact"/>
        <w:ind w:leftChars="600" w:firstLineChars="150" w:firstLine="480"/>
        <w:rPr>
          <w:rFonts w:ascii="仿宋_GB2312" w:eastAsia="仿宋_GB2312"/>
          <w:kern w:val="0"/>
          <w:sz w:val="32"/>
          <w:szCs w:val="32"/>
        </w:rPr>
      </w:pPr>
      <w:r w:rsidRPr="002D3DCE">
        <w:rPr>
          <w:rFonts w:ascii="仿宋_GB2312" w:eastAsia="仿宋_GB2312"/>
          <w:kern w:val="0"/>
          <w:sz w:val="32"/>
          <w:szCs w:val="32"/>
        </w:rPr>
        <w:t>4</w:t>
      </w:r>
      <w:r>
        <w:rPr>
          <w:rFonts w:ascii="仿宋_GB2312" w:eastAsia="仿宋_GB2312" w:hint="eastAsia"/>
          <w:kern w:val="0"/>
          <w:sz w:val="32"/>
          <w:szCs w:val="32"/>
        </w:rPr>
        <w:t>.</w:t>
      </w:r>
      <w:r w:rsidRPr="002D3DCE">
        <w:rPr>
          <w:rFonts w:ascii="仿宋_GB2312" w:eastAsia="仿宋_GB2312" w:hint="eastAsia"/>
          <w:kern w:val="0"/>
          <w:sz w:val="32"/>
          <w:szCs w:val="32"/>
        </w:rPr>
        <w:t>温岭市公管委日常评价表</w:t>
      </w:r>
    </w:p>
    <w:p w:rsidR="00D82307" w:rsidRPr="002D3DCE" w:rsidRDefault="00D82307" w:rsidP="00D82307">
      <w:pPr>
        <w:snapToGrid w:val="0"/>
        <w:spacing w:line="560" w:lineRule="exact"/>
        <w:ind w:firstLineChars="548" w:firstLine="1754"/>
        <w:rPr>
          <w:rFonts w:ascii="仿宋_GB2312" w:eastAsia="仿宋_GB2312"/>
          <w:kern w:val="0"/>
          <w:sz w:val="32"/>
          <w:szCs w:val="32"/>
        </w:rPr>
      </w:pPr>
      <w:r w:rsidRPr="002D3DCE">
        <w:rPr>
          <w:rFonts w:ascii="仿宋_GB2312" w:eastAsia="仿宋_GB2312"/>
          <w:kern w:val="0"/>
          <w:sz w:val="32"/>
          <w:szCs w:val="32"/>
        </w:rPr>
        <w:t>5</w:t>
      </w:r>
      <w:r>
        <w:rPr>
          <w:rFonts w:ascii="仿宋_GB2312" w:eastAsia="仿宋_GB2312" w:hint="eastAsia"/>
          <w:kern w:val="0"/>
          <w:sz w:val="32"/>
          <w:szCs w:val="32"/>
        </w:rPr>
        <w:t>.</w:t>
      </w:r>
      <w:r w:rsidRPr="002D3DCE">
        <w:rPr>
          <w:rFonts w:ascii="仿宋_GB2312" w:eastAsia="仿宋_GB2312" w:hint="eastAsia"/>
          <w:kern w:val="0"/>
          <w:sz w:val="32"/>
          <w:szCs w:val="32"/>
        </w:rPr>
        <w:t>市评标专家综合评价表</w:t>
      </w:r>
    </w:p>
    <w:p w:rsidR="00D82307" w:rsidRPr="00074FD9" w:rsidRDefault="00D82307" w:rsidP="00D82307">
      <w:pPr>
        <w:spacing w:line="520" w:lineRule="exact"/>
        <w:jc w:val="left"/>
        <w:rPr>
          <w:rFonts w:ascii="仿宋_GB2312"/>
        </w:rPr>
      </w:pPr>
    </w:p>
    <w:p w:rsidR="00D82307" w:rsidRPr="00074FD9" w:rsidRDefault="00D82307" w:rsidP="00D82307">
      <w:pPr>
        <w:spacing w:line="520" w:lineRule="exact"/>
        <w:jc w:val="left"/>
        <w:rPr>
          <w:rFonts w:ascii="仿宋_GB2312"/>
        </w:rPr>
      </w:pPr>
    </w:p>
    <w:p w:rsidR="00D82307" w:rsidRDefault="00D82307" w:rsidP="00D82307">
      <w:pPr>
        <w:spacing w:line="520" w:lineRule="exact"/>
        <w:jc w:val="left"/>
        <w:rPr>
          <w:rFonts w:ascii="仿宋_GB2312"/>
        </w:rPr>
      </w:pPr>
    </w:p>
    <w:p w:rsidR="00D82307" w:rsidRDefault="00D82307" w:rsidP="00D82307">
      <w:pPr>
        <w:spacing w:line="520" w:lineRule="exact"/>
        <w:jc w:val="left"/>
        <w:rPr>
          <w:rFonts w:ascii="仿宋_GB2312"/>
        </w:rPr>
      </w:pPr>
    </w:p>
    <w:p w:rsidR="00D82307" w:rsidRDefault="00D82307" w:rsidP="00D82307">
      <w:pPr>
        <w:spacing w:line="520" w:lineRule="exact"/>
        <w:jc w:val="left"/>
        <w:rPr>
          <w:rFonts w:ascii="仿宋_GB2312"/>
        </w:rPr>
      </w:pPr>
    </w:p>
    <w:p w:rsidR="00D82307" w:rsidRDefault="00D82307" w:rsidP="00D82307">
      <w:pPr>
        <w:spacing w:line="520" w:lineRule="exact"/>
        <w:jc w:val="left"/>
        <w:rPr>
          <w:rFonts w:ascii="仿宋_GB2312" w:hint="eastAsia"/>
        </w:rPr>
      </w:pPr>
    </w:p>
    <w:p w:rsidR="00D82307" w:rsidRDefault="00D82307" w:rsidP="00D82307">
      <w:pPr>
        <w:spacing w:line="520" w:lineRule="exact"/>
        <w:jc w:val="left"/>
        <w:rPr>
          <w:rFonts w:ascii="仿宋_GB2312"/>
        </w:rPr>
      </w:pPr>
    </w:p>
    <w:p w:rsidR="00D82307" w:rsidRPr="002D3DCE" w:rsidRDefault="00D82307" w:rsidP="00D82307">
      <w:pPr>
        <w:spacing w:line="520" w:lineRule="exact"/>
        <w:jc w:val="left"/>
        <w:rPr>
          <w:rFonts w:ascii="仿宋_GB2312" w:eastAsia="仿宋_GB2312" w:hAnsi="黑体"/>
          <w:sz w:val="32"/>
          <w:szCs w:val="32"/>
        </w:rPr>
      </w:pPr>
      <w:r w:rsidRPr="002D3DCE">
        <w:rPr>
          <w:rFonts w:ascii="仿宋_GB2312" w:eastAsia="仿宋_GB2312" w:hAnsi="黑体" w:hint="eastAsia"/>
          <w:sz w:val="32"/>
          <w:szCs w:val="32"/>
        </w:rPr>
        <w:lastRenderedPageBreak/>
        <w:t>附表1：</w:t>
      </w:r>
    </w:p>
    <w:p w:rsidR="00D82307" w:rsidRPr="00074FD9" w:rsidRDefault="00D82307" w:rsidP="00D82307">
      <w:pPr>
        <w:spacing w:line="520" w:lineRule="exact"/>
        <w:jc w:val="center"/>
        <w:rPr>
          <w:rFonts w:ascii="华文中宋" w:eastAsia="华文中宋" w:hAnsi="华文中宋" w:cs="华文中宋"/>
          <w:bCs/>
          <w:kern w:val="0"/>
          <w:sz w:val="40"/>
          <w:szCs w:val="40"/>
        </w:rPr>
      </w:pPr>
    </w:p>
    <w:p w:rsidR="00D82307" w:rsidRPr="00074FD9" w:rsidRDefault="00D82307" w:rsidP="00D82307">
      <w:pPr>
        <w:spacing w:line="520" w:lineRule="exact"/>
        <w:jc w:val="center"/>
        <w:rPr>
          <w:rFonts w:ascii="华文中宋" w:eastAsia="华文中宋" w:hAnsi="华文中宋" w:cs="华文中宋"/>
          <w:bCs/>
          <w:kern w:val="0"/>
          <w:sz w:val="40"/>
          <w:szCs w:val="40"/>
        </w:rPr>
      </w:pPr>
      <w:r w:rsidRPr="00074FD9">
        <w:rPr>
          <w:rFonts w:ascii="华文中宋" w:eastAsia="华文中宋" w:hAnsi="华文中宋" w:cs="华文中宋" w:hint="eastAsia"/>
          <w:bCs/>
          <w:kern w:val="0"/>
          <w:sz w:val="40"/>
          <w:szCs w:val="40"/>
        </w:rPr>
        <w:t>招标人（招标代理机构）对评标专家的评价对照表</w:t>
      </w:r>
    </w:p>
    <w:tbl>
      <w:tblPr>
        <w:tblpPr w:leftFromText="180" w:rightFromText="180" w:vertAnchor="text" w:horzAnchor="page" w:tblpX="1841"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6641"/>
        <w:gridCol w:w="1151"/>
      </w:tblGrid>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序号</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经</w:t>
            </w:r>
            <w:r w:rsidRPr="00074FD9">
              <w:rPr>
                <w:rFonts w:ascii="仿宋_GB2312"/>
                <w:kern w:val="0"/>
                <w:sz w:val="24"/>
              </w:rPr>
              <w:t xml:space="preserve"> </w:t>
            </w:r>
            <w:r w:rsidRPr="00074FD9">
              <w:rPr>
                <w:rFonts w:ascii="仿宋_GB2312" w:hint="eastAsia"/>
                <w:kern w:val="0"/>
                <w:sz w:val="24"/>
              </w:rPr>
              <w:t>核</w:t>
            </w:r>
            <w:r w:rsidRPr="00074FD9">
              <w:rPr>
                <w:rFonts w:ascii="仿宋_GB2312"/>
                <w:kern w:val="0"/>
                <w:sz w:val="24"/>
              </w:rPr>
              <w:t xml:space="preserve"> </w:t>
            </w:r>
            <w:r w:rsidRPr="00074FD9">
              <w:rPr>
                <w:rFonts w:ascii="仿宋_GB2312" w:hint="eastAsia"/>
                <w:kern w:val="0"/>
                <w:sz w:val="24"/>
              </w:rPr>
              <w:t>实</w:t>
            </w:r>
            <w:r w:rsidRPr="00074FD9">
              <w:rPr>
                <w:rFonts w:ascii="仿宋_GB2312"/>
                <w:kern w:val="0"/>
                <w:sz w:val="24"/>
              </w:rPr>
              <w:t xml:space="preserve"> </w:t>
            </w:r>
            <w:r w:rsidRPr="00074FD9">
              <w:rPr>
                <w:rFonts w:ascii="仿宋_GB2312" w:hint="eastAsia"/>
                <w:kern w:val="0"/>
                <w:sz w:val="24"/>
              </w:rPr>
              <w:t>的</w:t>
            </w:r>
            <w:r w:rsidRPr="00074FD9">
              <w:rPr>
                <w:rFonts w:ascii="仿宋_GB2312"/>
                <w:kern w:val="0"/>
                <w:sz w:val="24"/>
              </w:rPr>
              <w:t xml:space="preserve"> </w:t>
            </w:r>
            <w:r w:rsidRPr="00074FD9">
              <w:rPr>
                <w:rFonts w:ascii="仿宋_GB2312" w:hint="eastAsia"/>
                <w:kern w:val="0"/>
                <w:sz w:val="24"/>
              </w:rPr>
              <w:t>情</w:t>
            </w:r>
            <w:r w:rsidRPr="00074FD9">
              <w:rPr>
                <w:rFonts w:ascii="仿宋_GB2312"/>
                <w:kern w:val="0"/>
                <w:sz w:val="24"/>
              </w:rPr>
              <w:t xml:space="preserve"> </w:t>
            </w:r>
            <w:r w:rsidRPr="00074FD9">
              <w:rPr>
                <w:rFonts w:ascii="仿宋_GB2312" w:hint="eastAsia"/>
                <w:kern w:val="0"/>
                <w:sz w:val="24"/>
              </w:rPr>
              <w:t>形</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扣分值</w:t>
            </w:r>
          </w:p>
        </w:tc>
      </w:tr>
      <w:tr w:rsidR="00D82307" w:rsidRPr="00074FD9" w:rsidTr="00456233">
        <w:trPr>
          <w:trHeight w:val="50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无正当理由不参加招标人（招标代理机构）依法组织的复评；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17"/>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在评标工作中存在明显错误，影响评标公正性；</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0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3</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在项目重新评标后，拒不纠正错误；</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10-20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4</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评标过程中干扰、暗示、诱导或施加压力影响其他评标专家独立评审；</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5</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未事先对投标人询标就否决其投标（招标文件另有规定的除外）；</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6</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评标显失公正，无充分理由（或理由不实），打过低分或过高分；</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7</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出具与事实明显不符的评审意见；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9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8</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非投标人原因造成评标结果无效；</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10-20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9</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在评标中发现有违法违规行为或者有不正常现象，不及时向监管人员报告；</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513"/>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10</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非因外部原因评标效率异常低下，严重影响评标进程；</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未发现投标文件中重大偏差的，或者发现后未按有关规定、约定作废</w:t>
            </w:r>
            <w:proofErr w:type="gramStart"/>
            <w:r w:rsidRPr="00074FD9">
              <w:rPr>
                <w:rFonts w:ascii="仿宋_GB2312" w:hint="eastAsia"/>
                <w:kern w:val="0"/>
                <w:sz w:val="24"/>
              </w:rPr>
              <w:t>标处理</w:t>
            </w:r>
            <w:proofErr w:type="gramEnd"/>
            <w:r w:rsidRPr="00074FD9">
              <w:rPr>
                <w:rFonts w:ascii="仿宋_GB2312"/>
                <w:kern w:val="0"/>
                <w:sz w:val="24"/>
              </w:rPr>
              <w:t xml:space="preserve"> </w:t>
            </w:r>
            <w:r w:rsidRPr="00074FD9">
              <w:rPr>
                <w:rFonts w:ascii="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512"/>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拒绝接受或阻挠招投标监管部门监督和执法调查</w:t>
            </w:r>
            <w:r w:rsidRPr="00074FD9">
              <w:rPr>
                <w:rFonts w:ascii="仿宋_GB2312"/>
                <w:kern w:val="0"/>
                <w:sz w:val="24"/>
              </w:rPr>
              <w:t xml:space="preserve"> </w:t>
            </w:r>
            <w:r w:rsidRPr="00074FD9">
              <w:rPr>
                <w:rFonts w:ascii="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10-20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13</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索要明显超过当地合理标准的劳务报酬的，或因劳务报酬纠纷</w:t>
            </w:r>
            <w:proofErr w:type="gramStart"/>
            <w:r w:rsidRPr="00074FD9">
              <w:rPr>
                <w:rFonts w:ascii="仿宋_GB2312" w:hint="eastAsia"/>
                <w:kern w:val="0"/>
                <w:sz w:val="24"/>
              </w:rPr>
              <w:t>怠</w:t>
            </w:r>
            <w:proofErr w:type="gramEnd"/>
            <w:r w:rsidRPr="00074FD9">
              <w:rPr>
                <w:rFonts w:ascii="仿宋_GB2312" w:hint="eastAsia"/>
                <w:kern w:val="0"/>
                <w:sz w:val="24"/>
              </w:rPr>
              <w:t>于履行评标义务，影响评标进程；</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14</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接受或索要可能影响其评标公正性的宴请、旅游、娱乐、财物等好处</w:t>
            </w:r>
            <w:r w:rsidRPr="00074FD9">
              <w:rPr>
                <w:rFonts w:ascii="仿宋_GB2312"/>
                <w:kern w:val="0"/>
                <w:sz w:val="24"/>
              </w:rPr>
              <w:t xml:space="preserve"> </w:t>
            </w:r>
            <w:r w:rsidRPr="00074FD9">
              <w:rPr>
                <w:rFonts w:ascii="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10-20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15</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对评标结果有不同意见应以书面形式说明其不同意见和理由并签字的，既</w:t>
            </w:r>
            <w:proofErr w:type="gramStart"/>
            <w:r w:rsidRPr="00074FD9">
              <w:rPr>
                <w:rFonts w:ascii="仿宋_GB2312" w:hint="eastAsia"/>
                <w:kern w:val="0"/>
                <w:sz w:val="24"/>
              </w:rPr>
              <w:t>不</w:t>
            </w:r>
            <w:proofErr w:type="gramEnd"/>
            <w:r w:rsidRPr="00074FD9">
              <w:rPr>
                <w:rFonts w:ascii="仿宋_GB2312" w:hint="eastAsia"/>
                <w:kern w:val="0"/>
                <w:sz w:val="24"/>
              </w:rPr>
              <w:t>书面说明不同意见和理由又不签字；</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502"/>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16</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未按规定提交评标报告</w:t>
            </w:r>
            <w:r w:rsidRPr="00074FD9">
              <w:rPr>
                <w:rFonts w:ascii="仿宋_GB2312"/>
                <w:kern w:val="0"/>
                <w:sz w:val="24"/>
              </w:rPr>
              <w:t xml:space="preserve"> </w:t>
            </w:r>
            <w:r w:rsidRPr="00074FD9">
              <w:rPr>
                <w:rFonts w:ascii="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64"/>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17</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未按规定进行独立评审</w:t>
            </w:r>
            <w:r w:rsidRPr="00074FD9">
              <w:rPr>
                <w:rFonts w:ascii="仿宋_GB2312"/>
                <w:kern w:val="0"/>
                <w:sz w:val="24"/>
              </w:rPr>
              <w:t xml:space="preserve"> </w:t>
            </w:r>
            <w:r w:rsidRPr="00074FD9">
              <w:rPr>
                <w:rFonts w:ascii="仿宋_GB2312" w:hint="eastAsia"/>
                <w:kern w:val="0"/>
                <w:sz w:val="24"/>
              </w:rPr>
              <w:t>；</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64"/>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18</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存在其他违法违规行为。</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bl>
    <w:p w:rsidR="00D82307" w:rsidRPr="00074FD9" w:rsidRDefault="00D82307" w:rsidP="00D82307">
      <w:pPr>
        <w:snapToGrid w:val="0"/>
        <w:spacing w:line="360" w:lineRule="auto"/>
        <w:rPr>
          <w:rFonts w:ascii="仿宋_GB2312"/>
          <w:kern w:val="0"/>
        </w:rPr>
      </w:pPr>
    </w:p>
    <w:p w:rsidR="00D82307" w:rsidRPr="002D3DCE" w:rsidRDefault="00D82307" w:rsidP="00D82307">
      <w:pPr>
        <w:spacing w:line="520" w:lineRule="exact"/>
        <w:jc w:val="left"/>
        <w:rPr>
          <w:rFonts w:ascii="仿宋_GB2312" w:eastAsia="仿宋_GB2312" w:hAnsi="黑体"/>
          <w:sz w:val="32"/>
          <w:szCs w:val="32"/>
        </w:rPr>
      </w:pPr>
      <w:r w:rsidRPr="002D3DCE">
        <w:rPr>
          <w:rFonts w:ascii="仿宋_GB2312" w:eastAsia="仿宋_GB2312" w:hAnsi="黑体" w:hint="eastAsia"/>
          <w:sz w:val="32"/>
          <w:szCs w:val="32"/>
        </w:rPr>
        <w:lastRenderedPageBreak/>
        <w:t>附表2：</w:t>
      </w:r>
    </w:p>
    <w:p w:rsidR="00D82307" w:rsidRPr="00074FD9" w:rsidRDefault="00D82307" w:rsidP="00D82307">
      <w:pPr>
        <w:spacing w:line="520" w:lineRule="exact"/>
        <w:jc w:val="center"/>
        <w:rPr>
          <w:rFonts w:ascii="华文中宋" w:eastAsia="华文中宋" w:hAnsi="华文中宋" w:cs="华文中宋"/>
          <w:bCs/>
          <w:kern w:val="0"/>
          <w:sz w:val="40"/>
          <w:szCs w:val="40"/>
        </w:rPr>
      </w:pPr>
    </w:p>
    <w:p w:rsidR="00D82307" w:rsidRPr="00074FD9" w:rsidRDefault="00D82307" w:rsidP="00D82307">
      <w:pPr>
        <w:spacing w:line="520" w:lineRule="exact"/>
        <w:jc w:val="center"/>
        <w:rPr>
          <w:rFonts w:ascii="华文中宋" w:eastAsia="华文中宋" w:hAnsi="华文中宋" w:cs="华文中宋"/>
          <w:bCs/>
          <w:kern w:val="0"/>
          <w:sz w:val="40"/>
          <w:szCs w:val="40"/>
        </w:rPr>
      </w:pPr>
      <w:r w:rsidRPr="00074FD9">
        <w:rPr>
          <w:rFonts w:ascii="华文中宋" w:eastAsia="华文中宋" w:hAnsi="华文中宋" w:cs="华文中宋" w:hint="eastAsia"/>
          <w:bCs/>
          <w:kern w:val="0"/>
          <w:sz w:val="40"/>
          <w:szCs w:val="40"/>
        </w:rPr>
        <w:t>温岭市公管委对评标专家的评价对照表</w:t>
      </w:r>
    </w:p>
    <w:tbl>
      <w:tblPr>
        <w:tblpPr w:leftFromText="180" w:rightFromText="180" w:vertAnchor="text" w:horzAnchor="page" w:tblpX="1841" w:tblpY="4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4"/>
        <w:gridCol w:w="6641"/>
        <w:gridCol w:w="1151"/>
      </w:tblGrid>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序号</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经</w:t>
            </w:r>
            <w:r w:rsidRPr="00074FD9">
              <w:rPr>
                <w:rFonts w:ascii="仿宋_GB2312"/>
                <w:kern w:val="0"/>
                <w:sz w:val="24"/>
              </w:rPr>
              <w:t xml:space="preserve"> </w:t>
            </w:r>
            <w:r w:rsidRPr="00074FD9">
              <w:rPr>
                <w:rFonts w:ascii="仿宋_GB2312" w:hint="eastAsia"/>
                <w:kern w:val="0"/>
                <w:sz w:val="24"/>
              </w:rPr>
              <w:t>核</w:t>
            </w:r>
            <w:r w:rsidRPr="00074FD9">
              <w:rPr>
                <w:rFonts w:ascii="仿宋_GB2312"/>
                <w:kern w:val="0"/>
                <w:sz w:val="24"/>
              </w:rPr>
              <w:t xml:space="preserve"> </w:t>
            </w:r>
            <w:r w:rsidRPr="00074FD9">
              <w:rPr>
                <w:rFonts w:ascii="仿宋_GB2312" w:hint="eastAsia"/>
                <w:kern w:val="0"/>
                <w:sz w:val="24"/>
              </w:rPr>
              <w:t>实</w:t>
            </w:r>
            <w:r w:rsidRPr="00074FD9">
              <w:rPr>
                <w:rFonts w:ascii="仿宋_GB2312"/>
                <w:kern w:val="0"/>
                <w:sz w:val="24"/>
              </w:rPr>
              <w:t xml:space="preserve"> </w:t>
            </w:r>
            <w:r w:rsidRPr="00074FD9">
              <w:rPr>
                <w:rFonts w:ascii="仿宋_GB2312" w:hint="eastAsia"/>
                <w:kern w:val="0"/>
                <w:sz w:val="24"/>
              </w:rPr>
              <w:t>的</w:t>
            </w:r>
            <w:r w:rsidRPr="00074FD9">
              <w:rPr>
                <w:rFonts w:ascii="仿宋_GB2312"/>
                <w:kern w:val="0"/>
                <w:sz w:val="24"/>
              </w:rPr>
              <w:t xml:space="preserve"> </w:t>
            </w:r>
            <w:r w:rsidRPr="00074FD9">
              <w:rPr>
                <w:rFonts w:ascii="仿宋_GB2312" w:hint="eastAsia"/>
                <w:kern w:val="0"/>
                <w:sz w:val="24"/>
              </w:rPr>
              <w:t>情</w:t>
            </w:r>
            <w:r w:rsidRPr="00074FD9">
              <w:rPr>
                <w:rFonts w:ascii="仿宋_GB2312"/>
                <w:kern w:val="0"/>
                <w:sz w:val="24"/>
              </w:rPr>
              <w:t xml:space="preserve"> </w:t>
            </w:r>
            <w:r w:rsidRPr="00074FD9">
              <w:rPr>
                <w:rFonts w:ascii="仿宋_GB2312" w:hint="eastAsia"/>
                <w:kern w:val="0"/>
                <w:sz w:val="24"/>
              </w:rPr>
              <w:t>形</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hint="eastAsia"/>
                <w:kern w:val="0"/>
                <w:sz w:val="24"/>
              </w:rPr>
              <w:t>扣分值</w:t>
            </w:r>
          </w:p>
        </w:tc>
      </w:tr>
      <w:tr w:rsidR="00D82307" w:rsidRPr="00074FD9" w:rsidTr="00456233">
        <w:trPr>
          <w:trHeight w:val="50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确认参加评标后，因故缺席评标；</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1-3</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2</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无故缺席评标（未在要求到达时间的</w:t>
            </w:r>
            <w:r w:rsidRPr="00074FD9">
              <w:rPr>
                <w:rFonts w:ascii="仿宋_GB2312"/>
                <w:kern w:val="0"/>
                <w:sz w:val="24"/>
              </w:rPr>
              <w:t>1</w:t>
            </w:r>
            <w:r w:rsidRPr="00074FD9">
              <w:rPr>
                <w:rFonts w:ascii="仿宋_GB2312" w:hint="eastAsia"/>
                <w:kern w:val="0"/>
                <w:sz w:val="24"/>
              </w:rPr>
              <w:t>小时前（工作时间）向市公管委请假的视同无故缺席）；</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2-5</w:t>
            </w:r>
          </w:p>
        </w:tc>
      </w:tr>
      <w:tr w:rsidR="00D82307" w:rsidRPr="00074FD9" w:rsidTr="00456233">
        <w:trPr>
          <w:trHeight w:val="46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3</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委托他人代为参加评标或以他人名义参加评标；</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rPr>
          <w:trHeight w:val="419"/>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4</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将评标的相关资料（含摘抄的资料）带出评标区；</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2-5</w:t>
            </w:r>
          </w:p>
        </w:tc>
      </w:tr>
      <w:tr w:rsidR="00D82307" w:rsidRPr="00074FD9" w:rsidTr="00456233">
        <w:trPr>
          <w:trHeight w:val="411"/>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5</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评标迟到超过</w:t>
            </w:r>
            <w:r w:rsidRPr="00074FD9">
              <w:rPr>
                <w:rFonts w:ascii="仿宋_GB2312"/>
                <w:kern w:val="0"/>
                <w:sz w:val="24"/>
              </w:rPr>
              <w:t>30</w:t>
            </w:r>
            <w:r w:rsidRPr="00074FD9">
              <w:rPr>
                <w:rFonts w:ascii="仿宋_GB2312" w:hint="eastAsia"/>
                <w:kern w:val="0"/>
                <w:sz w:val="24"/>
              </w:rPr>
              <w:t>分钟；</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1-3</w:t>
            </w:r>
          </w:p>
        </w:tc>
      </w:tr>
      <w:tr w:rsidR="00D82307" w:rsidRPr="00074FD9" w:rsidTr="00456233">
        <w:trPr>
          <w:trHeight w:val="417"/>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6</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评标未结束，擅离职守；</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7</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违反评标区（室）管理有关规定，携带通讯设备等禁带物品进入评标区（室）的；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10-20</w:t>
            </w:r>
          </w:p>
        </w:tc>
      </w:tr>
      <w:tr w:rsidR="00D82307" w:rsidRPr="00074FD9" w:rsidTr="00456233">
        <w:trPr>
          <w:trHeight w:val="475"/>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8</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在评标区（室）使用通讯设备等禁带物品；</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r w:rsidR="00D82307" w:rsidRPr="00074FD9" w:rsidTr="00456233">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9</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评标过程中不服从评标区工作人员管理，随意进出评标区，或有其他影响评标区工作秩序的；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2-5</w:t>
            </w:r>
          </w:p>
        </w:tc>
      </w:tr>
      <w:tr w:rsidR="00D82307" w:rsidRPr="00074FD9" w:rsidTr="00456233">
        <w:trPr>
          <w:trHeight w:val="476"/>
        </w:trPr>
        <w:tc>
          <w:tcPr>
            <w:tcW w:w="734"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pPr>
            <w:r w:rsidRPr="00074FD9">
              <w:rPr>
                <w:rFonts w:ascii="仿宋_GB2312"/>
                <w:kern w:val="0"/>
                <w:sz w:val="24"/>
              </w:rPr>
              <w:t>10</w:t>
            </w:r>
          </w:p>
        </w:tc>
        <w:tc>
          <w:tcPr>
            <w:tcW w:w="664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rPr>
                <w:rFonts w:ascii="仿宋_GB2312"/>
                <w:kern w:val="0"/>
                <w:sz w:val="24"/>
              </w:rPr>
            </w:pPr>
            <w:r w:rsidRPr="00074FD9">
              <w:rPr>
                <w:rFonts w:ascii="仿宋_GB2312" w:hint="eastAsia"/>
                <w:kern w:val="0"/>
                <w:sz w:val="24"/>
              </w:rPr>
              <w:t>评标过程中不服从评标区工作人员管理，情节严重的；</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D82307" w:rsidRPr="00074FD9" w:rsidRDefault="00D82307" w:rsidP="00456233">
            <w:pPr>
              <w:snapToGrid w:val="0"/>
              <w:spacing w:line="320" w:lineRule="exact"/>
              <w:jc w:val="center"/>
              <w:rPr>
                <w:rFonts w:ascii="仿宋_GB2312"/>
                <w:kern w:val="0"/>
                <w:sz w:val="24"/>
              </w:rPr>
            </w:pPr>
            <w:r w:rsidRPr="00074FD9">
              <w:rPr>
                <w:rFonts w:ascii="仿宋_GB2312"/>
                <w:kern w:val="0"/>
                <w:sz w:val="24"/>
              </w:rPr>
              <w:t>5-10</w:t>
            </w:r>
          </w:p>
        </w:tc>
      </w:tr>
    </w:tbl>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Pr="00074FD9" w:rsidRDefault="00D82307" w:rsidP="00D82307">
      <w:pPr>
        <w:spacing w:line="520" w:lineRule="exact"/>
        <w:jc w:val="left"/>
        <w:rPr>
          <w:rFonts w:eastAsia="黑体"/>
        </w:rPr>
      </w:pPr>
    </w:p>
    <w:p w:rsidR="00D82307" w:rsidRDefault="00D82307" w:rsidP="00D82307">
      <w:pPr>
        <w:spacing w:line="520" w:lineRule="exact"/>
        <w:jc w:val="left"/>
        <w:rPr>
          <w:rFonts w:eastAsia="黑体"/>
        </w:rPr>
      </w:pPr>
    </w:p>
    <w:p w:rsidR="00D82307" w:rsidRPr="00BE688D" w:rsidRDefault="00D82307" w:rsidP="00D82307">
      <w:pPr>
        <w:spacing w:line="520" w:lineRule="exact"/>
        <w:jc w:val="left"/>
        <w:rPr>
          <w:rFonts w:ascii="仿宋_GB2312" w:eastAsia="仿宋_GB2312" w:hAnsi="黑体"/>
          <w:sz w:val="32"/>
          <w:szCs w:val="32"/>
        </w:rPr>
      </w:pPr>
      <w:r w:rsidRPr="00BE688D">
        <w:rPr>
          <w:rFonts w:ascii="仿宋_GB2312" w:eastAsia="仿宋_GB2312" w:hAnsi="黑体" w:hint="eastAsia"/>
          <w:sz w:val="32"/>
          <w:szCs w:val="32"/>
        </w:rPr>
        <w:lastRenderedPageBreak/>
        <w:t>附表3：</w:t>
      </w:r>
    </w:p>
    <w:p w:rsidR="00D82307" w:rsidRPr="00074FD9" w:rsidRDefault="00D82307" w:rsidP="00D82307">
      <w:pPr>
        <w:pStyle w:val="a5"/>
        <w:spacing w:beforeLines="50" w:line="560" w:lineRule="exact"/>
        <w:jc w:val="center"/>
        <w:rPr>
          <w:rFonts w:ascii="Times New Roman" w:eastAsia="方正小标宋简体" w:hAnsi="Times New Roman" w:cs="Times New Roman"/>
          <w:sz w:val="44"/>
          <w:szCs w:val="44"/>
        </w:rPr>
      </w:pPr>
      <w:r w:rsidRPr="00074FD9">
        <w:rPr>
          <w:rFonts w:ascii="Times New Roman" w:eastAsia="方正小标宋简体" w:hAnsi="Times New Roman" w:cs="Times New Roman" w:hint="eastAsia"/>
          <w:sz w:val="44"/>
          <w:szCs w:val="44"/>
        </w:rPr>
        <w:t>招标人（招标代理机构）日常评价表</w:t>
      </w:r>
    </w:p>
    <w:p w:rsidR="00D82307" w:rsidRPr="00074FD9" w:rsidRDefault="00D82307" w:rsidP="00D82307">
      <w:pPr>
        <w:pStyle w:val="a5"/>
        <w:spacing w:line="300" w:lineRule="exact"/>
        <w:jc w:val="center"/>
        <w:rPr>
          <w:rFonts w:ascii="Times New Roman" w:eastAsia="方正小标宋简体" w:hAnsi="Times New Roman"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260"/>
        <w:gridCol w:w="1440"/>
        <w:gridCol w:w="4451"/>
        <w:gridCol w:w="691"/>
      </w:tblGrid>
      <w:tr w:rsidR="00D82307" w:rsidRPr="00074FD9" w:rsidTr="00456233">
        <w:trPr>
          <w:trHeight w:val="567"/>
          <w:jc w:val="center"/>
        </w:trPr>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评标</w:t>
            </w:r>
          </w:p>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时间</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专家姓名</w:t>
            </w: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评价扣分依据</w:t>
            </w: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ind w:firstLineChars="50" w:firstLine="120"/>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扣分</w:t>
            </w:r>
          </w:p>
        </w:tc>
      </w:tr>
      <w:tr w:rsidR="00D82307" w:rsidRPr="00074FD9" w:rsidTr="00456233">
        <w:trPr>
          <w:trHeight w:val="270"/>
          <w:jc w:val="center"/>
        </w:trPr>
        <w:tc>
          <w:tcPr>
            <w:tcW w:w="8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rPr>
                <w:rFonts w:ascii="Times New Roman" w:eastAsia="仿宋_GB2312"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7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675"/>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72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72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8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25"/>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3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1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603"/>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099"/>
          <w:jc w:val="center"/>
        </w:trPr>
        <w:tc>
          <w:tcPr>
            <w:tcW w:w="871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r w:rsidRPr="00074FD9">
              <w:rPr>
                <w:rFonts w:ascii="Times New Roman" w:eastAsia="仿宋_GB2312" w:hAnsi="Times New Roman" w:cs="Times New Roman" w:hint="eastAsia"/>
                <w:sz w:val="28"/>
                <w:szCs w:val="28"/>
              </w:rPr>
              <w:t>招标人（招标代理机构）</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签字或盖章</w:t>
            </w:r>
            <w:r w:rsidRPr="00074FD9">
              <w:rPr>
                <w:rFonts w:ascii="Times New Roman" w:eastAsia="仿宋_GB2312" w:hAnsi="Times New Roman" w:cs="Times New Roman"/>
                <w:sz w:val="28"/>
                <w:szCs w:val="28"/>
              </w:rPr>
              <w:t>)</w:t>
            </w:r>
            <w:r w:rsidRPr="00074FD9">
              <w:rPr>
                <w:rFonts w:ascii="Times New Roman" w:eastAsia="仿宋_GB2312" w:hAnsi="Times New Roman" w:cs="Times New Roman" w:hint="eastAsia"/>
                <w:sz w:val="28"/>
                <w:szCs w:val="28"/>
              </w:rPr>
              <w:t>：</w:t>
            </w:r>
          </w:p>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ind w:firstLineChars="2150" w:firstLine="6020"/>
              <w:rPr>
                <w:rFonts w:ascii="Times New Roman" w:eastAsia="仿宋_GB2312" w:hAnsi="Times New Roman" w:cs="Times New Roman"/>
                <w:sz w:val="28"/>
                <w:szCs w:val="28"/>
              </w:rPr>
            </w:pPr>
            <w:r w:rsidRPr="00074FD9">
              <w:rPr>
                <w:rFonts w:ascii="Times New Roman" w:eastAsia="仿宋_GB2312" w:hAnsi="Times New Roman" w:cs="Times New Roman" w:hint="eastAsia"/>
                <w:sz w:val="28"/>
                <w:szCs w:val="28"/>
              </w:rPr>
              <w:t>年</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月</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日</w:t>
            </w:r>
          </w:p>
        </w:tc>
      </w:tr>
    </w:tbl>
    <w:p w:rsidR="00D82307" w:rsidRPr="00BE688D" w:rsidRDefault="00D82307" w:rsidP="00D82307">
      <w:pPr>
        <w:spacing w:line="500" w:lineRule="exact"/>
        <w:ind w:firstLineChars="200" w:firstLine="560"/>
        <w:rPr>
          <w:rFonts w:ascii="仿宋_GB2312" w:eastAsia="仿宋_GB2312"/>
          <w:spacing w:val="-6"/>
          <w:sz w:val="28"/>
          <w:szCs w:val="28"/>
        </w:rPr>
      </w:pPr>
      <w:r w:rsidRPr="00BE688D">
        <w:rPr>
          <w:rFonts w:ascii="仿宋_GB2312" w:eastAsia="仿宋_GB2312" w:hint="eastAsia"/>
          <w:sz w:val="28"/>
          <w:szCs w:val="28"/>
        </w:rPr>
        <w:t>备注：评</w:t>
      </w:r>
      <w:r w:rsidRPr="00BE688D">
        <w:rPr>
          <w:rFonts w:ascii="仿宋_GB2312" w:eastAsia="仿宋_GB2312" w:hint="eastAsia"/>
          <w:spacing w:val="-6"/>
          <w:sz w:val="28"/>
          <w:szCs w:val="28"/>
        </w:rPr>
        <w:t>标专家有扣分情况时填写（无扣分情况的无需填报），并及时报送市公管委。</w:t>
      </w:r>
    </w:p>
    <w:p w:rsidR="00D82307" w:rsidRPr="00074FD9" w:rsidRDefault="00D82307" w:rsidP="00D82307">
      <w:pPr>
        <w:spacing w:line="500" w:lineRule="exact"/>
        <w:ind w:firstLineChars="200" w:firstLine="536"/>
        <w:rPr>
          <w:rFonts w:eastAsia="楷体_GB2312"/>
          <w:spacing w:val="-6"/>
          <w:sz w:val="28"/>
          <w:szCs w:val="28"/>
        </w:rPr>
      </w:pPr>
    </w:p>
    <w:p w:rsidR="00D82307" w:rsidRPr="00BE688D" w:rsidRDefault="00D82307" w:rsidP="00D82307">
      <w:pPr>
        <w:pStyle w:val="a5"/>
        <w:spacing w:line="480" w:lineRule="exact"/>
        <w:rPr>
          <w:rFonts w:ascii="仿宋_GB2312" w:eastAsia="仿宋_GB2312" w:hAnsi="Times New Roman" w:cs="Times New Roman"/>
          <w:sz w:val="32"/>
          <w:szCs w:val="32"/>
        </w:rPr>
      </w:pPr>
      <w:r w:rsidRPr="00BE688D">
        <w:rPr>
          <w:rFonts w:ascii="仿宋_GB2312" w:eastAsia="仿宋_GB2312" w:hAnsi="Times New Roman" w:cs="Times New Roman" w:hint="eastAsia"/>
          <w:sz w:val="32"/>
          <w:szCs w:val="32"/>
        </w:rPr>
        <w:lastRenderedPageBreak/>
        <w:t>附表4：</w:t>
      </w:r>
    </w:p>
    <w:p w:rsidR="00D82307" w:rsidRPr="00074FD9" w:rsidRDefault="00D82307" w:rsidP="00D82307">
      <w:pPr>
        <w:pStyle w:val="a5"/>
        <w:spacing w:line="480" w:lineRule="exact"/>
        <w:rPr>
          <w:rFonts w:ascii="Times New Roman" w:eastAsia="黑体" w:hAnsi="Times New Roman" w:cs="Times New Roman"/>
          <w:sz w:val="32"/>
          <w:szCs w:val="32"/>
        </w:rPr>
      </w:pPr>
    </w:p>
    <w:p w:rsidR="00D82307" w:rsidRPr="00074FD9" w:rsidRDefault="00D82307" w:rsidP="00D82307">
      <w:pPr>
        <w:pStyle w:val="a5"/>
        <w:spacing w:beforeLines="50" w:line="560" w:lineRule="exact"/>
        <w:jc w:val="center"/>
        <w:rPr>
          <w:rFonts w:ascii="Times New Roman" w:eastAsia="方正小标宋简体" w:hAnsi="Times New Roman" w:cs="Times New Roman"/>
          <w:sz w:val="44"/>
          <w:szCs w:val="44"/>
        </w:rPr>
      </w:pPr>
      <w:r w:rsidRPr="00074FD9">
        <w:rPr>
          <w:rFonts w:ascii="Times New Roman" w:eastAsia="方正小标宋简体" w:hAnsi="Times New Roman" w:cs="Times New Roman" w:hint="eastAsia"/>
          <w:sz w:val="44"/>
          <w:szCs w:val="44"/>
        </w:rPr>
        <w:t>温岭市公管委日常评价表</w:t>
      </w:r>
    </w:p>
    <w:p w:rsidR="00D82307" w:rsidRPr="00074FD9" w:rsidRDefault="00D82307" w:rsidP="00D82307">
      <w:pPr>
        <w:pStyle w:val="a5"/>
        <w:spacing w:line="300" w:lineRule="exact"/>
        <w:jc w:val="center"/>
        <w:rPr>
          <w:rFonts w:ascii="Times New Roman" w:eastAsia="方正小标宋简体" w:hAnsi="Times New Roman"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1260"/>
        <w:gridCol w:w="1440"/>
        <w:gridCol w:w="4451"/>
        <w:gridCol w:w="691"/>
      </w:tblGrid>
      <w:tr w:rsidR="00D82307" w:rsidRPr="00074FD9" w:rsidTr="00456233">
        <w:trPr>
          <w:trHeight w:val="567"/>
          <w:jc w:val="center"/>
        </w:trPr>
        <w:tc>
          <w:tcPr>
            <w:tcW w:w="8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评标</w:t>
            </w:r>
          </w:p>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时间</w:t>
            </w:r>
          </w:p>
        </w:tc>
        <w:tc>
          <w:tcPr>
            <w:tcW w:w="1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项目名称</w:t>
            </w: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专家姓名</w:t>
            </w: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评价扣分依据</w:t>
            </w: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扣分</w:t>
            </w:r>
          </w:p>
        </w:tc>
      </w:tr>
      <w:tr w:rsidR="00D82307" w:rsidRPr="00074FD9" w:rsidTr="00456233">
        <w:trPr>
          <w:trHeight w:val="270"/>
          <w:jc w:val="center"/>
        </w:trPr>
        <w:tc>
          <w:tcPr>
            <w:tcW w:w="8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rPr>
                <w:rFonts w:ascii="Times New Roman" w:eastAsia="仿宋_GB2312"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7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675"/>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72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72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8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26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25"/>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3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10"/>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603"/>
          <w:jc w:val="center"/>
        </w:trPr>
        <w:tc>
          <w:tcPr>
            <w:tcW w:w="876"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451"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6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1240"/>
          <w:jc w:val="center"/>
        </w:trPr>
        <w:tc>
          <w:tcPr>
            <w:tcW w:w="871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r w:rsidRPr="00074FD9">
              <w:rPr>
                <w:rFonts w:ascii="Times New Roman" w:eastAsia="仿宋_GB2312" w:hAnsi="Times New Roman" w:cs="Times New Roman" w:hint="eastAsia"/>
                <w:sz w:val="28"/>
                <w:szCs w:val="28"/>
              </w:rPr>
              <w:t>市公管委</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签字或盖章</w:t>
            </w:r>
            <w:r w:rsidRPr="00074FD9">
              <w:rPr>
                <w:rFonts w:ascii="Times New Roman" w:eastAsia="仿宋_GB2312" w:hAnsi="Times New Roman" w:cs="Times New Roman"/>
                <w:sz w:val="28"/>
                <w:szCs w:val="28"/>
              </w:rPr>
              <w:t>)</w:t>
            </w:r>
            <w:r w:rsidRPr="00074FD9">
              <w:rPr>
                <w:rFonts w:ascii="Times New Roman" w:eastAsia="仿宋_GB2312" w:hAnsi="Times New Roman" w:cs="Times New Roman" w:hint="eastAsia"/>
                <w:sz w:val="28"/>
                <w:szCs w:val="28"/>
              </w:rPr>
              <w:t>：</w:t>
            </w:r>
          </w:p>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rPr>
                <w:rFonts w:ascii="Times New Roman" w:eastAsia="仿宋_GB2312" w:hAnsi="Times New Roman" w:cs="Times New Roman"/>
                <w:sz w:val="28"/>
                <w:szCs w:val="28"/>
              </w:rPr>
            </w:pPr>
          </w:p>
          <w:p w:rsidR="00D82307" w:rsidRPr="00074FD9" w:rsidRDefault="00D82307" w:rsidP="00456233">
            <w:pPr>
              <w:pStyle w:val="a5"/>
              <w:snapToGrid w:val="0"/>
              <w:ind w:firstLineChars="2150" w:firstLine="6020"/>
              <w:rPr>
                <w:rFonts w:ascii="Times New Roman" w:eastAsia="仿宋_GB2312" w:hAnsi="Times New Roman" w:cs="Times New Roman"/>
                <w:sz w:val="28"/>
                <w:szCs w:val="28"/>
              </w:rPr>
            </w:pPr>
            <w:r w:rsidRPr="00074FD9">
              <w:rPr>
                <w:rFonts w:ascii="Times New Roman" w:eastAsia="仿宋_GB2312" w:hAnsi="Times New Roman" w:cs="Times New Roman" w:hint="eastAsia"/>
                <w:sz w:val="28"/>
                <w:szCs w:val="28"/>
              </w:rPr>
              <w:t>年</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月</w:t>
            </w:r>
            <w:r w:rsidRPr="00074FD9">
              <w:rPr>
                <w:rFonts w:ascii="Times New Roman" w:eastAsia="仿宋_GB2312" w:hAnsi="Times New Roman" w:cs="Times New Roman"/>
                <w:sz w:val="28"/>
                <w:szCs w:val="28"/>
              </w:rPr>
              <w:t xml:space="preserve">   </w:t>
            </w:r>
            <w:r w:rsidRPr="00074FD9">
              <w:rPr>
                <w:rFonts w:ascii="Times New Roman" w:eastAsia="仿宋_GB2312" w:hAnsi="Times New Roman" w:cs="Times New Roman" w:hint="eastAsia"/>
                <w:sz w:val="28"/>
                <w:szCs w:val="28"/>
              </w:rPr>
              <w:t>日</w:t>
            </w:r>
          </w:p>
        </w:tc>
      </w:tr>
    </w:tbl>
    <w:p w:rsidR="00D82307" w:rsidRPr="00BE688D" w:rsidRDefault="00D82307" w:rsidP="00D82307">
      <w:pPr>
        <w:spacing w:line="500" w:lineRule="exact"/>
        <w:ind w:firstLineChars="200" w:firstLine="560"/>
        <w:rPr>
          <w:rFonts w:ascii="仿宋_GB2312" w:eastAsia="仿宋_GB2312"/>
          <w:sz w:val="28"/>
          <w:szCs w:val="28"/>
        </w:rPr>
      </w:pPr>
      <w:r w:rsidRPr="00BE688D">
        <w:rPr>
          <w:rFonts w:ascii="仿宋_GB2312" w:eastAsia="仿宋_GB2312" w:hint="eastAsia"/>
          <w:sz w:val="28"/>
          <w:szCs w:val="28"/>
        </w:rPr>
        <w:t>备注：评标专家有扣分情况时填写（无扣分情况的无需填报）。</w:t>
      </w:r>
    </w:p>
    <w:p w:rsidR="00D82307" w:rsidRPr="00074FD9" w:rsidRDefault="00D82307" w:rsidP="00D82307">
      <w:pPr>
        <w:spacing w:line="500" w:lineRule="exact"/>
        <w:ind w:firstLineChars="200" w:firstLine="560"/>
        <w:rPr>
          <w:rFonts w:eastAsia="楷体_GB2312"/>
          <w:sz w:val="28"/>
          <w:szCs w:val="28"/>
        </w:rPr>
      </w:pPr>
    </w:p>
    <w:p w:rsidR="00D82307" w:rsidRPr="00BE688D" w:rsidRDefault="00D82307" w:rsidP="00D82307">
      <w:pPr>
        <w:pStyle w:val="a5"/>
        <w:spacing w:line="480" w:lineRule="exact"/>
        <w:rPr>
          <w:rFonts w:ascii="仿宋_GB2312" w:eastAsia="仿宋_GB2312" w:hAnsi="Times New Roman" w:cs="Times New Roman"/>
          <w:sz w:val="32"/>
          <w:szCs w:val="32"/>
        </w:rPr>
      </w:pPr>
      <w:r w:rsidRPr="00BE688D">
        <w:rPr>
          <w:rFonts w:ascii="仿宋_GB2312" w:eastAsia="仿宋_GB2312" w:hAnsi="Times New Roman" w:cs="Times New Roman" w:hint="eastAsia"/>
          <w:sz w:val="32"/>
          <w:szCs w:val="32"/>
        </w:rPr>
        <w:lastRenderedPageBreak/>
        <w:t>附表5：</w:t>
      </w:r>
    </w:p>
    <w:p w:rsidR="00D82307" w:rsidRPr="00074FD9" w:rsidRDefault="00D82307" w:rsidP="00D82307">
      <w:pPr>
        <w:pStyle w:val="a5"/>
        <w:spacing w:line="480" w:lineRule="exact"/>
        <w:rPr>
          <w:rFonts w:ascii="Times New Roman" w:eastAsia="黑体" w:hAnsi="Times New Roman" w:cs="Times New Roman"/>
          <w:sz w:val="32"/>
          <w:szCs w:val="32"/>
        </w:rPr>
      </w:pPr>
    </w:p>
    <w:p w:rsidR="00D82307" w:rsidRPr="00074FD9" w:rsidRDefault="00D82307" w:rsidP="00D82307">
      <w:pPr>
        <w:pStyle w:val="a5"/>
        <w:spacing w:beforeLines="50" w:line="560" w:lineRule="exact"/>
        <w:jc w:val="center"/>
        <w:rPr>
          <w:rFonts w:ascii="Times New Roman" w:eastAsia="方正小标宋简体" w:hAnsi="Times New Roman" w:cs="Times New Roman"/>
          <w:sz w:val="44"/>
          <w:szCs w:val="44"/>
        </w:rPr>
      </w:pPr>
      <w:r w:rsidRPr="00074FD9">
        <w:rPr>
          <w:rFonts w:ascii="Times New Roman" w:eastAsia="方正小标宋简体" w:hAnsi="Times New Roman" w:cs="Times New Roman" w:hint="eastAsia"/>
          <w:sz w:val="44"/>
          <w:szCs w:val="44"/>
        </w:rPr>
        <w:t>温岭市评标专家综合评价表</w:t>
      </w:r>
    </w:p>
    <w:p w:rsidR="00D82307" w:rsidRPr="00074FD9" w:rsidRDefault="00D82307" w:rsidP="00D82307">
      <w:pPr>
        <w:pStyle w:val="a5"/>
        <w:spacing w:line="300" w:lineRule="exact"/>
        <w:jc w:val="center"/>
        <w:rPr>
          <w:rFonts w:ascii="Times New Roman" w:eastAsia="方正小标宋简体" w:hAnsi="Times New Roman" w:cs="Times New Roman"/>
          <w:sz w:val="36"/>
          <w:szCs w:val="36"/>
        </w:rPr>
      </w:pPr>
    </w:p>
    <w:p w:rsidR="00D82307" w:rsidRPr="00074FD9" w:rsidRDefault="00D82307" w:rsidP="00D82307">
      <w:pPr>
        <w:pStyle w:val="a5"/>
        <w:spacing w:afterLines="50" w:line="600" w:lineRule="atLeast"/>
        <w:rPr>
          <w:rFonts w:ascii="Times New Roman" w:eastAsia="仿宋_GB2312" w:hAnsi="Times New Roman" w:cs="Times New Roman"/>
          <w:b/>
          <w:bCs/>
          <w:sz w:val="24"/>
          <w:szCs w:val="24"/>
        </w:rPr>
      </w:pPr>
      <w:r w:rsidRPr="00074FD9">
        <w:rPr>
          <w:rFonts w:ascii="Times New Roman" w:eastAsia="仿宋_GB2312" w:hAnsi="Times New Roman" w:cs="Times New Roman" w:hint="eastAsia"/>
          <w:b/>
          <w:bCs/>
          <w:sz w:val="24"/>
          <w:szCs w:val="24"/>
        </w:rPr>
        <w:t>填表单位（公章）：</w:t>
      </w:r>
      <w:r w:rsidRPr="00074FD9">
        <w:rPr>
          <w:rFonts w:ascii="Times New Roman" w:eastAsia="仿宋_GB2312" w:hAnsi="Times New Roman" w:cs="Times New Roman"/>
          <w:b/>
          <w:bCs/>
          <w:sz w:val="24"/>
          <w:szCs w:val="24"/>
        </w:rPr>
        <w:t xml:space="preserve">                                </w:t>
      </w:r>
      <w:r w:rsidRPr="00074FD9">
        <w:rPr>
          <w:rFonts w:ascii="Times New Roman" w:eastAsia="仿宋_GB2312" w:hAnsi="Times New Roman" w:cs="Times New Roman" w:hint="eastAsia"/>
          <w:b/>
          <w:bCs/>
          <w:sz w:val="24"/>
          <w:szCs w:val="24"/>
        </w:rPr>
        <w:t>填表时间：</w:t>
      </w:r>
      <w:r w:rsidRPr="00074FD9">
        <w:rPr>
          <w:rFonts w:ascii="Times New Roman" w:eastAsia="仿宋_GB2312" w:hAnsi="Times New Roman" w:cs="Times New Roman"/>
          <w:b/>
          <w:bCs/>
          <w:sz w:val="24"/>
          <w:szCs w:val="24"/>
        </w:rPr>
        <w:t xml:space="preserve"> </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1115"/>
        <w:gridCol w:w="1453"/>
        <w:gridCol w:w="4768"/>
        <w:gridCol w:w="740"/>
      </w:tblGrid>
      <w:tr w:rsidR="00D82307" w:rsidRPr="00074FD9" w:rsidTr="00456233">
        <w:trPr>
          <w:trHeight w:val="567"/>
          <w:jc w:val="center"/>
        </w:trPr>
        <w:tc>
          <w:tcPr>
            <w:tcW w:w="9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评标</w:t>
            </w:r>
          </w:p>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时间</w:t>
            </w:r>
          </w:p>
        </w:tc>
        <w:tc>
          <w:tcPr>
            <w:tcW w:w="111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项目名称</w:t>
            </w: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jc w:val="center"/>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专家姓名</w:t>
            </w: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pStyle w:val="a5"/>
              <w:snapToGrid w:val="0"/>
              <w:ind w:firstLineChars="650" w:firstLine="1560"/>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评价扣分依据</w:t>
            </w: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ind w:firstLineChars="50" w:firstLine="120"/>
              <w:rPr>
                <w:rFonts w:ascii="Times New Roman" w:eastAsia="黑体" w:hAnsi="Times New Roman" w:cs="Times New Roman"/>
                <w:sz w:val="24"/>
                <w:szCs w:val="24"/>
              </w:rPr>
            </w:pPr>
            <w:r w:rsidRPr="00074FD9">
              <w:rPr>
                <w:rFonts w:ascii="Times New Roman" w:eastAsia="黑体" w:hAnsi="Times New Roman" w:cs="Times New Roman" w:hint="eastAsia"/>
                <w:sz w:val="24"/>
                <w:szCs w:val="24"/>
              </w:rPr>
              <w:t>扣分</w:t>
            </w:r>
          </w:p>
        </w:tc>
      </w:tr>
      <w:tr w:rsidR="00D82307" w:rsidRPr="00074FD9" w:rsidTr="00456233">
        <w:trPr>
          <w:trHeight w:val="240"/>
          <w:jc w:val="center"/>
        </w:trPr>
        <w:tc>
          <w:tcPr>
            <w:tcW w:w="9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40"/>
          <w:jc w:val="center"/>
        </w:trPr>
        <w:tc>
          <w:tcPr>
            <w:tcW w:w="9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25"/>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30"/>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10"/>
          <w:jc w:val="center"/>
        </w:trPr>
        <w:tc>
          <w:tcPr>
            <w:tcW w:w="93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jc w:val="center"/>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snapToGrid w:val="0"/>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210"/>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r w:rsidR="00D82307" w:rsidRPr="00074FD9" w:rsidTr="00456233">
        <w:trPr>
          <w:trHeight w:val="345"/>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jc w:val="left"/>
              <w:rPr>
                <w:kern w:val="0"/>
                <w:sz w:val="28"/>
                <w:szCs w:val="28"/>
              </w:rPr>
            </w:pPr>
          </w:p>
        </w:tc>
        <w:tc>
          <w:tcPr>
            <w:tcW w:w="1453"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snapToGrid w:val="0"/>
              <w:rPr>
                <w:kern w:val="0"/>
                <w:sz w:val="28"/>
                <w:szCs w:val="28"/>
              </w:rPr>
            </w:pPr>
          </w:p>
        </w:tc>
        <w:tc>
          <w:tcPr>
            <w:tcW w:w="4768" w:type="dxa"/>
            <w:tcBorders>
              <w:top w:val="single" w:sz="4" w:space="0" w:color="auto"/>
              <w:left w:val="single" w:sz="4" w:space="0" w:color="auto"/>
              <w:bottom w:val="single" w:sz="4" w:space="0" w:color="auto"/>
              <w:right w:val="single" w:sz="4" w:space="0" w:color="auto"/>
            </w:tcBorders>
            <w:vAlign w:val="center"/>
          </w:tcPr>
          <w:p w:rsidR="00D82307" w:rsidRPr="00074FD9" w:rsidRDefault="00D82307" w:rsidP="00456233">
            <w:pPr>
              <w:rPr>
                <w:sz w:val="28"/>
                <w:szCs w:val="28"/>
              </w:rPr>
            </w:pPr>
          </w:p>
        </w:tc>
        <w:tc>
          <w:tcPr>
            <w:tcW w:w="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2307" w:rsidRPr="00074FD9" w:rsidRDefault="00D82307" w:rsidP="00456233">
            <w:pPr>
              <w:pStyle w:val="a5"/>
              <w:snapToGrid w:val="0"/>
              <w:jc w:val="center"/>
              <w:rPr>
                <w:rFonts w:ascii="Times New Roman" w:eastAsia="仿宋_GB2312" w:hAnsi="Times New Roman" w:cs="Times New Roman"/>
                <w:sz w:val="28"/>
                <w:szCs w:val="28"/>
              </w:rPr>
            </w:pPr>
          </w:p>
        </w:tc>
      </w:tr>
    </w:tbl>
    <w:p w:rsidR="00D82307" w:rsidRPr="00BE688D" w:rsidRDefault="00D82307" w:rsidP="00D82307">
      <w:pPr>
        <w:spacing w:line="600" w:lineRule="exact"/>
        <w:ind w:left="560" w:hangingChars="200" w:hanging="560"/>
        <w:rPr>
          <w:rFonts w:ascii="仿宋_GB2312" w:eastAsia="仿宋_GB2312"/>
          <w:sz w:val="28"/>
          <w:szCs w:val="28"/>
        </w:rPr>
        <w:sectPr w:rsidR="00D82307" w:rsidRPr="00BE688D" w:rsidSect="00407DDB">
          <w:footerReference w:type="even" r:id="rId6"/>
          <w:footerReference w:type="default" r:id="rId7"/>
          <w:pgSz w:w="11906" w:h="16838"/>
          <w:pgMar w:top="2098" w:right="1588" w:bottom="2098" w:left="1588" w:header="851" w:footer="1588" w:gutter="0"/>
          <w:pgNumType w:fmt="numberInDash" w:start="1" w:chapStyle="1"/>
          <w:cols w:space="720"/>
          <w:docGrid w:type="lines" w:linePitch="312"/>
        </w:sectPr>
      </w:pPr>
      <w:r w:rsidRPr="00BE688D">
        <w:rPr>
          <w:rFonts w:ascii="仿宋_GB2312" w:eastAsia="仿宋_GB2312" w:hint="eastAsia"/>
          <w:sz w:val="28"/>
          <w:szCs w:val="28"/>
        </w:rPr>
        <w:t>注：此表由市公</w:t>
      </w:r>
      <w:r>
        <w:rPr>
          <w:rFonts w:ascii="仿宋_GB2312" w:eastAsia="仿宋_GB2312" w:hint="eastAsia"/>
          <w:sz w:val="28"/>
          <w:szCs w:val="28"/>
        </w:rPr>
        <w:t>管委填写（无扣分情况无需填报），并在每月月底前报送台州市公管办。</w:t>
      </w:r>
    </w:p>
    <w:p w:rsidR="00A17D10" w:rsidRPr="00D82307" w:rsidRDefault="00A17D10"/>
    <w:sectPr w:rsidR="00A17D10" w:rsidRPr="00D82307" w:rsidSect="00A17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06" w:rsidRDefault="00FE2A06" w:rsidP="00D82307">
      <w:r>
        <w:separator/>
      </w:r>
    </w:p>
  </w:endnote>
  <w:endnote w:type="continuationSeparator" w:id="0">
    <w:p w:rsidR="00FE2A06" w:rsidRDefault="00FE2A06" w:rsidP="00D823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E4" w:rsidRDefault="00FE2A06">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rPr>
      <w:t>- 4 -</w:t>
    </w:r>
    <w:r>
      <w:fldChar w:fldCharType="end"/>
    </w:r>
  </w:p>
  <w:p w:rsidR="00EF11E4" w:rsidRDefault="00FE2A0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E4" w:rsidRDefault="00FE2A06" w:rsidP="00BE688D">
    <w:pPr>
      <w:pStyle w:val="a3"/>
      <w:framePr w:wrap="around" w:vAnchor="text" w:hAnchor="margin" w:xAlign="outside" w:y="1"/>
      <w:rPr>
        <w:rStyle w:val="a4"/>
        <w:sz w:val="24"/>
        <w:szCs w:val="24"/>
      </w:rPr>
    </w:pPr>
    <w:r>
      <w:rPr>
        <w:sz w:val="24"/>
        <w:szCs w:val="24"/>
      </w:rPr>
      <w:fldChar w:fldCharType="begin"/>
    </w:r>
    <w:r>
      <w:rPr>
        <w:rStyle w:val="a4"/>
        <w:sz w:val="24"/>
        <w:szCs w:val="24"/>
      </w:rPr>
      <w:instrText xml:space="preserve">PAGE  </w:instrText>
    </w:r>
    <w:r>
      <w:rPr>
        <w:sz w:val="24"/>
        <w:szCs w:val="24"/>
      </w:rPr>
      <w:fldChar w:fldCharType="separate"/>
    </w:r>
    <w:r w:rsidR="00D82307">
      <w:rPr>
        <w:rStyle w:val="a4"/>
        <w:noProof/>
        <w:sz w:val="24"/>
        <w:szCs w:val="24"/>
      </w:rPr>
      <w:t>10</w:t>
    </w:r>
    <w:r>
      <w:rPr>
        <w:sz w:val="24"/>
        <w:szCs w:val="24"/>
      </w:rPr>
      <w:fldChar w:fldCharType="end"/>
    </w:r>
  </w:p>
  <w:p w:rsidR="00EF11E4" w:rsidRDefault="00FE2A0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06" w:rsidRDefault="00FE2A06" w:rsidP="00D82307">
      <w:r>
        <w:separator/>
      </w:r>
    </w:p>
  </w:footnote>
  <w:footnote w:type="continuationSeparator" w:id="0">
    <w:p w:rsidR="00FE2A06" w:rsidRDefault="00FE2A06" w:rsidP="00D823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307"/>
    <w:rsid w:val="00A17D10"/>
    <w:rsid w:val="00D82307"/>
    <w:rsid w:val="00FE2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D8230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D82307"/>
    <w:rPr>
      <w:sz w:val="18"/>
      <w:szCs w:val="18"/>
    </w:rPr>
  </w:style>
  <w:style w:type="character" w:styleId="a4">
    <w:name w:val="page number"/>
    <w:basedOn w:val="a0"/>
    <w:rsid w:val="00D82307"/>
  </w:style>
  <w:style w:type="paragraph" w:styleId="a5">
    <w:name w:val="Plain Text"/>
    <w:basedOn w:val="a"/>
    <w:link w:val="Char0"/>
    <w:rsid w:val="00D82307"/>
    <w:rPr>
      <w:rFonts w:ascii="宋体" w:hAnsi="Courier New" w:cs="Courier New"/>
      <w:szCs w:val="21"/>
    </w:rPr>
  </w:style>
  <w:style w:type="character" w:customStyle="1" w:styleId="Char0">
    <w:name w:val="纯文本 Char"/>
    <w:basedOn w:val="a0"/>
    <w:link w:val="a5"/>
    <w:rsid w:val="00D82307"/>
    <w:rPr>
      <w:rFonts w:ascii="宋体" w:eastAsia="宋体" w:hAnsi="Courier New" w:cs="Courier New"/>
      <w:szCs w:val="21"/>
    </w:rPr>
  </w:style>
  <w:style w:type="paragraph" w:styleId="7">
    <w:name w:val="toc 7"/>
    <w:basedOn w:val="a"/>
    <w:next w:val="a"/>
    <w:autoRedefine/>
    <w:semiHidden/>
    <w:rsid w:val="00D82307"/>
    <w:pPr>
      <w:ind w:left="1260"/>
      <w:jc w:val="left"/>
    </w:pPr>
    <w:rPr>
      <w:sz w:val="18"/>
      <w:szCs w:val="18"/>
    </w:rPr>
  </w:style>
  <w:style w:type="paragraph" w:styleId="a6">
    <w:name w:val="header"/>
    <w:basedOn w:val="a"/>
    <w:link w:val="Char1"/>
    <w:uiPriority w:val="99"/>
    <w:semiHidden/>
    <w:unhideWhenUsed/>
    <w:rsid w:val="00D823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8230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kzsdvd</dc:creator>
  <cp:lastModifiedBy>kzsdvd</cp:lastModifiedBy>
  <cp:revision>1</cp:revision>
  <dcterms:created xsi:type="dcterms:W3CDTF">2020-07-07T01:28:00Z</dcterms:created>
  <dcterms:modified xsi:type="dcterms:W3CDTF">2020-07-07T01:31:00Z</dcterms:modified>
</cp:coreProperties>
</file>