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ascii="方正小标宋简体" w:hAnsi="??" w:eastAsia="方正小标宋简体"/>
          <w:b/>
          <w:bCs/>
          <w:sz w:val="44"/>
          <w:szCs w:val="44"/>
        </w:rPr>
      </w:pPr>
      <w:r>
        <w:rPr>
          <w:rFonts w:hint="eastAsia" w:ascii="方正小标宋简体" w:hAnsi="方正小标宋简体" w:eastAsia="方正小标宋简体" w:cs="方正小标宋简体"/>
          <w:sz w:val="44"/>
          <w:szCs w:val="44"/>
        </w:rPr>
        <w:t>温岭市</w:t>
      </w:r>
      <w:r>
        <w:rPr>
          <w:rFonts w:hint="eastAsia" w:ascii="方正小标宋简体" w:hAnsi="??" w:eastAsia="方正小标宋简体" w:cs="方正小标宋简体"/>
          <w:sz w:val="44"/>
          <w:szCs w:val="44"/>
        </w:rPr>
        <w:t>住房和城乡建设局</w:t>
      </w:r>
      <w:r>
        <w:rPr>
          <w:rFonts w:ascii="方正小标宋简体" w:hAnsi="??" w:eastAsia="方正小标宋简体" w:cs="方正小标宋简体"/>
          <w:sz w:val="44"/>
          <w:szCs w:val="44"/>
        </w:rPr>
        <w:t>2021</w:t>
      </w:r>
      <w:r>
        <w:rPr>
          <w:rFonts w:hint="eastAsia" w:ascii="方正小标宋简体" w:hAnsi="??" w:eastAsia="方正小标宋简体" w:cs="方正小标宋简体"/>
          <w:sz w:val="44"/>
          <w:szCs w:val="44"/>
        </w:rPr>
        <w:t>年部门预算</w:t>
      </w:r>
    </w:p>
    <w:p>
      <w:pPr>
        <w:spacing w:line="590" w:lineRule="exact"/>
        <w:ind w:firstLine="640" w:firstLineChars="200"/>
        <w:rPr>
          <w:rFonts w:ascii="仿宋_GB2312" w:hAnsi="??" w:eastAsia="仿宋_GB2312"/>
          <w:sz w:val="32"/>
          <w:szCs w:val="32"/>
        </w:rPr>
      </w:pPr>
    </w:p>
    <w:p>
      <w:pPr>
        <w:spacing w:line="600" w:lineRule="exact"/>
        <w:ind w:firstLine="640" w:firstLineChars="200"/>
        <w:rPr>
          <w:rFonts w:ascii="黑体" w:hAnsi="??" w:eastAsia="黑体"/>
          <w:sz w:val="32"/>
          <w:szCs w:val="32"/>
        </w:rPr>
      </w:pPr>
      <w:r>
        <w:rPr>
          <w:rFonts w:hint="eastAsia" w:ascii="黑体" w:hAnsi="黑体" w:eastAsia="黑体" w:cs="黑体"/>
          <w:sz w:val="32"/>
          <w:szCs w:val="32"/>
        </w:rPr>
        <w:t>一、温岭市</w:t>
      </w:r>
      <w:r>
        <w:rPr>
          <w:rFonts w:hint="eastAsia" w:ascii="黑体" w:hAnsi="??" w:eastAsia="黑体" w:cs="黑体"/>
          <w:sz w:val="32"/>
          <w:szCs w:val="32"/>
        </w:rPr>
        <w:t>住房和城乡建设局概况</w:t>
      </w:r>
    </w:p>
    <w:p>
      <w:pPr>
        <w:spacing w:line="600" w:lineRule="exact"/>
        <w:ind w:firstLine="643" w:firstLineChars="200"/>
        <w:rPr>
          <w:rFonts w:ascii="仿宋_GB2312" w:hAnsi="??" w:eastAsia="仿宋_GB2312"/>
          <w:b/>
          <w:bCs/>
          <w:sz w:val="32"/>
          <w:szCs w:val="32"/>
        </w:rPr>
      </w:pPr>
      <w:r>
        <w:rPr>
          <w:rFonts w:hint="eastAsia" w:ascii="仿宋_GB2312" w:hAnsi="??" w:eastAsia="仿宋_GB2312" w:cs="仿宋_GB2312"/>
          <w:b/>
          <w:bCs/>
          <w:sz w:val="32"/>
          <w:szCs w:val="32"/>
        </w:rPr>
        <w:t>（一）主要职能</w:t>
      </w:r>
    </w:p>
    <w:p>
      <w:pPr>
        <w:spacing w:line="600" w:lineRule="exact"/>
        <w:ind w:firstLine="560" w:firstLineChars="200"/>
        <w:rPr>
          <w:rFonts w:ascii="仿宋_GB2312" w:hAnsi="仿宋_GB2312" w:eastAsia="仿宋_GB2312"/>
          <w:sz w:val="32"/>
          <w:szCs w:val="32"/>
        </w:rPr>
      </w:pPr>
      <w:r>
        <w:rPr>
          <w:rFonts w:ascii="仿宋_GB2312" w:hAnsi="宋体" w:eastAsia="仿宋_GB2312" w:cs="仿宋_GB2312"/>
          <w:sz w:val="28"/>
          <w:szCs w:val="28"/>
        </w:rPr>
        <w:t>1</w:t>
      </w:r>
      <w:r>
        <w:rPr>
          <w:rFonts w:hint="eastAsia" w:ascii="仿宋_GB2312" w:hAnsi="宋体" w:eastAsia="仿宋_GB2312" w:cs="仿宋_GB2312"/>
          <w:sz w:val="28"/>
          <w:szCs w:val="28"/>
        </w:rPr>
        <w:t>、</w:t>
      </w:r>
      <w:r>
        <w:rPr>
          <w:rFonts w:hint="eastAsia" w:ascii="仿宋_GB2312" w:hAnsi="仿宋_GB2312" w:eastAsia="仿宋_GB2312" w:cs="仿宋_GB2312"/>
          <w:sz w:val="32"/>
          <w:szCs w:val="32"/>
        </w:rPr>
        <w:t>组织编制城镇住房保障发展规划和年度计划并监督实施，拟订城镇住房保障政策并指导实施。牵头监督指导全市保障性安居工程建设，负责城镇低收入住房困难家庭基本住房保障。会同有关部门承担保障性安居工程资金安排等相关工作。</w:t>
      </w:r>
    </w:p>
    <w:p>
      <w:pPr>
        <w:spacing w:line="6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、拟订全市住房建设规划、住房政策并指导实施。指导住房建设和住房制度改革，研究住房和城乡建设的重大问题。</w:t>
      </w:r>
    </w:p>
    <w:p>
      <w:pPr>
        <w:spacing w:line="6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负责住房和城乡建设领域资质资格管理，按照职责分工指导或组织对住房和城乡建设领域违法违规行为进行查处。落实建筑活动监管中的生态环境保护要求，按照职责分工指导协调城市建筑工地、城镇管理基础设施涉及的污染防治工作。负责建筑、房地产行业安全生产监督管理，指导城市建设的安全生产管理工作。</w:t>
      </w:r>
    </w:p>
    <w:p>
      <w:pPr>
        <w:spacing w:line="6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、拟订全市工程建设和工程造价计价行政规范性文件并指导监督实施；负责公共服务设施（不含通信设施）建设标准的监督实施，指导监督各类工程建设标准定额实施和工程造价计价，组织发布工程造价信息。</w:t>
      </w:r>
    </w:p>
    <w:p>
      <w:pPr>
        <w:spacing w:line="6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拟订房地产市场监管政策并监督执行，组织开展房地产市场的监测分析，提出房地产业的行业发展规划和产业政策建议，负责房地产开发、房屋交易、房屋租赁、直管公房、房屋面积、房地产估价与经纪、物业管理、房屋征收补偿、房屋使用安全、房屋白蚁防治等管理制度的实施和监督。</w:t>
      </w:r>
    </w:p>
    <w:p>
      <w:pPr>
        <w:spacing w:line="6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、拟订全市城乡建设事业的政策、发展规划并指导监督实施，参与推进城市化工作，指导全市城乡排水、燃气、园林绿化、城市道路、污水处理等市政公用基础设施规划建设、运营安全和应急管理工作。</w:t>
      </w:r>
    </w:p>
    <w:p>
      <w:pPr>
        <w:spacing w:line="6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、拟订村镇建设管理、城市管理行政规范性文件并指导实施；参与全市农村人居环境提升相关工作，参与乡村振兴战略和美丽乡村建设。指导农房设计、农村住房建设和安全及危房改造。</w:t>
      </w:r>
    </w:p>
    <w:p>
      <w:pPr>
        <w:spacing w:line="6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贯彻执行国家、省和台州市关于城市管理工作的法律法规规章和方针政策，负责编制城市管理发展战略、中长期发展规划和年度计划，并组织实施。负责对全市市政公用设施运行管理、园林绿化管理、物业管理工作的指导、协调、检查和监督。按照职责分工指导协调城镇基础设施运行管理涉及的污染防治工作。指导城市管理与运行的安全生产管理工作。做好城市管理领域城镇减排工作。负责市管的市政公用设施运行管理、园林绿化管理、物业管理及涉及到的相关行政许可。会同财政部门编制城市管理维护经费年度计划，并组织实施和监管使用。</w:t>
      </w:r>
    </w:p>
    <w:p>
      <w:pPr>
        <w:spacing w:line="6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9</w:t>
      </w:r>
      <w:r>
        <w:rPr>
          <w:rFonts w:hint="eastAsia" w:ascii="仿宋_GB2312" w:hAnsi="仿宋_GB2312" w:eastAsia="仿宋_GB2312" w:cs="仿宋_GB2312"/>
          <w:sz w:val="32"/>
          <w:szCs w:val="32"/>
        </w:rPr>
        <w:t>、制定建筑业、勘察设计业、监理造价咨询业发展规划、产业政策并组织实施，制定建筑市场制度和信用标准并监督执行，组织推进建筑工业化、工程总承包、全过程工程咨询，指导建筑业企业对外承包工程，按照职责分工对建设工程招标投标活动实施监督。</w:t>
      </w:r>
    </w:p>
    <w:p>
      <w:pPr>
        <w:spacing w:line="6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10</w:t>
      </w:r>
      <w:r>
        <w:rPr>
          <w:rFonts w:hint="eastAsia" w:ascii="仿宋_GB2312" w:hAnsi="仿宋_GB2312" w:eastAsia="仿宋_GB2312" w:cs="仿宋_GB2312"/>
          <w:sz w:val="32"/>
          <w:szCs w:val="32"/>
        </w:rPr>
        <w:t>、制定建筑工程质量安全发展战略、规划并组织实施。制定建筑工程施工、建筑工程质量、建筑安全生产和竣工验收备案的政策、规章制度并监督执行。组织或参与工程较大质量、安全事故的调查处理，制定建筑业技术政策并指导实施，组织推进工程质量安全标准化管理和品牌工程创建工作。</w:t>
      </w:r>
    </w:p>
    <w:p>
      <w:pPr>
        <w:spacing w:line="6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11</w:t>
      </w:r>
      <w:r>
        <w:rPr>
          <w:rFonts w:hint="eastAsia" w:ascii="仿宋_GB2312" w:hAnsi="仿宋_GB2312" w:eastAsia="仿宋_GB2312" w:cs="仿宋_GB2312"/>
          <w:sz w:val="32"/>
          <w:szCs w:val="32"/>
        </w:rPr>
        <w:t>、拟订全市住房和城乡建设的科技发展规划和政策，会同有关部门拟订建筑节能与绿色建筑的政策、规划并监督实施，按照职责分工推进住房和城乡建设领域城镇减排工作。指导历史文化名城名镇名村保护、城市地下空间开发利用建设管理、城市雕塑建设等工作。</w:t>
      </w:r>
    </w:p>
    <w:p>
      <w:pPr>
        <w:spacing w:line="6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12</w:t>
      </w:r>
      <w:r>
        <w:rPr>
          <w:rFonts w:hint="eastAsia" w:ascii="仿宋_GB2312" w:hAnsi="仿宋_GB2312" w:eastAsia="仿宋_GB2312" w:cs="仿宋_GB2312"/>
          <w:sz w:val="32"/>
          <w:szCs w:val="32"/>
        </w:rPr>
        <w:t>、组织实施住房和城乡建设管理方面的国际金融组织贷款项目和对外交流合作。</w:t>
      </w:r>
    </w:p>
    <w:p>
      <w:pPr>
        <w:spacing w:line="6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13</w:t>
      </w:r>
      <w:r>
        <w:rPr>
          <w:rFonts w:hint="eastAsia" w:ascii="仿宋_GB2312" w:hAnsi="仿宋_GB2312" w:eastAsia="仿宋_GB2312" w:cs="仿宋_GB2312"/>
          <w:sz w:val="32"/>
          <w:szCs w:val="32"/>
        </w:rPr>
        <w:t>、受市政府委托管理市住房委员会办公室。</w:t>
      </w:r>
    </w:p>
    <w:p>
      <w:pPr>
        <w:spacing w:line="6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14</w:t>
      </w:r>
      <w:r>
        <w:rPr>
          <w:rFonts w:hint="eastAsia" w:ascii="仿宋_GB2312" w:hAnsi="仿宋_GB2312" w:eastAsia="仿宋_GB2312" w:cs="仿宋_GB2312"/>
          <w:sz w:val="32"/>
          <w:szCs w:val="32"/>
        </w:rPr>
        <w:t>、拟订人民防空规范性文件。负责人民防空专项规划（人民防空工程建设规划）编制、报批并监督实施。组织开展人民防空战备工作。负责人民防空信息化建设。会同有关部门编制重要经济目标防护目录。组织人民防空工程建设。参与军民融合建设。负责人民防空宣传教育。负责人民防空科学技术管理工作。战时根据市委、市政府和军事指挥机构决定，发布人民防空的有关命令和指示。</w:t>
      </w:r>
    </w:p>
    <w:p>
      <w:pPr>
        <w:spacing w:line="6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15</w:t>
      </w:r>
      <w:r>
        <w:rPr>
          <w:rFonts w:hint="eastAsia" w:ascii="仿宋_GB2312" w:hAnsi="仿宋_GB2312" w:eastAsia="仿宋_GB2312" w:cs="仿宋_GB2312"/>
          <w:sz w:val="32"/>
          <w:szCs w:val="32"/>
        </w:rPr>
        <w:t>、指导与监督管理建设工程消防设计审查验收。</w:t>
      </w:r>
    </w:p>
    <w:p>
      <w:pPr>
        <w:spacing w:line="6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16</w:t>
      </w:r>
      <w:r>
        <w:rPr>
          <w:rFonts w:hint="eastAsia" w:ascii="仿宋_GB2312" w:hAnsi="仿宋_GB2312" w:eastAsia="仿宋_GB2312" w:cs="仿宋_GB2312"/>
          <w:sz w:val="32"/>
          <w:szCs w:val="32"/>
        </w:rPr>
        <w:t>、完成市委、市政府和市人武部、市国防动员委员会交办的其他任务。</w:t>
      </w:r>
    </w:p>
    <w:p>
      <w:pPr>
        <w:spacing w:line="6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17</w:t>
      </w:r>
      <w:r>
        <w:rPr>
          <w:rFonts w:hint="eastAsia" w:ascii="仿宋_GB2312" w:hAnsi="仿宋_GB2312" w:eastAsia="仿宋_GB2312" w:cs="仿宋_GB2312"/>
          <w:sz w:val="32"/>
          <w:szCs w:val="32"/>
        </w:rPr>
        <w:t>、职能转变。按照“两个高水平”建设目标，全面推进基础设施现代化和城乡一体化建设，加强城市基础设施配套保障，提升城市综合承载力和辐射力，高质量推进城乡环境整治，改善城乡人居环境。加强房地产市场分类调控，全面实施多主体供给、多渠道保障、租购并举的住房制度，稳步扩大住房保障覆盖面，全面提升保障性住房建设管理水平。深入推进住房和城乡建设领域“最多跑一次”改革，继续牵头深化工程建设项目审批制度改革，不断优化审批流程。继续精简、取消、下放建设行业的办事事项，推进行业治理体系和治理能力现代化。</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切实履行战时防空、平时服务、应急支援使命任务，推动人防建设与经济社会民生深度融合，构建形成全民防护体系，铸就坚不可摧的护民之盾。坚持战备建设牵引，推进人民防空指挥部常态化建设，构建适应现代战争的人防组织指挥体系。坚持城市防护与重要经济目标防护并重，提升人防建设信息化水平，构建基于信息系统的综合防护体系。坚持平战结合，深度开发利用人防资产资源，不断提高战备效益、社会效益和经济效益。深化“放管服”改革，推进简政放权，努力构建现代人防建设市场体系。</w:t>
      </w:r>
    </w:p>
    <w:p>
      <w:pPr>
        <w:spacing w:line="6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18</w:t>
      </w:r>
      <w:r>
        <w:rPr>
          <w:rFonts w:hint="eastAsia" w:ascii="仿宋_GB2312" w:hAnsi="仿宋_GB2312" w:eastAsia="仿宋_GB2312" w:cs="仿宋_GB2312"/>
          <w:sz w:val="32"/>
          <w:szCs w:val="32"/>
        </w:rPr>
        <w:t>、关于重要经济目标防护建设的职责分工。市发展和改革局会同市住房和城乡建设局按照重要经济目标建设和管理有关规定，健全完善目录管理，协调行业主管部门编制重要经济目标建设防护规划，履行管理职能。市住房和城乡建设局会同市发展和改革局编制重要经济目标防护目录，依照规定对重要经济目标防护建设进行监督检查，指导重要经济目标单位开展防护专业队伍建设和训练演练。　</w:t>
      </w:r>
    </w:p>
    <w:p>
      <w:pPr>
        <w:spacing w:line="600" w:lineRule="exact"/>
        <w:ind w:firstLine="643" w:firstLineChars="200"/>
        <w:rPr>
          <w:rFonts w:ascii="仿宋_GB2312" w:hAnsi="??" w:eastAsia="仿宋_GB2312"/>
          <w:b/>
          <w:bCs/>
          <w:sz w:val="32"/>
          <w:szCs w:val="32"/>
        </w:rPr>
      </w:pPr>
      <w:r>
        <w:rPr>
          <w:rFonts w:hint="eastAsia" w:ascii="仿宋_GB2312" w:hAnsi="??" w:eastAsia="仿宋_GB2312" w:cs="仿宋_GB2312"/>
          <w:b/>
          <w:bCs/>
          <w:sz w:val="32"/>
          <w:szCs w:val="32"/>
        </w:rPr>
        <w:t>（二）部门机构设置情况</w:t>
      </w:r>
    </w:p>
    <w:p>
      <w:pPr>
        <w:spacing w:line="600" w:lineRule="exact"/>
        <w:ind w:firstLine="640" w:firstLineChars="200"/>
        <w:rPr>
          <w:rFonts w:ascii="仿宋_GB2312" w:hAnsi="??" w:eastAsia="仿宋_GB2312"/>
          <w:sz w:val="32"/>
          <w:szCs w:val="32"/>
        </w:rPr>
      </w:pPr>
      <w:r>
        <w:rPr>
          <w:rFonts w:hint="eastAsia" w:ascii="仿宋_GB2312" w:hAnsi="??" w:eastAsia="仿宋_GB2312" w:cs="仿宋_GB2312"/>
          <w:sz w:val="32"/>
          <w:szCs w:val="32"/>
        </w:rPr>
        <w:t>从预算单位构成看，住建局部门预算包括：局本级预算、局属</w:t>
      </w:r>
      <w:r>
        <w:rPr>
          <w:rFonts w:hint="eastAsia" w:ascii="仿宋_GB2312" w:hAnsi="仿宋_GB2312" w:eastAsia="仿宋_GB2312" w:cs="仿宋_GB2312"/>
          <w:sz w:val="32"/>
          <w:szCs w:val="32"/>
        </w:rPr>
        <w:t>住房保障和房管事务中心</w:t>
      </w:r>
      <w:r>
        <w:rPr>
          <w:rFonts w:hint="eastAsia" w:ascii="仿宋_GB2312" w:hAnsi="??" w:eastAsia="仿宋_GB2312" w:cs="仿宋_GB2312"/>
          <w:sz w:val="32"/>
          <w:szCs w:val="32"/>
        </w:rPr>
        <w:t>、局属</w:t>
      </w:r>
      <w:r>
        <w:rPr>
          <w:rFonts w:hint="eastAsia" w:ascii="仿宋_GB2312" w:hAnsi="仿宋_GB2312" w:eastAsia="仿宋_GB2312" w:cs="仿宋_GB2312"/>
          <w:sz w:val="32"/>
          <w:szCs w:val="32"/>
        </w:rPr>
        <w:t>温岭市市政公用工程建设中心、</w:t>
      </w:r>
      <w:r>
        <w:rPr>
          <w:rFonts w:hint="eastAsia" w:ascii="仿宋_GB2312" w:hAnsi="??" w:eastAsia="仿宋_GB2312" w:cs="仿宋_GB2312"/>
          <w:sz w:val="32"/>
          <w:szCs w:val="32"/>
        </w:rPr>
        <w:t>局属</w:t>
      </w:r>
      <w:r>
        <w:rPr>
          <w:rFonts w:hint="eastAsia" w:ascii="仿宋_GB2312" w:hAnsi="仿宋_GB2312" w:eastAsia="仿宋_GB2312" w:cs="仿宋_GB2312"/>
          <w:sz w:val="32"/>
          <w:szCs w:val="32"/>
        </w:rPr>
        <w:t>温岭市人防工程事务所、</w:t>
      </w:r>
      <w:r>
        <w:rPr>
          <w:rFonts w:hint="eastAsia" w:ascii="仿宋_GB2312" w:hAnsi="??" w:eastAsia="仿宋_GB2312" w:cs="仿宋_GB2312"/>
          <w:sz w:val="32"/>
          <w:szCs w:val="32"/>
        </w:rPr>
        <w:t>局属</w:t>
      </w:r>
      <w:r>
        <w:rPr>
          <w:rFonts w:hint="eastAsia" w:ascii="仿宋_GB2312" w:hAnsi="仿宋_GB2312" w:eastAsia="仿宋_GB2312" w:cs="仿宋_GB2312"/>
          <w:sz w:val="32"/>
          <w:szCs w:val="32"/>
        </w:rPr>
        <w:t>温岭市园林绿化养护事务中心、</w:t>
      </w:r>
      <w:r>
        <w:rPr>
          <w:rFonts w:hint="eastAsia" w:ascii="仿宋_GB2312" w:hAnsi="??" w:eastAsia="仿宋_GB2312" w:cs="仿宋_GB2312"/>
          <w:sz w:val="32"/>
          <w:szCs w:val="32"/>
        </w:rPr>
        <w:t>局属</w:t>
      </w:r>
      <w:r>
        <w:rPr>
          <w:rFonts w:hint="eastAsia" w:ascii="仿宋_GB2312" w:hAnsi="仿宋_GB2312" w:eastAsia="仿宋_GB2312" w:cs="仿宋_GB2312"/>
          <w:sz w:val="32"/>
          <w:szCs w:val="32"/>
        </w:rPr>
        <w:t>温岭市城建档案馆、</w:t>
      </w:r>
      <w:r>
        <w:rPr>
          <w:rFonts w:hint="eastAsia" w:ascii="仿宋_GB2312" w:hAnsi="??" w:eastAsia="仿宋_GB2312" w:cs="仿宋_GB2312"/>
          <w:sz w:val="32"/>
          <w:szCs w:val="32"/>
        </w:rPr>
        <w:t>局属</w:t>
      </w:r>
      <w:r>
        <w:rPr>
          <w:rFonts w:hint="eastAsia" w:ascii="仿宋_GB2312" w:hAnsi="仿宋_GB2312" w:eastAsia="仿宋_GB2312" w:cs="仿宋_GB2312"/>
          <w:sz w:val="32"/>
          <w:szCs w:val="32"/>
        </w:rPr>
        <w:t>温岭市建筑工程事务中心、</w:t>
      </w:r>
      <w:r>
        <w:rPr>
          <w:rFonts w:hint="eastAsia" w:ascii="仿宋_GB2312" w:hAnsi="??" w:eastAsia="仿宋_GB2312" w:cs="仿宋_GB2312"/>
          <w:sz w:val="32"/>
          <w:szCs w:val="32"/>
        </w:rPr>
        <w:t>局属</w:t>
      </w:r>
      <w:r>
        <w:rPr>
          <w:rFonts w:hint="eastAsia" w:ascii="仿宋_GB2312" w:hAnsi="仿宋_GB2312" w:eastAsia="仿宋_GB2312" w:cs="仿宋_GB2312"/>
          <w:sz w:val="32"/>
          <w:szCs w:val="32"/>
        </w:rPr>
        <w:t>温岭市建筑工程质量安全事务中心和局属温岭市建设工程安全服务中心</w:t>
      </w:r>
      <w:r>
        <w:rPr>
          <w:rFonts w:hint="eastAsia" w:ascii="仿宋_GB2312" w:hAnsi="??" w:eastAsia="仿宋_GB2312" w:cs="仿宋_GB2312"/>
          <w:sz w:val="32"/>
          <w:szCs w:val="32"/>
        </w:rPr>
        <w:t>预算。</w:t>
      </w:r>
    </w:p>
    <w:p>
      <w:pPr>
        <w:spacing w:line="600" w:lineRule="exact"/>
        <w:ind w:firstLine="640" w:firstLineChars="200"/>
        <w:rPr>
          <w:rFonts w:ascii="黑体" w:hAnsi="??" w:eastAsia="黑体"/>
          <w:sz w:val="32"/>
          <w:szCs w:val="32"/>
        </w:rPr>
      </w:pPr>
      <w:r>
        <w:rPr>
          <w:rFonts w:hint="eastAsia" w:ascii="黑体" w:hAnsi="黑体" w:eastAsia="黑体" w:cs="黑体"/>
          <w:sz w:val="32"/>
          <w:szCs w:val="32"/>
        </w:rPr>
        <w:t>二、</w:t>
      </w:r>
      <w:r>
        <w:rPr>
          <w:rFonts w:hint="eastAsia" w:ascii="黑体" w:hAnsi="??" w:eastAsia="黑体" w:cs="黑体"/>
          <w:sz w:val="32"/>
          <w:szCs w:val="32"/>
        </w:rPr>
        <w:t>住建局</w:t>
      </w:r>
      <w:r>
        <w:rPr>
          <w:rFonts w:ascii="黑体" w:hAnsi="??" w:eastAsia="黑体" w:cs="黑体"/>
          <w:sz w:val="32"/>
          <w:szCs w:val="32"/>
        </w:rPr>
        <w:t>2021</w:t>
      </w:r>
      <w:r>
        <w:rPr>
          <w:rFonts w:hint="eastAsia" w:ascii="黑体" w:hAnsi="??" w:eastAsia="黑体" w:cs="黑体"/>
          <w:sz w:val="32"/>
          <w:szCs w:val="32"/>
        </w:rPr>
        <w:t>年部门预算安排情况说明</w:t>
      </w:r>
    </w:p>
    <w:p>
      <w:pPr>
        <w:spacing w:line="600" w:lineRule="exact"/>
        <w:ind w:firstLine="643" w:firstLineChars="200"/>
        <w:rPr>
          <w:rFonts w:ascii="仿宋_GB2312" w:hAnsi="??" w:eastAsia="仿宋_GB2312"/>
          <w:b/>
          <w:bCs/>
          <w:sz w:val="32"/>
          <w:szCs w:val="32"/>
        </w:rPr>
      </w:pPr>
      <w:r>
        <w:rPr>
          <w:rFonts w:hint="eastAsia" w:ascii="仿宋_GB2312" w:hAnsi="??" w:eastAsia="仿宋_GB2312" w:cs="仿宋_GB2312"/>
          <w:b/>
          <w:bCs/>
          <w:sz w:val="32"/>
          <w:szCs w:val="32"/>
        </w:rPr>
        <w:t>（一）关于住建局</w:t>
      </w:r>
      <w:r>
        <w:rPr>
          <w:rFonts w:ascii="仿宋_GB2312" w:hAnsi="??" w:eastAsia="仿宋_GB2312" w:cs="仿宋_GB2312"/>
          <w:b/>
          <w:bCs/>
          <w:sz w:val="32"/>
          <w:szCs w:val="32"/>
        </w:rPr>
        <w:t>2021</w:t>
      </w:r>
      <w:r>
        <w:rPr>
          <w:rFonts w:hint="eastAsia" w:ascii="仿宋_GB2312" w:hAnsi="??" w:eastAsia="仿宋_GB2312" w:cs="仿宋_GB2312"/>
          <w:b/>
          <w:bCs/>
          <w:sz w:val="32"/>
          <w:szCs w:val="32"/>
        </w:rPr>
        <w:t>年收支预算情况的总体说明</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按照综合预算的原则，住建局所有收入和支出均纳入部门预算管理。收入包括：一般公共预算拨款收入、政府性基金预算收入、专户资金收入、其他收入、省补助收入、上年结转；支出包括：社会保障和就业支出、节能环保支出、城乡社区支出。住建局</w:t>
      </w:r>
      <w:r>
        <w:rPr>
          <w:rFonts w:ascii="仿宋_GB2312" w:eastAsia="仿宋_GB2312" w:cs="仿宋_GB2312"/>
          <w:sz w:val="32"/>
          <w:szCs w:val="32"/>
        </w:rPr>
        <w:t>2021</w:t>
      </w:r>
      <w:r>
        <w:rPr>
          <w:rFonts w:hint="eastAsia" w:ascii="仿宋_GB2312" w:eastAsia="仿宋_GB2312" w:cs="仿宋_GB2312"/>
          <w:sz w:val="32"/>
          <w:szCs w:val="32"/>
        </w:rPr>
        <w:t>年收支总预算</w:t>
      </w:r>
      <w:r>
        <w:rPr>
          <w:rFonts w:ascii="仿宋_GB2312" w:eastAsia="仿宋_GB2312" w:cs="仿宋_GB2312"/>
          <w:sz w:val="32"/>
          <w:szCs w:val="32"/>
        </w:rPr>
        <w:t>41067.6</w:t>
      </w:r>
      <w:r>
        <w:rPr>
          <w:rFonts w:hint="eastAsia" w:ascii="仿宋_GB2312" w:eastAsia="仿宋_GB2312" w:cs="仿宋_GB2312"/>
          <w:sz w:val="32"/>
          <w:szCs w:val="32"/>
        </w:rPr>
        <w:t>万元。</w:t>
      </w:r>
    </w:p>
    <w:p>
      <w:pPr>
        <w:spacing w:line="600" w:lineRule="exact"/>
        <w:ind w:firstLine="643" w:firstLineChars="200"/>
        <w:rPr>
          <w:rFonts w:eastAsia="仿宋_GB2312"/>
          <w:b/>
          <w:bCs/>
          <w:sz w:val="32"/>
          <w:szCs w:val="32"/>
        </w:rPr>
      </w:pPr>
      <w:r>
        <w:rPr>
          <w:rFonts w:hint="eastAsia" w:ascii="仿宋_GB2312" w:hAnsi="??" w:eastAsia="仿宋_GB2312" w:cs="仿宋_GB2312"/>
          <w:b/>
          <w:bCs/>
          <w:sz w:val="32"/>
          <w:szCs w:val="32"/>
        </w:rPr>
        <w:t>（二）关于住建局</w:t>
      </w:r>
      <w:r>
        <w:rPr>
          <w:rFonts w:ascii="仿宋_GB2312" w:hAnsi="??" w:eastAsia="仿宋_GB2312" w:cs="仿宋_GB2312"/>
          <w:b/>
          <w:bCs/>
          <w:sz w:val="32"/>
          <w:szCs w:val="32"/>
        </w:rPr>
        <w:t>2021</w:t>
      </w:r>
      <w:r>
        <w:rPr>
          <w:rFonts w:hint="eastAsia" w:ascii="仿宋_GB2312" w:hAnsi="??" w:eastAsia="仿宋_GB2312" w:cs="仿宋_GB2312"/>
          <w:b/>
          <w:bCs/>
          <w:sz w:val="32"/>
          <w:szCs w:val="32"/>
        </w:rPr>
        <w:t>年收入预算情况说明</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住建局</w:t>
      </w:r>
      <w:r>
        <w:rPr>
          <w:rFonts w:ascii="仿宋_GB2312" w:eastAsia="仿宋_GB2312" w:cs="仿宋_GB2312"/>
          <w:sz w:val="32"/>
          <w:szCs w:val="32"/>
        </w:rPr>
        <w:t>2021</w:t>
      </w:r>
      <w:r>
        <w:rPr>
          <w:rFonts w:hint="eastAsia" w:ascii="仿宋_GB2312" w:eastAsia="仿宋_GB2312" w:cs="仿宋_GB2312"/>
          <w:sz w:val="32"/>
          <w:szCs w:val="32"/>
        </w:rPr>
        <w:t>年收入预算</w:t>
      </w:r>
      <w:r>
        <w:rPr>
          <w:rFonts w:ascii="仿宋_GB2312" w:eastAsia="仿宋_GB2312" w:cs="仿宋_GB2312"/>
          <w:sz w:val="32"/>
          <w:szCs w:val="32"/>
        </w:rPr>
        <w:t>41067.6</w:t>
      </w:r>
      <w:r>
        <w:rPr>
          <w:rFonts w:hint="eastAsia" w:ascii="仿宋_GB2312" w:eastAsia="仿宋_GB2312" w:cs="仿宋_GB2312"/>
          <w:sz w:val="32"/>
          <w:szCs w:val="32"/>
        </w:rPr>
        <w:t>万元，</w:t>
      </w:r>
      <w:r>
        <w:rPr>
          <w:rFonts w:hint="eastAsia" w:ascii="仿宋_GB2312" w:hAnsi="??" w:eastAsia="仿宋_GB2312" w:cs="仿宋_GB2312"/>
          <w:sz w:val="32"/>
          <w:szCs w:val="32"/>
        </w:rPr>
        <w:t>比上年收入执行数增加</w:t>
      </w:r>
      <w:r>
        <w:rPr>
          <w:rFonts w:ascii="仿宋_GB2312" w:hAnsi="??" w:eastAsia="仿宋_GB2312" w:cs="仿宋_GB2312"/>
          <w:sz w:val="32"/>
          <w:szCs w:val="32"/>
        </w:rPr>
        <w:t>2682.1</w:t>
      </w:r>
      <w:r>
        <w:rPr>
          <w:rFonts w:hint="eastAsia" w:ascii="仿宋_GB2312" w:hAnsi="??" w:eastAsia="仿宋_GB2312" w:cs="仿宋_GB2312"/>
          <w:sz w:val="32"/>
          <w:szCs w:val="32"/>
        </w:rPr>
        <w:t>万元，增长</w:t>
      </w:r>
      <w:r>
        <w:rPr>
          <w:rFonts w:ascii="仿宋_GB2312" w:hAnsi="??" w:eastAsia="仿宋_GB2312" w:cs="仿宋_GB2312"/>
          <w:sz w:val="32"/>
          <w:szCs w:val="32"/>
        </w:rPr>
        <w:t>7%</w:t>
      </w:r>
      <w:r>
        <w:rPr>
          <w:rFonts w:hint="eastAsia" w:ascii="仿宋_GB2312" w:eastAsia="仿宋_GB2312" w:cs="仿宋_GB2312"/>
          <w:sz w:val="32"/>
          <w:szCs w:val="32"/>
        </w:rPr>
        <w:t>，主要原因是其他收入增长较大。</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其中：上年结转</w:t>
      </w:r>
      <w:r>
        <w:rPr>
          <w:rFonts w:ascii="仿宋_GB2312" w:eastAsia="仿宋_GB2312" w:cs="仿宋_GB2312"/>
          <w:sz w:val="32"/>
          <w:szCs w:val="32"/>
        </w:rPr>
        <w:t>276.7</w:t>
      </w:r>
      <w:r>
        <w:rPr>
          <w:rFonts w:hint="eastAsia" w:ascii="仿宋_GB2312" w:eastAsia="仿宋_GB2312" w:cs="仿宋_GB2312"/>
          <w:sz w:val="32"/>
          <w:szCs w:val="32"/>
        </w:rPr>
        <w:t>万元，占</w:t>
      </w:r>
      <w:r>
        <w:rPr>
          <w:rFonts w:ascii="仿宋_GB2312" w:eastAsia="仿宋_GB2312" w:cs="仿宋_GB2312"/>
          <w:sz w:val="32"/>
          <w:szCs w:val="32"/>
        </w:rPr>
        <w:t>0.7%</w:t>
      </w:r>
      <w:r>
        <w:rPr>
          <w:rFonts w:hint="eastAsia" w:ascii="仿宋_GB2312" w:eastAsia="仿宋_GB2312" w:cs="仿宋_GB2312"/>
          <w:sz w:val="32"/>
          <w:szCs w:val="32"/>
        </w:rPr>
        <w:t>；一般公共预算拨款收入</w:t>
      </w:r>
      <w:r>
        <w:rPr>
          <w:rFonts w:ascii="仿宋_GB2312" w:eastAsia="仿宋_GB2312" w:cs="仿宋_GB2312"/>
          <w:sz w:val="32"/>
          <w:szCs w:val="32"/>
        </w:rPr>
        <w:t>13919.2</w:t>
      </w:r>
      <w:r>
        <w:rPr>
          <w:rFonts w:hint="eastAsia" w:ascii="仿宋_GB2312" w:eastAsia="仿宋_GB2312" w:cs="仿宋_GB2312"/>
          <w:sz w:val="32"/>
          <w:szCs w:val="32"/>
        </w:rPr>
        <w:t>万元，占</w:t>
      </w:r>
      <w:r>
        <w:rPr>
          <w:rFonts w:ascii="仿宋_GB2312" w:eastAsia="仿宋_GB2312" w:cs="仿宋_GB2312"/>
          <w:sz w:val="32"/>
          <w:szCs w:val="32"/>
        </w:rPr>
        <w:t>33.9%</w:t>
      </w:r>
      <w:r>
        <w:rPr>
          <w:rFonts w:hint="eastAsia" w:ascii="仿宋_GB2312" w:eastAsia="仿宋_GB2312" w:cs="仿宋_GB2312"/>
          <w:sz w:val="32"/>
          <w:szCs w:val="32"/>
        </w:rPr>
        <w:t>；政府性基金收入</w:t>
      </w:r>
      <w:r>
        <w:rPr>
          <w:rFonts w:ascii="仿宋_GB2312" w:eastAsia="仿宋_GB2312" w:cs="仿宋_GB2312"/>
          <w:sz w:val="32"/>
          <w:szCs w:val="32"/>
        </w:rPr>
        <w:t>16779.2</w:t>
      </w:r>
      <w:r>
        <w:rPr>
          <w:rFonts w:hint="eastAsia" w:ascii="仿宋_GB2312" w:eastAsia="仿宋_GB2312" w:cs="仿宋_GB2312"/>
          <w:sz w:val="32"/>
          <w:szCs w:val="32"/>
        </w:rPr>
        <w:t>万元，占</w:t>
      </w:r>
      <w:r>
        <w:rPr>
          <w:rFonts w:ascii="仿宋_GB2312" w:eastAsia="仿宋_GB2312" w:cs="仿宋_GB2312"/>
          <w:sz w:val="32"/>
          <w:szCs w:val="32"/>
        </w:rPr>
        <w:t>40.8%</w:t>
      </w:r>
      <w:r>
        <w:rPr>
          <w:rFonts w:hint="eastAsia" w:ascii="仿宋_GB2312" w:eastAsia="仿宋_GB2312" w:cs="仿宋_GB2312"/>
          <w:sz w:val="32"/>
          <w:szCs w:val="32"/>
        </w:rPr>
        <w:t>；专户资金</w:t>
      </w:r>
      <w:r>
        <w:rPr>
          <w:rFonts w:ascii="仿宋_GB2312" w:eastAsia="仿宋_GB2312" w:cs="仿宋_GB2312"/>
          <w:sz w:val="32"/>
          <w:szCs w:val="32"/>
        </w:rPr>
        <w:t>472.5</w:t>
      </w:r>
      <w:r>
        <w:rPr>
          <w:rFonts w:hint="eastAsia" w:ascii="仿宋_GB2312" w:eastAsia="仿宋_GB2312" w:cs="仿宋_GB2312"/>
          <w:sz w:val="32"/>
          <w:szCs w:val="32"/>
        </w:rPr>
        <w:t>万元，占</w:t>
      </w:r>
      <w:r>
        <w:rPr>
          <w:rFonts w:ascii="仿宋_GB2312" w:eastAsia="仿宋_GB2312" w:cs="仿宋_GB2312"/>
          <w:sz w:val="32"/>
          <w:szCs w:val="32"/>
        </w:rPr>
        <w:t>1.2%</w:t>
      </w:r>
      <w:r>
        <w:rPr>
          <w:rFonts w:hint="eastAsia" w:ascii="仿宋_GB2312" w:eastAsia="仿宋_GB2312" w:cs="仿宋_GB2312"/>
          <w:sz w:val="32"/>
          <w:szCs w:val="32"/>
        </w:rPr>
        <w:t>；其他收入</w:t>
      </w:r>
      <w:r>
        <w:rPr>
          <w:rFonts w:ascii="仿宋_GB2312" w:eastAsia="仿宋_GB2312" w:cs="仿宋_GB2312"/>
          <w:sz w:val="32"/>
          <w:szCs w:val="32"/>
        </w:rPr>
        <w:t>9500</w:t>
      </w:r>
      <w:r>
        <w:rPr>
          <w:rFonts w:hint="eastAsia" w:ascii="仿宋_GB2312" w:eastAsia="仿宋_GB2312" w:cs="仿宋_GB2312"/>
          <w:sz w:val="32"/>
          <w:szCs w:val="32"/>
        </w:rPr>
        <w:t>万元，占</w:t>
      </w:r>
      <w:r>
        <w:rPr>
          <w:rFonts w:ascii="仿宋_GB2312" w:eastAsia="仿宋_GB2312" w:cs="仿宋_GB2312"/>
          <w:sz w:val="32"/>
          <w:szCs w:val="32"/>
        </w:rPr>
        <w:t>23.1%</w:t>
      </w:r>
      <w:r>
        <w:rPr>
          <w:rFonts w:hint="eastAsia" w:ascii="仿宋_GB2312" w:eastAsia="仿宋_GB2312" w:cs="仿宋_GB2312"/>
          <w:sz w:val="32"/>
          <w:szCs w:val="32"/>
        </w:rPr>
        <w:t>；省补助收入</w:t>
      </w:r>
      <w:r>
        <w:rPr>
          <w:rFonts w:ascii="仿宋_GB2312" w:eastAsia="仿宋_GB2312" w:cs="仿宋_GB2312"/>
          <w:sz w:val="32"/>
          <w:szCs w:val="32"/>
        </w:rPr>
        <w:t>120</w:t>
      </w:r>
      <w:r>
        <w:rPr>
          <w:rFonts w:hint="eastAsia" w:ascii="仿宋_GB2312" w:eastAsia="仿宋_GB2312" w:cs="仿宋_GB2312"/>
          <w:sz w:val="32"/>
          <w:szCs w:val="32"/>
        </w:rPr>
        <w:t>万元，占</w:t>
      </w:r>
      <w:r>
        <w:rPr>
          <w:rFonts w:ascii="仿宋_GB2312" w:eastAsia="仿宋_GB2312" w:cs="仿宋_GB2312"/>
          <w:sz w:val="32"/>
          <w:szCs w:val="32"/>
        </w:rPr>
        <w:t>0.3%</w:t>
      </w:r>
      <w:r>
        <w:rPr>
          <w:rFonts w:hint="eastAsia" w:ascii="仿宋_GB2312" w:eastAsia="仿宋_GB2312" w:cs="仿宋_GB2312"/>
          <w:sz w:val="32"/>
          <w:szCs w:val="32"/>
        </w:rPr>
        <w:t>；国有资本经营预算收入</w:t>
      </w:r>
      <w:r>
        <w:rPr>
          <w:rFonts w:ascii="仿宋_GB2312" w:eastAsia="仿宋_GB2312" w:cs="仿宋_GB2312"/>
          <w:sz w:val="32"/>
          <w:szCs w:val="32"/>
        </w:rPr>
        <w:t>0</w:t>
      </w:r>
      <w:r>
        <w:rPr>
          <w:rFonts w:hint="eastAsia" w:ascii="仿宋_GB2312" w:eastAsia="仿宋_GB2312" w:cs="仿宋_GB2312"/>
          <w:sz w:val="32"/>
          <w:szCs w:val="32"/>
        </w:rPr>
        <w:t>万元，占</w:t>
      </w:r>
      <w:r>
        <w:rPr>
          <w:rFonts w:ascii="仿宋_GB2312" w:eastAsia="仿宋_GB2312" w:cs="仿宋_GB2312"/>
          <w:sz w:val="32"/>
          <w:szCs w:val="32"/>
        </w:rPr>
        <w:t>0%</w:t>
      </w:r>
      <w:r>
        <w:rPr>
          <w:rFonts w:hint="eastAsia" w:ascii="仿宋_GB2312" w:eastAsia="仿宋_GB2312" w:cs="仿宋_GB2312"/>
          <w:sz w:val="32"/>
          <w:szCs w:val="32"/>
        </w:rPr>
        <w:t>；调入资金</w:t>
      </w:r>
      <w:r>
        <w:rPr>
          <w:rFonts w:ascii="仿宋_GB2312" w:eastAsia="仿宋_GB2312" w:cs="仿宋_GB2312"/>
          <w:sz w:val="32"/>
          <w:szCs w:val="32"/>
        </w:rPr>
        <w:t>0</w:t>
      </w:r>
      <w:r>
        <w:rPr>
          <w:rFonts w:hint="eastAsia" w:ascii="仿宋_GB2312" w:eastAsia="仿宋_GB2312" w:cs="仿宋_GB2312"/>
          <w:sz w:val="32"/>
          <w:szCs w:val="32"/>
        </w:rPr>
        <w:t>万元，占</w:t>
      </w:r>
      <w:r>
        <w:rPr>
          <w:rFonts w:ascii="仿宋_GB2312" w:eastAsia="仿宋_GB2312" w:cs="仿宋_GB2312"/>
          <w:sz w:val="32"/>
          <w:szCs w:val="32"/>
        </w:rPr>
        <w:t>0%</w:t>
      </w:r>
      <w:r>
        <w:rPr>
          <w:rFonts w:hint="eastAsia" w:ascii="仿宋_GB2312" w:eastAsia="仿宋_GB2312" w:cs="仿宋_GB2312"/>
          <w:sz w:val="32"/>
          <w:szCs w:val="32"/>
        </w:rPr>
        <w:t>；镇（街道）补助</w:t>
      </w:r>
      <w:r>
        <w:rPr>
          <w:rFonts w:ascii="仿宋_GB2312" w:eastAsia="仿宋_GB2312" w:cs="仿宋_GB2312"/>
          <w:sz w:val="32"/>
          <w:szCs w:val="32"/>
        </w:rPr>
        <w:t>0</w:t>
      </w:r>
      <w:r>
        <w:rPr>
          <w:rFonts w:hint="eastAsia" w:ascii="仿宋_GB2312" w:eastAsia="仿宋_GB2312" w:cs="仿宋_GB2312"/>
          <w:sz w:val="32"/>
          <w:szCs w:val="32"/>
        </w:rPr>
        <w:t>万元，占</w:t>
      </w:r>
      <w:r>
        <w:rPr>
          <w:rFonts w:ascii="仿宋_GB2312" w:eastAsia="仿宋_GB2312" w:cs="仿宋_GB2312"/>
          <w:sz w:val="32"/>
          <w:szCs w:val="32"/>
        </w:rPr>
        <w:t>0%</w:t>
      </w:r>
      <w:r>
        <w:rPr>
          <w:rFonts w:hint="eastAsia" w:ascii="仿宋_GB2312" w:eastAsia="仿宋_GB2312" w:cs="仿宋_GB2312"/>
          <w:sz w:val="32"/>
          <w:szCs w:val="32"/>
        </w:rPr>
        <w:t>；国库其他资金</w:t>
      </w:r>
      <w:r>
        <w:rPr>
          <w:rFonts w:ascii="仿宋_GB2312" w:eastAsia="仿宋_GB2312" w:cs="仿宋_GB2312"/>
          <w:sz w:val="32"/>
          <w:szCs w:val="32"/>
        </w:rPr>
        <w:t>0</w:t>
      </w:r>
      <w:r>
        <w:rPr>
          <w:rFonts w:hint="eastAsia" w:ascii="仿宋_GB2312" w:eastAsia="仿宋_GB2312" w:cs="仿宋_GB2312"/>
          <w:sz w:val="32"/>
          <w:szCs w:val="32"/>
        </w:rPr>
        <w:t>万元，占</w:t>
      </w:r>
      <w:r>
        <w:rPr>
          <w:rFonts w:ascii="仿宋_GB2312" w:eastAsia="仿宋_GB2312" w:cs="仿宋_GB2312"/>
          <w:sz w:val="32"/>
          <w:szCs w:val="32"/>
        </w:rPr>
        <w:t>0%</w:t>
      </w:r>
      <w:r>
        <w:rPr>
          <w:rFonts w:hint="eastAsia" w:ascii="仿宋_GB2312" w:eastAsia="仿宋_GB2312" w:cs="仿宋_GB2312"/>
          <w:sz w:val="32"/>
          <w:szCs w:val="32"/>
        </w:rPr>
        <w:t>。</w:t>
      </w:r>
    </w:p>
    <w:p>
      <w:pPr>
        <w:spacing w:line="600" w:lineRule="exact"/>
        <w:ind w:firstLine="643" w:firstLineChars="200"/>
        <w:rPr>
          <w:rFonts w:ascii="仿宋_GB2312" w:hAnsi="??" w:eastAsia="仿宋_GB2312"/>
          <w:sz w:val="32"/>
          <w:szCs w:val="32"/>
        </w:rPr>
      </w:pPr>
      <w:r>
        <w:rPr>
          <w:rFonts w:hint="eastAsia" w:ascii="仿宋_GB2312" w:hAnsi="??" w:eastAsia="仿宋_GB2312" w:cs="仿宋_GB2312"/>
          <w:b/>
          <w:bCs/>
          <w:sz w:val="32"/>
          <w:szCs w:val="32"/>
        </w:rPr>
        <w:t>（三）关于住建局</w:t>
      </w:r>
      <w:r>
        <w:rPr>
          <w:rFonts w:ascii="仿宋_GB2312" w:hAnsi="??" w:eastAsia="仿宋_GB2312" w:cs="仿宋_GB2312"/>
          <w:b/>
          <w:bCs/>
          <w:sz w:val="32"/>
          <w:szCs w:val="32"/>
        </w:rPr>
        <w:t>2021</w:t>
      </w:r>
      <w:r>
        <w:rPr>
          <w:rFonts w:hint="eastAsia" w:ascii="仿宋_GB2312" w:hAnsi="??" w:eastAsia="仿宋_GB2312" w:cs="仿宋_GB2312"/>
          <w:b/>
          <w:bCs/>
          <w:sz w:val="32"/>
          <w:szCs w:val="32"/>
        </w:rPr>
        <w:t>年支出预算情况说明</w:t>
      </w:r>
    </w:p>
    <w:p>
      <w:pPr>
        <w:spacing w:line="600" w:lineRule="exact"/>
        <w:ind w:firstLine="640" w:firstLineChars="200"/>
        <w:rPr>
          <w:rFonts w:ascii="仿宋_GB2312" w:eastAsia="仿宋_GB2312"/>
          <w:sz w:val="32"/>
          <w:szCs w:val="32"/>
        </w:rPr>
      </w:pPr>
      <w:r>
        <w:rPr>
          <w:rFonts w:hint="eastAsia" w:ascii="仿宋_GB2312" w:hAnsi="??" w:eastAsia="仿宋_GB2312" w:cs="仿宋_GB2312"/>
          <w:sz w:val="32"/>
          <w:szCs w:val="32"/>
        </w:rPr>
        <w:t>住建局</w:t>
      </w:r>
      <w:r>
        <w:rPr>
          <w:rFonts w:ascii="仿宋_GB2312" w:hAnsi="??" w:eastAsia="仿宋_GB2312" w:cs="仿宋_GB2312"/>
          <w:sz w:val="32"/>
          <w:szCs w:val="32"/>
        </w:rPr>
        <w:t>2021</w:t>
      </w:r>
      <w:r>
        <w:rPr>
          <w:rFonts w:hint="eastAsia" w:ascii="仿宋_GB2312" w:hAnsi="??" w:eastAsia="仿宋_GB2312" w:cs="仿宋_GB2312"/>
          <w:sz w:val="32"/>
          <w:szCs w:val="32"/>
        </w:rPr>
        <w:t>年支出预算</w:t>
      </w:r>
      <w:r>
        <w:rPr>
          <w:rFonts w:ascii="仿宋_GB2312" w:hAnsi="??" w:eastAsia="仿宋_GB2312" w:cs="仿宋_GB2312"/>
          <w:sz w:val="32"/>
          <w:szCs w:val="32"/>
        </w:rPr>
        <w:t>41067.6</w:t>
      </w:r>
      <w:r>
        <w:rPr>
          <w:rFonts w:hint="eastAsia" w:ascii="仿宋_GB2312" w:hAnsi="??" w:eastAsia="仿宋_GB2312" w:cs="仿宋_GB2312"/>
          <w:sz w:val="32"/>
          <w:szCs w:val="32"/>
        </w:rPr>
        <w:t>万元，比上年支出增加</w:t>
      </w:r>
      <w:r>
        <w:rPr>
          <w:rFonts w:ascii="仿宋_GB2312" w:hAnsi="??" w:eastAsia="仿宋_GB2312" w:cs="仿宋_GB2312"/>
          <w:sz w:val="32"/>
          <w:szCs w:val="32"/>
        </w:rPr>
        <w:t>2682.1</w:t>
      </w:r>
      <w:r>
        <w:rPr>
          <w:rFonts w:hint="eastAsia" w:ascii="仿宋_GB2312" w:hAnsi="??" w:eastAsia="仿宋_GB2312" w:cs="仿宋_GB2312"/>
          <w:sz w:val="32"/>
          <w:szCs w:val="32"/>
        </w:rPr>
        <w:t>万元，增长</w:t>
      </w:r>
      <w:r>
        <w:rPr>
          <w:rFonts w:ascii="仿宋_GB2312" w:hAnsi="??" w:eastAsia="仿宋_GB2312" w:cs="仿宋_GB2312"/>
          <w:sz w:val="32"/>
          <w:szCs w:val="32"/>
        </w:rPr>
        <w:t>7%</w:t>
      </w:r>
      <w:r>
        <w:rPr>
          <w:rFonts w:hint="eastAsia" w:ascii="仿宋_GB2312" w:hAnsi="??" w:eastAsia="仿宋_GB2312" w:cs="仿宋_GB2312"/>
          <w:sz w:val="32"/>
          <w:szCs w:val="32"/>
        </w:rPr>
        <w:t>，</w:t>
      </w:r>
      <w:r>
        <w:rPr>
          <w:rFonts w:hint="eastAsia" w:ascii="仿宋_GB2312" w:eastAsia="仿宋_GB2312" w:cs="仿宋_GB2312"/>
          <w:sz w:val="32"/>
          <w:szCs w:val="32"/>
        </w:rPr>
        <w:t>主要原因是项目支出有所增长。</w:t>
      </w:r>
    </w:p>
    <w:p>
      <w:pPr>
        <w:spacing w:line="600" w:lineRule="exact"/>
        <w:ind w:firstLine="640" w:firstLineChars="200"/>
        <w:rPr>
          <w:rFonts w:ascii="仿宋_GB2312" w:eastAsia="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按支出功能分类，包括一般公共服务支出</w:t>
      </w:r>
      <w:r>
        <w:rPr>
          <w:rFonts w:ascii="仿宋_GB2312" w:eastAsia="仿宋_GB2312" w:cs="仿宋_GB2312"/>
          <w:sz w:val="32"/>
          <w:szCs w:val="32"/>
        </w:rPr>
        <w:t>0</w:t>
      </w:r>
      <w:r>
        <w:rPr>
          <w:rFonts w:hint="eastAsia" w:ascii="仿宋_GB2312" w:eastAsia="仿宋_GB2312" w:cs="仿宋_GB2312"/>
          <w:sz w:val="32"/>
          <w:szCs w:val="32"/>
        </w:rPr>
        <w:t>万元、国防支出</w:t>
      </w:r>
      <w:r>
        <w:rPr>
          <w:rFonts w:ascii="仿宋_GB2312" w:eastAsia="仿宋_GB2312" w:cs="仿宋_GB2312"/>
          <w:sz w:val="32"/>
          <w:szCs w:val="32"/>
        </w:rPr>
        <w:t>0</w:t>
      </w:r>
      <w:r>
        <w:rPr>
          <w:rFonts w:hint="eastAsia" w:ascii="仿宋_GB2312" w:eastAsia="仿宋_GB2312" w:cs="仿宋_GB2312"/>
          <w:sz w:val="32"/>
          <w:szCs w:val="32"/>
        </w:rPr>
        <w:t>万元、公共安全支出</w:t>
      </w:r>
      <w:r>
        <w:rPr>
          <w:rFonts w:ascii="仿宋_GB2312" w:eastAsia="仿宋_GB2312" w:cs="仿宋_GB2312"/>
          <w:sz w:val="32"/>
          <w:szCs w:val="32"/>
        </w:rPr>
        <w:t>0</w:t>
      </w:r>
      <w:r>
        <w:rPr>
          <w:rFonts w:hint="eastAsia" w:ascii="仿宋_GB2312" w:eastAsia="仿宋_GB2312" w:cs="仿宋_GB2312"/>
          <w:sz w:val="32"/>
          <w:szCs w:val="32"/>
        </w:rPr>
        <w:t>万元、教育支出</w:t>
      </w:r>
      <w:r>
        <w:rPr>
          <w:rFonts w:ascii="仿宋_GB2312" w:eastAsia="仿宋_GB2312" w:cs="仿宋_GB2312"/>
          <w:sz w:val="32"/>
          <w:szCs w:val="32"/>
        </w:rPr>
        <w:t>0</w:t>
      </w:r>
      <w:r>
        <w:rPr>
          <w:rFonts w:hint="eastAsia" w:ascii="仿宋_GB2312" w:eastAsia="仿宋_GB2312" w:cs="仿宋_GB2312"/>
          <w:sz w:val="32"/>
          <w:szCs w:val="32"/>
        </w:rPr>
        <w:t>万元、科学技术支出</w:t>
      </w:r>
      <w:r>
        <w:rPr>
          <w:rFonts w:ascii="仿宋_GB2312" w:eastAsia="仿宋_GB2312" w:cs="仿宋_GB2312"/>
          <w:sz w:val="32"/>
          <w:szCs w:val="32"/>
        </w:rPr>
        <w:t>0</w:t>
      </w:r>
      <w:r>
        <w:rPr>
          <w:rFonts w:hint="eastAsia" w:ascii="仿宋_GB2312" w:eastAsia="仿宋_GB2312" w:cs="仿宋_GB2312"/>
          <w:sz w:val="32"/>
          <w:szCs w:val="32"/>
        </w:rPr>
        <w:t>万元、文化旅游体育与传媒支出</w:t>
      </w:r>
      <w:r>
        <w:rPr>
          <w:rFonts w:ascii="仿宋_GB2312" w:eastAsia="仿宋_GB2312" w:cs="仿宋_GB2312"/>
          <w:sz w:val="32"/>
          <w:szCs w:val="32"/>
        </w:rPr>
        <w:t>0</w:t>
      </w:r>
      <w:r>
        <w:rPr>
          <w:rFonts w:hint="eastAsia" w:ascii="仿宋_GB2312" w:eastAsia="仿宋_GB2312" w:cs="仿宋_GB2312"/>
          <w:sz w:val="32"/>
          <w:szCs w:val="32"/>
        </w:rPr>
        <w:t>万元、社会保障和就业支出</w:t>
      </w:r>
      <w:r>
        <w:rPr>
          <w:rFonts w:ascii="仿宋_GB2312" w:eastAsia="仿宋_GB2312" w:cs="仿宋_GB2312"/>
          <w:sz w:val="32"/>
          <w:szCs w:val="32"/>
        </w:rPr>
        <w:t>373.2</w:t>
      </w:r>
      <w:r>
        <w:rPr>
          <w:rFonts w:hint="eastAsia" w:ascii="仿宋_GB2312" w:eastAsia="仿宋_GB2312" w:cs="仿宋_GB2312"/>
          <w:sz w:val="32"/>
          <w:szCs w:val="32"/>
        </w:rPr>
        <w:t>万元、卫生健康支出</w:t>
      </w:r>
      <w:r>
        <w:rPr>
          <w:rFonts w:ascii="仿宋_GB2312" w:eastAsia="仿宋_GB2312" w:cs="仿宋_GB2312"/>
          <w:sz w:val="32"/>
          <w:szCs w:val="32"/>
        </w:rPr>
        <w:t>0</w:t>
      </w:r>
      <w:r>
        <w:rPr>
          <w:rFonts w:hint="eastAsia" w:ascii="仿宋_GB2312" w:eastAsia="仿宋_GB2312" w:cs="仿宋_GB2312"/>
          <w:sz w:val="32"/>
          <w:szCs w:val="32"/>
        </w:rPr>
        <w:t>万元、节能环保支出</w:t>
      </w:r>
      <w:r>
        <w:rPr>
          <w:rFonts w:ascii="仿宋_GB2312" w:eastAsia="仿宋_GB2312" w:cs="仿宋_GB2312"/>
          <w:sz w:val="32"/>
          <w:szCs w:val="32"/>
        </w:rPr>
        <w:t>150</w:t>
      </w:r>
      <w:r>
        <w:rPr>
          <w:rFonts w:hint="eastAsia" w:ascii="仿宋_GB2312" w:eastAsia="仿宋_GB2312" w:cs="仿宋_GB2312"/>
          <w:sz w:val="32"/>
          <w:szCs w:val="32"/>
        </w:rPr>
        <w:t>万元、城乡社区支出</w:t>
      </w:r>
      <w:r>
        <w:rPr>
          <w:rFonts w:ascii="仿宋_GB2312" w:eastAsia="仿宋_GB2312" w:cs="仿宋_GB2312"/>
          <w:sz w:val="32"/>
          <w:szCs w:val="32"/>
        </w:rPr>
        <w:t>40544.4</w:t>
      </w:r>
      <w:r>
        <w:rPr>
          <w:rFonts w:hint="eastAsia" w:ascii="仿宋_GB2312" w:eastAsia="仿宋_GB2312" w:cs="仿宋_GB2312"/>
          <w:sz w:val="32"/>
          <w:szCs w:val="32"/>
        </w:rPr>
        <w:t>万元、农林水支出</w:t>
      </w:r>
      <w:r>
        <w:rPr>
          <w:rFonts w:ascii="仿宋_GB2312" w:eastAsia="仿宋_GB2312" w:cs="仿宋_GB2312"/>
          <w:sz w:val="32"/>
          <w:szCs w:val="32"/>
        </w:rPr>
        <w:t>0</w:t>
      </w:r>
      <w:r>
        <w:rPr>
          <w:rFonts w:hint="eastAsia" w:ascii="仿宋_GB2312" w:eastAsia="仿宋_GB2312" w:cs="仿宋_GB2312"/>
          <w:sz w:val="32"/>
          <w:szCs w:val="32"/>
        </w:rPr>
        <w:t>万元、交通运输支出</w:t>
      </w:r>
      <w:r>
        <w:rPr>
          <w:rFonts w:ascii="仿宋_GB2312" w:eastAsia="仿宋_GB2312" w:cs="仿宋_GB2312"/>
          <w:sz w:val="32"/>
          <w:szCs w:val="32"/>
        </w:rPr>
        <w:t>0</w:t>
      </w:r>
      <w:r>
        <w:rPr>
          <w:rFonts w:hint="eastAsia" w:ascii="仿宋_GB2312" w:eastAsia="仿宋_GB2312" w:cs="仿宋_GB2312"/>
          <w:sz w:val="32"/>
          <w:szCs w:val="32"/>
        </w:rPr>
        <w:t>万元、资源勘探信息等支出</w:t>
      </w:r>
      <w:r>
        <w:rPr>
          <w:rFonts w:ascii="仿宋_GB2312" w:eastAsia="仿宋_GB2312" w:cs="仿宋_GB2312"/>
          <w:sz w:val="32"/>
          <w:szCs w:val="32"/>
        </w:rPr>
        <w:t>0</w:t>
      </w:r>
      <w:r>
        <w:rPr>
          <w:rFonts w:hint="eastAsia" w:ascii="仿宋_GB2312" w:eastAsia="仿宋_GB2312" w:cs="仿宋_GB2312"/>
          <w:sz w:val="32"/>
          <w:szCs w:val="32"/>
        </w:rPr>
        <w:t>万元、商业服务业等支出</w:t>
      </w:r>
      <w:r>
        <w:rPr>
          <w:rFonts w:ascii="仿宋_GB2312" w:eastAsia="仿宋_GB2312" w:cs="仿宋_GB2312"/>
          <w:sz w:val="32"/>
          <w:szCs w:val="32"/>
        </w:rPr>
        <w:t>0</w:t>
      </w:r>
      <w:r>
        <w:rPr>
          <w:rFonts w:hint="eastAsia" w:ascii="仿宋_GB2312" w:eastAsia="仿宋_GB2312" w:cs="仿宋_GB2312"/>
          <w:sz w:val="32"/>
          <w:szCs w:val="32"/>
        </w:rPr>
        <w:t>万元、金融支出</w:t>
      </w:r>
      <w:r>
        <w:rPr>
          <w:rFonts w:ascii="仿宋_GB2312" w:eastAsia="仿宋_GB2312" w:cs="仿宋_GB2312"/>
          <w:sz w:val="32"/>
          <w:szCs w:val="32"/>
        </w:rPr>
        <w:t>0</w:t>
      </w:r>
      <w:r>
        <w:rPr>
          <w:rFonts w:hint="eastAsia" w:ascii="仿宋_GB2312" w:eastAsia="仿宋_GB2312" w:cs="仿宋_GB2312"/>
          <w:sz w:val="32"/>
          <w:szCs w:val="32"/>
        </w:rPr>
        <w:t>万元、援助其他地区支出</w:t>
      </w:r>
      <w:r>
        <w:rPr>
          <w:rFonts w:ascii="仿宋_GB2312" w:eastAsia="仿宋_GB2312" w:cs="仿宋_GB2312"/>
          <w:sz w:val="32"/>
          <w:szCs w:val="32"/>
        </w:rPr>
        <w:t>0</w:t>
      </w:r>
      <w:r>
        <w:rPr>
          <w:rFonts w:hint="eastAsia" w:ascii="仿宋_GB2312" w:eastAsia="仿宋_GB2312" w:cs="仿宋_GB2312"/>
          <w:sz w:val="32"/>
          <w:szCs w:val="32"/>
        </w:rPr>
        <w:t>万元、自然资源海洋气象等支出</w:t>
      </w:r>
      <w:r>
        <w:rPr>
          <w:rFonts w:ascii="仿宋_GB2312" w:eastAsia="仿宋_GB2312" w:cs="仿宋_GB2312"/>
          <w:sz w:val="32"/>
          <w:szCs w:val="32"/>
        </w:rPr>
        <w:t>0</w:t>
      </w:r>
      <w:r>
        <w:rPr>
          <w:rFonts w:hint="eastAsia" w:ascii="仿宋_GB2312" w:eastAsia="仿宋_GB2312" w:cs="仿宋_GB2312"/>
          <w:sz w:val="32"/>
          <w:szCs w:val="32"/>
        </w:rPr>
        <w:t>万元、住房保障支出</w:t>
      </w:r>
      <w:r>
        <w:rPr>
          <w:rFonts w:ascii="仿宋_GB2312" w:eastAsia="仿宋_GB2312" w:cs="仿宋_GB2312"/>
          <w:sz w:val="32"/>
          <w:szCs w:val="32"/>
        </w:rPr>
        <w:t>0</w:t>
      </w:r>
      <w:r>
        <w:rPr>
          <w:rFonts w:hint="eastAsia" w:ascii="仿宋_GB2312" w:eastAsia="仿宋_GB2312" w:cs="仿宋_GB2312"/>
          <w:sz w:val="32"/>
          <w:szCs w:val="32"/>
        </w:rPr>
        <w:t>万元、粮油物资储备支出</w:t>
      </w:r>
      <w:r>
        <w:rPr>
          <w:rFonts w:ascii="仿宋_GB2312" w:eastAsia="仿宋_GB2312" w:cs="仿宋_GB2312"/>
          <w:sz w:val="32"/>
          <w:szCs w:val="32"/>
        </w:rPr>
        <w:t>0</w:t>
      </w:r>
      <w:r>
        <w:rPr>
          <w:rFonts w:hint="eastAsia" w:ascii="仿宋_GB2312" w:eastAsia="仿宋_GB2312" w:cs="仿宋_GB2312"/>
          <w:sz w:val="32"/>
          <w:szCs w:val="32"/>
        </w:rPr>
        <w:t>万元、灾害防治及应急管理支出</w:t>
      </w:r>
      <w:r>
        <w:rPr>
          <w:rFonts w:ascii="仿宋_GB2312" w:eastAsia="仿宋_GB2312" w:cs="仿宋_GB2312"/>
          <w:sz w:val="32"/>
          <w:szCs w:val="32"/>
        </w:rPr>
        <w:t>0</w:t>
      </w:r>
      <w:r>
        <w:rPr>
          <w:rFonts w:hint="eastAsia" w:ascii="仿宋_GB2312" w:eastAsia="仿宋_GB2312" w:cs="仿宋_GB2312"/>
          <w:sz w:val="32"/>
          <w:szCs w:val="32"/>
        </w:rPr>
        <w:t>万元、其他支出</w:t>
      </w:r>
      <w:r>
        <w:rPr>
          <w:rFonts w:ascii="仿宋_GB2312" w:eastAsia="仿宋_GB2312" w:cs="仿宋_GB2312"/>
          <w:sz w:val="32"/>
          <w:szCs w:val="32"/>
        </w:rPr>
        <w:t>0</w:t>
      </w:r>
      <w:r>
        <w:rPr>
          <w:rFonts w:hint="eastAsia" w:ascii="仿宋_GB2312" w:eastAsia="仿宋_GB2312" w:cs="仿宋_GB2312"/>
          <w:sz w:val="32"/>
          <w:szCs w:val="32"/>
        </w:rPr>
        <w:t>万元、债务付息支出</w:t>
      </w:r>
      <w:r>
        <w:rPr>
          <w:rFonts w:ascii="仿宋_GB2312" w:eastAsia="仿宋_GB2312" w:cs="仿宋_GB2312"/>
          <w:sz w:val="32"/>
          <w:szCs w:val="32"/>
        </w:rPr>
        <w:t>0</w:t>
      </w:r>
      <w:r>
        <w:rPr>
          <w:rFonts w:hint="eastAsia" w:ascii="仿宋_GB2312" w:eastAsia="仿宋_GB2312" w:cs="仿宋_GB2312"/>
          <w:sz w:val="32"/>
          <w:szCs w:val="32"/>
        </w:rPr>
        <w:t>万元、债务发行费用支出</w:t>
      </w:r>
      <w:r>
        <w:rPr>
          <w:rFonts w:ascii="仿宋_GB2312" w:eastAsia="仿宋_GB2312" w:cs="仿宋_GB2312"/>
          <w:sz w:val="32"/>
          <w:szCs w:val="32"/>
        </w:rPr>
        <w:t>0</w:t>
      </w:r>
      <w:r>
        <w:rPr>
          <w:rFonts w:hint="eastAsia" w:ascii="仿宋_GB2312" w:eastAsia="仿宋_GB2312" w:cs="仿宋_GB2312"/>
          <w:sz w:val="32"/>
          <w:szCs w:val="32"/>
        </w:rPr>
        <w:t>万元。</w:t>
      </w:r>
    </w:p>
    <w:p>
      <w:pPr>
        <w:spacing w:line="600" w:lineRule="exact"/>
        <w:ind w:firstLine="640" w:firstLineChars="200"/>
        <w:rPr>
          <w:rFonts w:eastAsia="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按支出用途分类，包括人员支出</w:t>
      </w:r>
      <w:r>
        <w:rPr>
          <w:rFonts w:ascii="仿宋_GB2312" w:eastAsia="仿宋_GB2312" w:cs="仿宋_GB2312"/>
          <w:sz w:val="32"/>
          <w:szCs w:val="32"/>
        </w:rPr>
        <w:t>3429.1</w:t>
      </w:r>
      <w:r>
        <w:rPr>
          <w:rFonts w:hint="eastAsia" w:ascii="仿宋_GB2312" w:eastAsia="仿宋_GB2312" w:cs="仿宋_GB2312"/>
          <w:sz w:val="32"/>
          <w:szCs w:val="32"/>
        </w:rPr>
        <w:t>万元，占</w:t>
      </w:r>
      <w:r>
        <w:rPr>
          <w:rFonts w:ascii="仿宋_GB2312" w:eastAsia="仿宋_GB2312" w:cs="仿宋_GB2312"/>
          <w:sz w:val="32"/>
          <w:szCs w:val="32"/>
        </w:rPr>
        <w:t>8.4%</w:t>
      </w:r>
      <w:r>
        <w:rPr>
          <w:rFonts w:hint="eastAsia" w:ascii="仿宋_GB2312" w:eastAsia="仿宋_GB2312" w:cs="仿宋_GB2312"/>
          <w:sz w:val="32"/>
          <w:szCs w:val="32"/>
        </w:rPr>
        <w:t>；日常公用支出</w:t>
      </w:r>
      <w:r>
        <w:rPr>
          <w:rFonts w:ascii="仿宋_GB2312" w:eastAsia="仿宋_GB2312" w:cs="仿宋_GB2312"/>
          <w:sz w:val="32"/>
          <w:szCs w:val="32"/>
        </w:rPr>
        <w:t>585.9</w:t>
      </w:r>
      <w:r>
        <w:rPr>
          <w:rFonts w:hint="eastAsia" w:ascii="仿宋_GB2312" w:eastAsia="仿宋_GB2312" w:cs="仿宋_GB2312"/>
          <w:sz w:val="32"/>
          <w:szCs w:val="32"/>
        </w:rPr>
        <w:t>万元，占</w:t>
      </w:r>
      <w:r>
        <w:rPr>
          <w:rFonts w:ascii="仿宋_GB2312" w:eastAsia="仿宋_GB2312" w:cs="仿宋_GB2312"/>
          <w:sz w:val="32"/>
          <w:szCs w:val="32"/>
        </w:rPr>
        <w:t>1.4%</w:t>
      </w:r>
      <w:r>
        <w:rPr>
          <w:rFonts w:hint="eastAsia" w:ascii="仿宋_GB2312" w:eastAsia="仿宋_GB2312" w:cs="仿宋_GB2312"/>
          <w:sz w:val="32"/>
          <w:szCs w:val="32"/>
        </w:rPr>
        <w:t>；项目支出</w:t>
      </w:r>
      <w:r>
        <w:rPr>
          <w:rFonts w:ascii="仿宋_GB2312" w:eastAsia="仿宋_GB2312" w:cs="仿宋_GB2312"/>
          <w:sz w:val="32"/>
          <w:szCs w:val="32"/>
        </w:rPr>
        <w:t>37052.6</w:t>
      </w:r>
      <w:r>
        <w:rPr>
          <w:rFonts w:hint="eastAsia" w:ascii="仿宋_GB2312" w:eastAsia="仿宋_GB2312" w:cs="仿宋_GB2312"/>
          <w:sz w:val="32"/>
          <w:szCs w:val="32"/>
        </w:rPr>
        <w:t>万元，占</w:t>
      </w:r>
      <w:r>
        <w:rPr>
          <w:rFonts w:ascii="仿宋_GB2312" w:eastAsia="仿宋_GB2312" w:cs="仿宋_GB2312"/>
          <w:sz w:val="32"/>
          <w:szCs w:val="32"/>
        </w:rPr>
        <w:t>90.2%</w:t>
      </w:r>
      <w:r>
        <w:rPr>
          <w:rFonts w:hint="eastAsia" w:ascii="仿宋_GB2312" w:eastAsia="仿宋_GB2312" w:cs="仿宋_GB2312"/>
          <w:sz w:val="32"/>
          <w:szCs w:val="32"/>
        </w:rPr>
        <w:t>；事业单位经营支出</w:t>
      </w:r>
      <w:r>
        <w:rPr>
          <w:rFonts w:ascii="仿宋_GB2312" w:eastAsia="仿宋_GB2312" w:cs="仿宋_GB2312"/>
          <w:sz w:val="32"/>
          <w:szCs w:val="32"/>
        </w:rPr>
        <w:t>0</w:t>
      </w:r>
      <w:r>
        <w:rPr>
          <w:rFonts w:hint="eastAsia" w:ascii="仿宋_GB2312" w:eastAsia="仿宋_GB2312" w:cs="仿宋_GB2312"/>
          <w:sz w:val="32"/>
          <w:szCs w:val="32"/>
        </w:rPr>
        <w:t>万元，占</w:t>
      </w:r>
      <w:r>
        <w:rPr>
          <w:rFonts w:ascii="仿宋_GB2312" w:eastAsia="仿宋_GB2312" w:cs="仿宋_GB2312"/>
          <w:sz w:val="32"/>
          <w:szCs w:val="32"/>
        </w:rPr>
        <w:t>0%</w:t>
      </w:r>
      <w:r>
        <w:rPr>
          <w:rFonts w:hint="eastAsia" w:ascii="仿宋_GB2312" w:eastAsia="仿宋_GB2312" w:cs="仿宋_GB2312"/>
          <w:sz w:val="32"/>
          <w:szCs w:val="32"/>
        </w:rPr>
        <w:t>；上缴上级支出</w:t>
      </w:r>
      <w:r>
        <w:rPr>
          <w:rFonts w:ascii="仿宋_GB2312" w:eastAsia="仿宋_GB2312" w:cs="仿宋_GB2312"/>
          <w:sz w:val="32"/>
          <w:szCs w:val="32"/>
        </w:rPr>
        <w:t>0</w:t>
      </w:r>
      <w:r>
        <w:rPr>
          <w:rFonts w:hint="eastAsia" w:ascii="仿宋_GB2312" w:eastAsia="仿宋_GB2312" w:cs="仿宋_GB2312"/>
          <w:sz w:val="32"/>
          <w:szCs w:val="32"/>
        </w:rPr>
        <w:t>万元，占</w:t>
      </w:r>
      <w:r>
        <w:rPr>
          <w:rFonts w:ascii="仿宋_GB2312" w:eastAsia="仿宋_GB2312" w:cs="仿宋_GB2312"/>
          <w:sz w:val="32"/>
          <w:szCs w:val="32"/>
        </w:rPr>
        <w:t>0%</w:t>
      </w:r>
      <w:r>
        <w:rPr>
          <w:rFonts w:hint="eastAsia" w:ascii="仿宋_GB2312" w:eastAsia="仿宋_GB2312" w:cs="仿宋_GB2312"/>
          <w:sz w:val="32"/>
          <w:szCs w:val="32"/>
        </w:rPr>
        <w:t>；税金支出</w:t>
      </w:r>
      <w:r>
        <w:rPr>
          <w:rFonts w:ascii="仿宋_GB2312" w:eastAsia="仿宋_GB2312" w:cs="仿宋_GB2312"/>
          <w:sz w:val="32"/>
          <w:szCs w:val="32"/>
        </w:rPr>
        <w:t>0</w:t>
      </w:r>
      <w:r>
        <w:rPr>
          <w:rFonts w:hint="eastAsia" w:ascii="仿宋_GB2312" w:eastAsia="仿宋_GB2312" w:cs="仿宋_GB2312"/>
          <w:sz w:val="32"/>
          <w:szCs w:val="32"/>
        </w:rPr>
        <w:t>万元，占</w:t>
      </w:r>
      <w:r>
        <w:rPr>
          <w:rFonts w:ascii="仿宋_GB2312" w:eastAsia="仿宋_GB2312" w:cs="仿宋_GB2312"/>
          <w:sz w:val="32"/>
          <w:szCs w:val="32"/>
        </w:rPr>
        <w:t>0%</w:t>
      </w:r>
      <w:r>
        <w:rPr>
          <w:rFonts w:hint="eastAsia" w:ascii="仿宋_GB2312" w:eastAsia="仿宋_GB2312" w:cs="仿宋_GB2312"/>
          <w:sz w:val="32"/>
          <w:szCs w:val="32"/>
        </w:rPr>
        <w:t>；结转下年</w:t>
      </w:r>
      <w:r>
        <w:rPr>
          <w:rFonts w:ascii="仿宋_GB2312" w:eastAsia="仿宋_GB2312" w:cs="仿宋_GB2312"/>
          <w:sz w:val="32"/>
          <w:szCs w:val="32"/>
        </w:rPr>
        <w:t>0</w:t>
      </w:r>
      <w:r>
        <w:rPr>
          <w:rFonts w:hint="eastAsia" w:ascii="仿宋_GB2312" w:eastAsia="仿宋_GB2312" w:cs="仿宋_GB2312"/>
          <w:sz w:val="32"/>
          <w:szCs w:val="32"/>
        </w:rPr>
        <w:t>万元。</w:t>
      </w:r>
    </w:p>
    <w:p>
      <w:pPr>
        <w:spacing w:line="600" w:lineRule="exact"/>
        <w:ind w:firstLine="643" w:firstLineChars="200"/>
        <w:rPr>
          <w:rFonts w:ascii="仿宋_GB2312" w:hAnsi="??" w:eastAsia="仿宋_GB2312"/>
          <w:b/>
          <w:bCs/>
          <w:sz w:val="32"/>
          <w:szCs w:val="32"/>
        </w:rPr>
      </w:pPr>
      <w:r>
        <w:rPr>
          <w:rFonts w:hint="eastAsia" w:ascii="仿宋_GB2312" w:hAnsi="??" w:eastAsia="仿宋_GB2312" w:cs="仿宋_GB2312"/>
          <w:b/>
          <w:bCs/>
          <w:sz w:val="32"/>
          <w:szCs w:val="32"/>
        </w:rPr>
        <w:t>（四）关于住建局</w:t>
      </w:r>
      <w:r>
        <w:rPr>
          <w:rFonts w:ascii="仿宋_GB2312" w:hAnsi="??" w:eastAsia="仿宋_GB2312" w:cs="仿宋_GB2312"/>
          <w:b/>
          <w:bCs/>
          <w:sz w:val="32"/>
          <w:szCs w:val="32"/>
        </w:rPr>
        <w:t>2021</w:t>
      </w:r>
      <w:r>
        <w:rPr>
          <w:rFonts w:hint="eastAsia" w:ascii="仿宋_GB2312" w:hAnsi="??" w:eastAsia="仿宋_GB2312" w:cs="仿宋_GB2312"/>
          <w:b/>
          <w:bCs/>
          <w:sz w:val="32"/>
          <w:szCs w:val="32"/>
        </w:rPr>
        <w:t>年财政拨款收支预算情况的总体说明</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住建局</w:t>
      </w:r>
      <w:r>
        <w:rPr>
          <w:rFonts w:ascii="仿宋_GB2312" w:eastAsia="仿宋_GB2312" w:cs="仿宋_GB2312"/>
          <w:sz w:val="32"/>
          <w:szCs w:val="32"/>
        </w:rPr>
        <w:t>2021</w:t>
      </w:r>
      <w:r>
        <w:rPr>
          <w:rFonts w:hint="eastAsia" w:ascii="仿宋_GB2312" w:eastAsia="仿宋_GB2312" w:cs="仿宋_GB2312"/>
          <w:sz w:val="32"/>
          <w:szCs w:val="32"/>
        </w:rPr>
        <w:t>年财政拨款收支总预算</w:t>
      </w:r>
      <w:r>
        <w:rPr>
          <w:rFonts w:ascii="仿宋_GB2312" w:eastAsia="仿宋_GB2312" w:cs="仿宋_GB2312"/>
          <w:sz w:val="32"/>
          <w:szCs w:val="32"/>
        </w:rPr>
        <w:t>31095.2</w:t>
      </w:r>
      <w:r>
        <w:rPr>
          <w:rFonts w:hint="eastAsia" w:ascii="仿宋_GB2312" w:eastAsia="仿宋_GB2312" w:cs="仿宋_GB2312"/>
          <w:sz w:val="32"/>
          <w:szCs w:val="32"/>
        </w:rPr>
        <w:t>万元，</w:t>
      </w:r>
      <w:r>
        <w:rPr>
          <w:rFonts w:hint="eastAsia" w:ascii="仿宋_GB2312" w:hAnsi="??" w:eastAsia="仿宋_GB2312" w:cs="仿宋_GB2312"/>
          <w:sz w:val="32"/>
          <w:szCs w:val="32"/>
        </w:rPr>
        <w:t>比上年执行数减少</w:t>
      </w:r>
      <w:r>
        <w:rPr>
          <w:rFonts w:ascii="仿宋_GB2312" w:hAnsi="??" w:eastAsia="仿宋_GB2312" w:cs="仿宋_GB2312"/>
          <w:sz w:val="32"/>
          <w:szCs w:val="32"/>
        </w:rPr>
        <w:t>5625.48</w:t>
      </w:r>
      <w:r>
        <w:rPr>
          <w:rFonts w:hint="eastAsia" w:ascii="仿宋_GB2312" w:hAnsi="??" w:eastAsia="仿宋_GB2312" w:cs="仿宋_GB2312"/>
          <w:sz w:val="32"/>
          <w:szCs w:val="32"/>
        </w:rPr>
        <w:t>万元，下降</w:t>
      </w:r>
      <w:r>
        <w:rPr>
          <w:rFonts w:ascii="仿宋_GB2312" w:hAnsi="??" w:eastAsia="仿宋_GB2312" w:cs="仿宋_GB2312"/>
          <w:sz w:val="32"/>
          <w:szCs w:val="32"/>
        </w:rPr>
        <w:t>15.31%</w:t>
      </w:r>
      <w:r>
        <w:rPr>
          <w:rFonts w:hint="eastAsia" w:ascii="仿宋_GB2312" w:hAnsi="??" w:eastAsia="仿宋_GB2312" w:cs="仿宋_GB2312"/>
          <w:sz w:val="32"/>
          <w:szCs w:val="32"/>
        </w:rPr>
        <w:t>，</w:t>
      </w:r>
      <w:r>
        <w:rPr>
          <w:rFonts w:hint="eastAsia" w:ascii="仿宋_GB2312" w:eastAsia="仿宋_GB2312" w:cs="仿宋_GB2312"/>
          <w:sz w:val="32"/>
          <w:szCs w:val="32"/>
        </w:rPr>
        <w:t>主要原因是一般公共预算减少。</w:t>
      </w:r>
    </w:p>
    <w:p>
      <w:pPr>
        <w:spacing w:line="600" w:lineRule="exact"/>
        <w:ind w:firstLine="640" w:firstLineChars="200"/>
        <w:rPr>
          <w:rFonts w:ascii="仿宋_GB2312" w:hAnsi="??" w:eastAsia="仿宋_GB2312"/>
          <w:sz w:val="32"/>
          <w:szCs w:val="32"/>
        </w:rPr>
      </w:pPr>
      <w:r>
        <w:rPr>
          <w:rFonts w:hint="eastAsia" w:ascii="仿宋_GB2312" w:eastAsia="仿宋_GB2312" w:cs="仿宋_GB2312"/>
          <w:sz w:val="32"/>
          <w:szCs w:val="32"/>
        </w:rPr>
        <w:t>收入包括：一般公共预算</w:t>
      </w:r>
      <w:r>
        <w:rPr>
          <w:rFonts w:ascii="仿宋_GB2312" w:eastAsia="仿宋_GB2312" w:cs="仿宋_GB2312"/>
          <w:sz w:val="32"/>
          <w:szCs w:val="32"/>
        </w:rPr>
        <w:t>14316</w:t>
      </w:r>
      <w:r>
        <w:rPr>
          <w:rFonts w:hint="eastAsia" w:ascii="仿宋_GB2312" w:eastAsia="仿宋_GB2312" w:cs="仿宋_GB2312"/>
          <w:sz w:val="32"/>
          <w:szCs w:val="32"/>
        </w:rPr>
        <w:t>万元、政府性基金</w:t>
      </w:r>
      <w:r>
        <w:rPr>
          <w:rFonts w:ascii="仿宋_GB2312" w:eastAsia="仿宋_GB2312" w:cs="仿宋_GB2312"/>
          <w:sz w:val="32"/>
          <w:szCs w:val="32"/>
        </w:rPr>
        <w:t>16779.2</w:t>
      </w:r>
      <w:r>
        <w:rPr>
          <w:rFonts w:hint="eastAsia" w:ascii="仿宋_GB2312" w:eastAsia="仿宋_GB2312" w:cs="仿宋_GB2312"/>
          <w:sz w:val="32"/>
          <w:szCs w:val="32"/>
        </w:rPr>
        <w:t>万元</w:t>
      </w:r>
      <w:r>
        <w:rPr>
          <w:rFonts w:hint="eastAsia" w:ascii="仿宋_GB2312" w:hAnsi="??" w:eastAsia="仿宋_GB2312" w:cs="仿宋_GB2312"/>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支出包括：一般公共服务支出</w:t>
      </w:r>
      <w:r>
        <w:rPr>
          <w:rFonts w:ascii="仿宋_GB2312" w:eastAsia="仿宋_GB2312" w:cs="仿宋_GB2312"/>
          <w:sz w:val="32"/>
          <w:szCs w:val="32"/>
        </w:rPr>
        <w:t>0</w:t>
      </w:r>
      <w:r>
        <w:rPr>
          <w:rFonts w:hint="eastAsia" w:ascii="仿宋_GB2312" w:eastAsia="仿宋_GB2312" w:cs="仿宋_GB2312"/>
          <w:sz w:val="32"/>
          <w:szCs w:val="32"/>
        </w:rPr>
        <w:t>万元、国防支出</w:t>
      </w:r>
      <w:r>
        <w:rPr>
          <w:rFonts w:ascii="仿宋_GB2312" w:eastAsia="仿宋_GB2312" w:cs="仿宋_GB2312"/>
          <w:sz w:val="32"/>
          <w:szCs w:val="32"/>
        </w:rPr>
        <w:t>0</w:t>
      </w:r>
      <w:r>
        <w:rPr>
          <w:rFonts w:hint="eastAsia" w:ascii="仿宋_GB2312" w:eastAsia="仿宋_GB2312" w:cs="仿宋_GB2312"/>
          <w:sz w:val="32"/>
          <w:szCs w:val="32"/>
        </w:rPr>
        <w:t>万元、公共安全支出</w:t>
      </w:r>
      <w:r>
        <w:rPr>
          <w:rFonts w:ascii="仿宋_GB2312" w:eastAsia="仿宋_GB2312" w:cs="仿宋_GB2312"/>
          <w:sz w:val="32"/>
          <w:szCs w:val="32"/>
        </w:rPr>
        <w:t>0</w:t>
      </w:r>
      <w:r>
        <w:rPr>
          <w:rFonts w:hint="eastAsia" w:ascii="仿宋_GB2312" w:eastAsia="仿宋_GB2312" w:cs="仿宋_GB2312"/>
          <w:sz w:val="32"/>
          <w:szCs w:val="32"/>
        </w:rPr>
        <w:t>万元、教育支出</w:t>
      </w:r>
      <w:r>
        <w:rPr>
          <w:rFonts w:ascii="仿宋_GB2312" w:eastAsia="仿宋_GB2312" w:cs="仿宋_GB2312"/>
          <w:sz w:val="32"/>
          <w:szCs w:val="32"/>
        </w:rPr>
        <w:t>0</w:t>
      </w:r>
      <w:r>
        <w:rPr>
          <w:rFonts w:hint="eastAsia" w:ascii="仿宋_GB2312" w:eastAsia="仿宋_GB2312" w:cs="仿宋_GB2312"/>
          <w:sz w:val="32"/>
          <w:szCs w:val="32"/>
        </w:rPr>
        <w:t>万元、科学技术支出</w:t>
      </w:r>
      <w:r>
        <w:rPr>
          <w:rFonts w:ascii="仿宋_GB2312" w:eastAsia="仿宋_GB2312" w:cs="仿宋_GB2312"/>
          <w:sz w:val="32"/>
          <w:szCs w:val="32"/>
        </w:rPr>
        <w:t>0</w:t>
      </w:r>
      <w:r>
        <w:rPr>
          <w:rFonts w:hint="eastAsia" w:ascii="仿宋_GB2312" w:eastAsia="仿宋_GB2312" w:cs="仿宋_GB2312"/>
          <w:sz w:val="32"/>
          <w:szCs w:val="32"/>
        </w:rPr>
        <w:t>万元、文化旅游体育与传媒支出</w:t>
      </w:r>
      <w:r>
        <w:rPr>
          <w:rFonts w:ascii="仿宋_GB2312" w:eastAsia="仿宋_GB2312" w:cs="仿宋_GB2312"/>
          <w:sz w:val="32"/>
          <w:szCs w:val="32"/>
        </w:rPr>
        <w:t>0</w:t>
      </w:r>
      <w:r>
        <w:rPr>
          <w:rFonts w:hint="eastAsia" w:ascii="仿宋_GB2312" w:eastAsia="仿宋_GB2312" w:cs="仿宋_GB2312"/>
          <w:sz w:val="32"/>
          <w:szCs w:val="32"/>
        </w:rPr>
        <w:t>万元、社会保障和就业支出</w:t>
      </w:r>
      <w:r>
        <w:rPr>
          <w:rFonts w:ascii="仿宋_GB2312" w:eastAsia="仿宋_GB2312" w:cs="仿宋_GB2312"/>
          <w:sz w:val="32"/>
          <w:szCs w:val="32"/>
        </w:rPr>
        <w:t>373.2</w:t>
      </w:r>
      <w:r>
        <w:rPr>
          <w:rFonts w:hint="eastAsia" w:ascii="仿宋_GB2312" w:eastAsia="仿宋_GB2312" w:cs="仿宋_GB2312"/>
          <w:sz w:val="32"/>
          <w:szCs w:val="32"/>
        </w:rPr>
        <w:t>万元、卫生健康支出</w:t>
      </w:r>
      <w:r>
        <w:rPr>
          <w:rFonts w:ascii="仿宋_GB2312" w:eastAsia="仿宋_GB2312" w:cs="仿宋_GB2312"/>
          <w:sz w:val="32"/>
          <w:szCs w:val="32"/>
        </w:rPr>
        <w:t>0</w:t>
      </w:r>
      <w:r>
        <w:rPr>
          <w:rFonts w:hint="eastAsia" w:ascii="仿宋_GB2312" w:eastAsia="仿宋_GB2312" w:cs="仿宋_GB2312"/>
          <w:sz w:val="32"/>
          <w:szCs w:val="32"/>
        </w:rPr>
        <w:t>万元、节能环保支出</w:t>
      </w:r>
      <w:r>
        <w:rPr>
          <w:rFonts w:ascii="仿宋_GB2312" w:eastAsia="仿宋_GB2312" w:cs="仿宋_GB2312"/>
          <w:sz w:val="32"/>
          <w:szCs w:val="32"/>
        </w:rPr>
        <w:t>150</w:t>
      </w:r>
      <w:r>
        <w:rPr>
          <w:rFonts w:hint="eastAsia" w:ascii="仿宋_GB2312" w:eastAsia="仿宋_GB2312" w:cs="仿宋_GB2312"/>
          <w:sz w:val="32"/>
          <w:szCs w:val="32"/>
        </w:rPr>
        <w:t>万元、城乡社区支出</w:t>
      </w:r>
      <w:r>
        <w:rPr>
          <w:rFonts w:ascii="仿宋_GB2312" w:eastAsia="仿宋_GB2312" w:cs="仿宋_GB2312"/>
          <w:sz w:val="32"/>
          <w:szCs w:val="32"/>
        </w:rPr>
        <w:t>30572</w:t>
      </w:r>
      <w:r>
        <w:rPr>
          <w:rFonts w:hint="eastAsia" w:ascii="仿宋_GB2312" w:eastAsia="仿宋_GB2312" w:cs="仿宋_GB2312"/>
          <w:sz w:val="32"/>
          <w:szCs w:val="32"/>
        </w:rPr>
        <w:t>万元、农林水支出</w:t>
      </w:r>
      <w:r>
        <w:rPr>
          <w:rFonts w:ascii="仿宋_GB2312" w:eastAsia="仿宋_GB2312" w:cs="仿宋_GB2312"/>
          <w:sz w:val="32"/>
          <w:szCs w:val="32"/>
        </w:rPr>
        <w:t>0</w:t>
      </w:r>
      <w:r>
        <w:rPr>
          <w:rFonts w:hint="eastAsia" w:ascii="仿宋_GB2312" w:eastAsia="仿宋_GB2312" w:cs="仿宋_GB2312"/>
          <w:sz w:val="32"/>
          <w:szCs w:val="32"/>
        </w:rPr>
        <w:t>万元、交通运输支出</w:t>
      </w:r>
      <w:r>
        <w:rPr>
          <w:rFonts w:ascii="仿宋_GB2312" w:eastAsia="仿宋_GB2312" w:cs="仿宋_GB2312"/>
          <w:sz w:val="32"/>
          <w:szCs w:val="32"/>
        </w:rPr>
        <w:t>0</w:t>
      </w:r>
      <w:r>
        <w:rPr>
          <w:rFonts w:hint="eastAsia" w:ascii="仿宋_GB2312" w:eastAsia="仿宋_GB2312" w:cs="仿宋_GB2312"/>
          <w:sz w:val="32"/>
          <w:szCs w:val="32"/>
        </w:rPr>
        <w:t>万元、资源勘探信息等支出</w:t>
      </w:r>
      <w:r>
        <w:rPr>
          <w:rFonts w:ascii="仿宋_GB2312" w:eastAsia="仿宋_GB2312" w:cs="仿宋_GB2312"/>
          <w:sz w:val="32"/>
          <w:szCs w:val="32"/>
        </w:rPr>
        <w:t>0</w:t>
      </w:r>
      <w:r>
        <w:rPr>
          <w:rFonts w:hint="eastAsia" w:ascii="仿宋_GB2312" w:eastAsia="仿宋_GB2312" w:cs="仿宋_GB2312"/>
          <w:sz w:val="32"/>
          <w:szCs w:val="32"/>
        </w:rPr>
        <w:t>万元、商业服务业等支出</w:t>
      </w:r>
      <w:r>
        <w:rPr>
          <w:rFonts w:ascii="仿宋_GB2312" w:eastAsia="仿宋_GB2312" w:cs="仿宋_GB2312"/>
          <w:sz w:val="32"/>
          <w:szCs w:val="32"/>
        </w:rPr>
        <w:t>0</w:t>
      </w:r>
      <w:r>
        <w:rPr>
          <w:rFonts w:hint="eastAsia" w:ascii="仿宋_GB2312" w:eastAsia="仿宋_GB2312" w:cs="仿宋_GB2312"/>
          <w:sz w:val="32"/>
          <w:szCs w:val="32"/>
        </w:rPr>
        <w:t>万元、金融支出</w:t>
      </w:r>
      <w:r>
        <w:rPr>
          <w:rFonts w:ascii="仿宋_GB2312" w:eastAsia="仿宋_GB2312" w:cs="仿宋_GB2312"/>
          <w:sz w:val="32"/>
          <w:szCs w:val="32"/>
        </w:rPr>
        <w:t>0</w:t>
      </w:r>
      <w:r>
        <w:rPr>
          <w:rFonts w:hint="eastAsia" w:ascii="仿宋_GB2312" w:eastAsia="仿宋_GB2312" w:cs="仿宋_GB2312"/>
          <w:sz w:val="32"/>
          <w:szCs w:val="32"/>
        </w:rPr>
        <w:t>万元、援助其他地区支出</w:t>
      </w:r>
      <w:r>
        <w:rPr>
          <w:rFonts w:ascii="仿宋_GB2312" w:eastAsia="仿宋_GB2312" w:cs="仿宋_GB2312"/>
          <w:sz w:val="32"/>
          <w:szCs w:val="32"/>
        </w:rPr>
        <w:t>0</w:t>
      </w:r>
      <w:r>
        <w:rPr>
          <w:rFonts w:hint="eastAsia" w:ascii="仿宋_GB2312" w:eastAsia="仿宋_GB2312" w:cs="仿宋_GB2312"/>
          <w:sz w:val="32"/>
          <w:szCs w:val="32"/>
        </w:rPr>
        <w:t>万元、自然资源海洋气象等支出</w:t>
      </w:r>
      <w:r>
        <w:rPr>
          <w:rFonts w:ascii="仿宋_GB2312" w:eastAsia="仿宋_GB2312" w:cs="仿宋_GB2312"/>
          <w:sz w:val="32"/>
          <w:szCs w:val="32"/>
        </w:rPr>
        <w:t>0</w:t>
      </w:r>
      <w:r>
        <w:rPr>
          <w:rFonts w:hint="eastAsia" w:ascii="仿宋_GB2312" w:eastAsia="仿宋_GB2312" w:cs="仿宋_GB2312"/>
          <w:sz w:val="32"/>
          <w:szCs w:val="32"/>
        </w:rPr>
        <w:t>万元、住房保障支出</w:t>
      </w:r>
      <w:r>
        <w:rPr>
          <w:rFonts w:ascii="仿宋_GB2312" w:eastAsia="仿宋_GB2312" w:cs="仿宋_GB2312"/>
          <w:sz w:val="32"/>
          <w:szCs w:val="32"/>
        </w:rPr>
        <w:t>0</w:t>
      </w:r>
      <w:r>
        <w:rPr>
          <w:rFonts w:hint="eastAsia" w:ascii="仿宋_GB2312" w:eastAsia="仿宋_GB2312" w:cs="仿宋_GB2312"/>
          <w:sz w:val="32"/>
          <w:szCs w:val="32"/>
        </w:rPr>
        <w:t>万元、粮油物资储备支出</w:t>
      </w:r>
      <w:r>
        <w:rPr>
          <w:rFonts w:ascii="仿宋_GB2312" w:eastAsia="仿宋_GB2312" w:cs="仿宋_GB2312"/>
          <w:sz w:val="32"/>
          <w:szCs w:val="32"/>
        </w:rPr>
        <w:t>0</w:t>
      </w:r>
      <w:r>
        <w:rPr>
          <w:rFonts w:hint="eastAsia" w:ascii="仿宋_GB2312" w:eastAsia="仿宋_GB2312" w:cs="仿宋_GB2312"/>
          <w:sz w:val="32"/>
          <w:szCs w:val="32"/>
        </w:rPr>
        <w:t>万元、灾害防治及应急管理支出</w:t>
      </w:r>
      <w:r>
        <w:rPr>
          <w:rFonts w:ascii="仿宋_GB2312" w:eastAsia="仿宋_GB2312" w:cs="仿宋_GB2312"/>
          <w:sz w:val="32"/>
          <w:szCs w:val="32"/>
        </w:rPr>
        <w:t>0</w:t>
      </w:r>
      <w:r>
        <w:rPr>
          <w:rFonts w:hint="eastAsia" w:ascii="仿宋_GB2312" w:eastAsia="仿宋_GB2312" w:cs="仿宋_GB2312"/>
          <w:sz w:val="32"/>
          <w:szCs w:val="32"/>
        </w:rPr>
        <w:t>万元、其他支出</w:t>
      </w:r>
      <w:r>
        <w:rPr>
          <w:rFonts w:ascii="仿宋_GB2312" w:eastAsia="仿宋_GB2312" w:cs="仿宋_GB2312"/>
          <w:sz w:val="32"/>
          <w:szCs w:val="32"/>
        </w:rPr>
        <w:t>0</w:t>
      </w:r>
      <w:r>
        <w:rPr>
          <w:rFonts w:hint="eastAsia" w:ascii="仿宋_GB2312" w:eastAsia="仿宋_GB2312" w:cs="仿宋_GB2312"/>
          <w:sz w:val="32"/>
          <w:szCs w:val="32"/>
        </w:rPr>
        <w:t>万元、债务付息支出</w:t>
      </w:r>
      <w:r>
        <w:rPr>
          <w:rFonts w:ascii="仿宋_GB2312" w:eastAsia="仿宋_GB2312" w:cs="仿宋_GB2312"/>
          <w:sz w:val="32"/>
          <w:szCs w:val="32"/>
        </w:rPr>
        <w:t>0</w:t>
      </w:r>
      <w:r>
        <w:rPr>
          <w:rFonts w:hint="eastAsia" w:ascii="仿宋_GB2312" w:eastAsia="仿宋_GB2312" w:cs="仿宋_GB2312"/>
          <w:sz w:val="32"/>
          <w:szCs w:val="32"/>
        </w:rPr>
        <w:t>万元、债务发行费用支出</w:t>
      </w:r>
      <w:r>
        <w:rPr>
          <w:rFonts w:ascii="仿宋_GB2312" w:eastAsia="仿宋_GB2312" w:cs="仿宋_GB2312"/>
          <w:sz w:val="32"/>
          <w:szCs w:val="32"/>
        </w:rPr>
        <w:t>0</w:t>
      </w:r>
      <w:r>
        <w:rPr>
          <w:rFonts w:hint="eastAsia" w:ascii="仿宋_GB2312" w:eastAsia="仿宋_GB2312" w:cs="仿宋_GB2312"/>
          <w:sz w:val="32"/>
          <w:szCs w:val="32"/>
        </w:rPr>
        <w:t>万元。</w:t>
      </w:r>
    </w:p>
    <w:p>
      <w:pPr>
        <w:spacing w:line="600" w:lineRule="exact"/>
        <w:ind w:firstLine="643" w:firstLineChars="200"/>
        <w:rPr>
          <w:rFonts w:ascii="仿宋_GB2312" w:hAnsi="??" w:eastAsia="仿宋_GB2312"/>
          <w:b/>
          <w:bCs/>
          <w:sz w:val="32"/>
          <w:szCs w:val="32"/>
        </w:rPr>
      </w:pPr>
      <w:r>
        <w:rPr>
          <w:rFonts w:hint="eastAsia" w:ascii="仿宋_GB2312" w:hAnsi="??" w:eastAsia="仿宋_GB2312" w:cs="仿宋_GB2312"/>
          <w:b/>
          <w:bCs/>
          <w:sz w:val="32"/>
          <w:szCs w:val="32"/>
        </w:rPr>
        <w:t>（五）关于</w:t>
      </w:r>
      <w:r>
        <w:rPr>
          <w:rFonts w:hint="eastAsia" w:ascii="仿宋_GB2312" w:eastAsia="仿宋_GB2312" w:cs="仿宋_GB2312"/>
          <w:b/>
          <w:bCs/>
          <w:sz w:val="32"/>
          <w:szCs w:val="32"/>
        </w:rPr>
        <w:t>住建局</w:t>
      </w:r>
      <w:r>
        <w:rPr>
          <w:rFonts w:ascii="仿宋_GB2312" w:eastAsia="仿宋_GB2312" w:cs="仿宋_GB2312"/>
          <w:b/>
          <w:bCs/>
          <w:sz w:val="32"/>
          <w:szCs w:val="32"/>
        </w:rPr>
        <w:t>2021</w:t>
      </w:r>
      <w:r>
        <w:rPr>
          <w:rFonts w:hint="eastAsia" w:ascii="仿宋_GB2312" w:eastAsia="仿宋_GB2312" w:cs="仿宋_GB2312"/>
          <w:b/>
          <w:bCs/>
          <w:sz w:val="32"/>
          <w:szCs w:val="32"/>
        </w:rPr>
        <w:t>年</w:t>
      </w:r>
      <w:r>
        <w:rPr>
          <w:rFonts w:hint="eastAsia" w:ascii="仿宋_GB2312" w:hAnsi="??" w:eastAsia="仿宋_GB2312" w:cs="仿宋_GB2312"/>
          <w:b/>
          <w:bCs/>
          <w:sz w:val="32"/>
          <w:szCs w:val="32"/>
        </w:rPr>
        <w:t>一般公共预算当年拨款情况说明</w:t>
      </w:r>
    </w:p>
    <w:p>
      <w:pPr>
        <w:spacing w:line="600" w:lineRule="exact"/>
        <w:ind w:firstLine="643" w:firstLineChars="200"/>
        <w:rPr>
          <w:rFonts w:ascii="楷体_GB2312" w:eastAsia="楷体_GB2312"/>
          <w:b/>
          <w:bCs/>
          <w:sz w:val="32"/>
          <w:szCs w:val="32"/>
        </w:rPr>
      </w:pPr>
      <w:r>
        <w:rPr>
          <w:rFonts w:ascii="楷体_GB2312" w:eastAsia="楷体_GB2312" w:cs="楷体_GB2312"/>
          <w:b/>
          <w:bCs/>
          <w:sz w:val="32"/>
          <w:szCs w:val="32"/>
        </w:rPr>
        <w:t>1.</w:t>
      </w:r>
      <w:r>
        <w:rPr>
          <w:rFonts w:hint="eastAsia" w:ascii="楷体_GB2312" w:eastAsia="楷体_GB2312" w:cs="楷体_GB2312"/>
          <w:b/>
          <w:bCs/>
          <w:sz w:val="32"/>
          <w:szCs w:val="32"/>
        </w:rPr>
        <w:t>一般公共预算当年拨款规模变化情况。</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住建局</w:t>
      </w:r>
      <w:r>
        <w:rPr>
          <w:rFonts w:ascii="仿宋_GB2312" w:eastAsia="仿宋_GB2312" w:cs="仿宋_GB2312"/>
          <w:sz w:val="32"/>
          <w:szCs w:val="32"/>
        </w:rPr>
        <w:t>2021</w:t>
      </w:r>
      <w:r>
        <w:rPr>
          <w:rFonts w:hint="eastAsia" w:ascii="仿宋_GB2312" w:eastAsia="仿宋_GB2312" w:cs="仿宋_GB2312"/>
          <w:sz w:val="32"/>
          <w:szCs w:val="32"/>
        </w:rPr>
        <w:t>年一般公共预算当年拨款</w:t>
      </w:r>
      <w:r>
        <w:rPr>
          <w:rFonts w:ascii="仿宋_GB2312" w:eastAsia="仿宋_GB2312" w:cs="仿宋_GB2312"/>
          <w:sz w:val="32"/>
          <w:szCs w:val="32"/>
        </w:rPr>
        <w:t>14316</w:t>
      </w:r>
      <w:r>
        <w:rPr>
          <w:rFonts w:hint="eastAsia" w:ascii="仿宋_GB2312" w:eastAsia="仿宋_GB2312" w:cs="仿宋_GB2312"/>
          <w:sz w:val="32"/>
          <w:szCs w:val="32"/>
        </w:rPr>
        <w:t>万元，比上年执行数减少</w:t>
      </w:r>
      <w:r>
        <w:rPr>
          <w:rFonts w:ascii="仿宋_GB2312" w:eastAsia="仿宋_GB2312" w:cs="仿宋_GB2312"/>
          <w:sz w:val="32"/>
          <w:szCs w:val="32"/>
        </w:rPr>
        <w:t>12189.88</w:t>
      </w:r>
      <w:r>
        <w:rPr>
          <w:rFonts w:hint="eastAsia" w:ascii="仿宋_GB2312" w:eastAsia="仿宋_GB2312" w:cs="仿宋_GB2312"/>
          <w:sz w:val="32"/>
          <w:szCs w:val="32"/>
        </w:rPr>
        <w:t>万元，</w:t>
      </w:r>
      <w:r>
        <w:rPr>
          <w:rFonts w:hint="eastAsia" w:ascii="仿宋_GB2312" w:hAnsi="??" w:eastAsia="仿宋_GB2312" w:cs="仿宋_GB2312"/>
          <w:sz w:val="32"/>
          <w:szCs w:val="32"/>
        </w:rPr>
        <w:t>下降</w:t>
      </w:r>
      <w:r>
        <w:rPr>
          <w:rFonts w:ascii="仿宋_GB2312" w:hAnsi="??" w:eastAsia="仿宋_GB2312" w:cs="仿宋_GB2312"/>
          <w:sz w:val="32"/>
          <w:szCs w:val="32"/>
        </w:rPr>
        <w:t>46%</w:t>
      </w:r>
      <w:r>
        <w:rPr>
          <w:rFonts w:hint="eastAsia" w:ascii="仿宋_GB2312" w:hAnsi="??" w:eastAsia="仿宋_GB2312" w:cs="仿宋_GB2312"/>
          <w:sz w:val="32"/>
          <w:szCs w:val="32"/>
        </w:rPr>
        <w:t>，</w:t>
      </w:r>
      <w:r>
        <w:rPr>
          <w:rFonts w:hint="eastAsia" w:ascii="仿宋_GB2312" w:eastAsia="仿宋_GB2312" w:cs="仿宋_GB2312"/>
          <w:sz w:val="32"/>
          <w:szCs w:val="32"/>
        </w:rPr>
        <w:t>主要原因是省补资金拨款下降。</w:t>
      </w:r>
    </w:p>
    <w:p>
      <w:pPr>
        <w:spacing w:line="600" w:lineRule="exact"/>
        <w:ind w:firstLine="640" w:firstLineChars="200"/>
        <w:rPr>
          <w:rFonts w:ascii="仿宋_GB2312" w:hAnsi="??" w:eastAsia="仿宋_GB2312"/>
          <w:b/>
          <w:bCs/>
          <w:sz w:val="32"/>
          <w:szCs w:val="32"/>
        </w:rPr>
      </w:pPr>
      <w:r>
        <w:rPr>
          <w:rFonts w:ascii="仿宋_GB2312" w:eastAsia="仿宋_GB2312" w:cs="仿宋_GB2312"/>
          <w:sz w:val="32"/>
          <w:szCs w:val="32"/>
        </w:rPr>
        <w:t>2.</w:t>
      </w:r>
      <w:r>
        <w:rPr>
          <w:rFonts w:hint="eastAsia" w:ascii="仿宋_GB2312" w:hAnsi="??" w:eastAsia="仿宋_GB2312" w:cs="仿宋_GB2312"/>
          <w:b/>
          <w:bCs/>
          <w:sz w:val="32"/>
          <w:szCs w:val="32"/>
        </w:rPr>
        <w:t>一般公共预算当年拨款结构情况</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社会保障和就业支出</w:t>
      </w:r>
      <w:r>
        <w:rPr>
          <w:rFonts w:ascii="仿宋_GB2312" w:eastAsia="仿宋_GB2312" w:cs="仿宋_GB2312"/>
          <w:sz w:val="32"/>
          <w:szCs w:val="32"/>
        </w:rPr>
        <w:t>373.2</w:t>
      </w:r>
      <w:r>
        <w:rPr>
          <w:rFonts w:hint="eastAsia" w:ascii="仿宋_GB2312" w:eastAsia="仿宋_GB2312" w:cs="仿宋_GB2312"/>
          <w:sz w:val="32"/>
          <w:szCs w:val="32"/>
        </w:rPr>
        <w:t>万元，占</w:t>
      </w:r>
      <w:r>
        <w:rPr>
          <w:rFonts w:ascii="仿宋_GB2312" w:eastAsia="仿宋_GB2312" w:cs="仿宋_GB2312"/>
          <w:sz w:val="32"/>
          <w:szCs w:val="32"/>
        </w:rPr>
        <w:t>2.6%</w:t>
      </w:r>
      <w:r>
        <w:rPr>
          <w:rFonts w:hint="eastAsia" w:ascii="仿宋_GB2312" w:eastAsia="仿宋_GB2312" w:cs="仿宋_GB2312"/>
          <w:sz w:val="32"/>
          <w:szCs w:val="32"/>
        </w:rPr>
        <w:t>；节能环保支出</w:t>
      </w:r>
      <w:r>
        <w:rPr>
          <w:rFonts w:ascii="仿宋_GB2312" w:eastAsia="仿宋_GB2312" w:cs="仿宋_GB2312"/>
          <w:sz w:val="32"/>
          <w:szCs w:val="32"/>
        </w:rPr>
        <w:t>150</w:t>
      </w:r>
      <w:r>
        <w:rPr>
          <w:rFonts w:hint="eastAsia" w:ascii="仿宋_GB2312" w:eastAsia="仿宋_GB2312" w:cs="仿宋_GB2312"/>
          <w:sz w:val="32"/>
          <w:szCs w:val="32"/>
        </w:rPr>
        <w:t>万元，占</w:t>
      </w:r>
      <w:r>
        <w:rPr>
          <w:rFonts w:ascii="仿宋_GB2312" w:eastAsia="仿宋_GB2312" w:cs="仿宋_GB2312"/>
          <w:sz w:val="32"/>
          <w:szCs w:val="32"/>
        </w:rPr>
        <w:t>1.1%</w:t>
      </w:r>
      <w:r>
        <w:rPr>
          <w:rFonts w:hint="eastAsia" w:ascii="仿宋_GB2312" w:eastAsia="仿宋_GB2312" w:cs="仿宋_GB2312"/>
          <w:sz w:val="32"/>
          <w:szCs w:val="32"/>
        </w:rPr>
        <w:t>；城乡社区支出</w:t>
      </w:r>
      <w:r>
        <w:rPr>
          <w:rFonts w:ascii="仿宋_GB2312" w:eastAsia="仿宋_GB2312" w:cs="仿宋_GB2312"/>
          <w:sz w:val="32"/>
          <w:szCs w:val="32"/>
        </w:rPr>
        <w:t>13792.8</w:t>
      </w:r>
      <w:r>
        <w:rPr>
          <w:rFonts w:hint="eastAsia" w:ascii="仿宋_GB2312" w:eastAsia="仿宋_GB2312" w:cs="仿宋_GB2312"/>
          <w:sz w:val="32"/>
          <w:szCs w:val="32"/>
        </w:rPr>
        <w:t>万元，占</w:t>
      </w:r>
      <w:r>
        <w:rPr>
          <w:rFonts w:ascii="仿宋_GB2312" w:eastAsia="仿宋_GB2312" w:cs="仿宋_GB2312"/>
          <w:sz w:val="32"/>
          <w:szCs w:val="32"/>
        </w:rPr>
        <w:t>96.3%</w:t>
      </w:r>
      <w:r>
        <w:rPr>
          <w:rFonts w:hint="eastAsia" w:ascii="仿宋_GB2312" w:eastAsia="仿宋_GB2312" w:cs="仿宋_GB2312"/>
          <w:sz w:val="32"/>
          <w:szCs w:val="32"/>
        </w:rPr>
        <w:t>。</w:t>
      </w:r>
      <w:r>
        <w:rPr>
          <w:rFonts w:ascii="仿宋_GB2312" w:eastAsia="仿宋_GB2312"/>
          <w:sz w:val="32"/>
          <w:szCs w:val="32"/>
        </w:rPr>
        <w:t xml:space="preserve"> </w:t>
      </w:r>
    </w:p>
    <w:p>
      <w:pPr>
        <w:spacing w:line="600" w:lineRule="exact"/>
        <w:ind w:firstLine="643" w:firstLineChars="200"/>
        <w:rPr>
          <w:rFonts w:ascii="仿宋_GB2312" w:hAnsi="??" w:eastAsia="仿宋_GB2312"/>
          <w:b/>
          <w:bCs/>
          <w:sz w:val="32"/>
          <w:szCs w:val="32"/>
        </w:rPr>
      </w:pPr>
      <w:r>
        <w:rPr>
          <w:rFonts w:ascii="仿宋_GB2312" w:hAnsi="??" w:eastAsia="仿宋_GB2312" w:cs="仿宋_GB2312"/>
          <w:b/>
          <w:bCs/>
          <w:sz w:val="32"/>
          <w:szCs w:val="32"/>
        </w:rPr>
        <w:t>3.</w:t>
      </w:r>
      <w:r>
        <w:rPr>
          <w:rFonts w:hint="eastAsia" w:ascii="仿宋_GB2312" w:hAnsi="??" w:eastAsia="仿宋_GB2312" w:cs="仿宋_GB2312"/>
          <w:b/>
          <w:bCs/>
          <w:sz w:val="32"/>
          <w:szCs w:val="32"/>
        </w:rPr>
        <w:t>一般公共预算当年拨款具体使用情况</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w:t>
      </w:r>
      <w:r>
        <w:rPr>
          <w:rFonts w:ascii="仿宋_GB2312" w:eastAsia="仿宋_GB2312" w:cs="仿宋_GB2312"/>
          <w:sz w:val="32"/>
          <w:szCs w:val="32"/>
        </w:rPr>
        <w:t>1</w:t>
      </w:r>
      <w:r>
        <w:rPr>
          <w:rFonts w:hint="eastAsia" w:ascii="仿宋_GB2312" w:eastAsia="仿宋_GB2312" w:cs="仿宋_GB2312"/>
          <w:sz w:val="32"/>
          <w:szCs w:val="32"/>
        </w:rPr>
        <w:t>）社会保障和就业支出（类）行政事业单位养老支出（款）机关事业单位基本养老保险缴费支出（项）</w:t>
      </w:r>
      <w:r>
        <w:rPr>
          <w:rFonts w:ascii="仿宋_GB2312" w:eastAsia="仿宋_GB2312" w:cs="仿宋_GB2312"/>
          <w:sz w:val="32"/>
          <w:szCs w:val="32"/>
        </w:rPr>
        <w:t>248.8</w:t>
      </w:r>
      <w:r>
        <w:rPr>
          <w:rFonts w:hint="eastAsia" w:ascii="仿宋_GB2312" w:eastAsia="仿宋_GB2312" w:cs="仿宋_GB2312"/>
          <w:sz w:val="32"/>
          <w:szCs w:val="32"/>
        </w:rPr>
        <w:t>万元，主要用于机关事业人员基本养老保险缴费支出。</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w:t>
      </w:r>
      <w:r>
        <w:rPr>
          <w:rFonts w:ascii="仿宋_GB2312" w:eastAsia="仿宋_GB2312" w:cs="仿宋_GB2312"/>
          <w:sz w:val="32"/>
          <w:szCs w:val="32"/>
        </w:rPr>
        <w:t>2</w:t>
      </w:r>
      <w:r>
        <w:rPr>
          <w:rFonts w:hint="eastAsia" w:ascii="仿宋_GB2312" w:eastAsia="仿宋_GB2312" w:cs="仿宋_GB2312"/>
          <w:sz w:val="32"/>
          <w:szCs w:val="32"/>
        </w:rPr>
        <w:t>）社会保障和就业支出（类）行政事业单位养老支出（款）机关事业单位职业年金缴费支出（项）</w:t>
      </w:r>
      <w:r>
        <w:rPr>
          <w:rFonts w:ascii="仿宋_GB2312" w:eastAsia="仿宋_GB2312" w:cs="仿宋_GB2312"/>
          <w:sz w:val="32"/>
          <w:szCs w:val="32"/>
        </w:rPr>
        <w:t>124.4</w:t>
      </w:r>
      <w:r>
        <w:rPr>
          <w:rFonts w:hint="eastAsia" w:ascii="仿宋_GB2312" w:eastAsia="仿宋_GB2312" w:cs="仿宋_GB2312"/>
          <w:sz w:val="32"/>
          <w:szCs w:val="32"/>
        </w:rPr>
        <w:t>万元，主要用于机关事业单位职工职业年金缴费支出。</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w:t>
      </w:r>
      <w:r>
        <w:rPr>
          <w:rFonts w:ascii="仿宋_GB2312" w:eastAsia="仿宋_GB2312" w:cs="仿宋_GB2312"/>
          <w:sz w:val="32"/>
          <w:szCs w:val="32"/>
        </w:rPr>
        <w:t>3</w:t>
      </w:r>
      <w:r>
        <w:rPr>
          <w:rFonts w:hint="eastAsia" w:ascii="仿宋_GB2312" w:eastAsia="仿宋_GB2312" w:cs="仿宋_GB2312"/>
          <w:sz w:val="32"/>
          <w:szCs w:val="32"/>
        </w:rPr>
        <w:t>）节能环保支出（类）自然生态保护（款）农村环境保护（项）</w:t>
      </w:r>
      <w:r>
        <w:rPr>
          <w:rFonts w:ascii="仿宋_GB2312" w:eastAsia="仿宋_GB2312" w:cs="仿宋_GB2312"/>
          <w:sz w:val="32"/>
          <w:szCs w:val="32"/>
        </w:rPr>
        <w:t>150</w:t>
      </w:r>
      <w:r>
        <w:rPr>
          <w:rFonts w:hint="eastAsia" w:ascii="仿宋_GB2312" w:eastAsia="仿宋_GB2312" w:cs="仿宋_GB2312"/>
          <w:sz w:val="32"/>
          <w:szCs w:val="32"/>
        </w:rPr>
        <w:t>万元，主要用于传统村落保护方面的支出。</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w:t>
      </w:r>
      <w:r>
        <w:rPr>
          <w:rFonts w:ascii="仿宋_GB2312" w:eastAsia="仿宋_GB2312" w:cs="仿宋_GB2312"/>
          <w:sz w:val="32"/>
          <w:szCs w:val="32"/>
        </w:rPr>
        <w:t>4</w:t>
      </w:r>
      <w:r>
        <w:rPr>
          <w:rFonts w:hint="eastAsia" w:ascii="仿宋_GB2312" w:eastAsia="仿宋_GB2312" w:cs="仿宋_GB2312"/>
          <w:sz w:val="32"/>
          <w:szCs w:val="32"/>
        </w:rPr>
        <w:t>）城乡社区支出（类）城乡社区管理事务（款）行政运行（项）</w:t>
      </w:r>
      <w:r>
        <w:rPr>
          <w:rFonts w:ascii="仿宋_GB2312" w:eastAsia="仿宋_GB2312" w:cs="仿宋_GB2312"/>
          <w:sz w:val="32"/>
          <w:szCs w:val="32"/>
        </w:rPr>
        <w:t>1080.1</w:t>
      </w:r>
      <w:r>
        <w:rPr>
          <w:rFonts w:hint="eastAsia" w:ascii="仿宋_GB2312" w:eastAsia="仿宋_GB2312" w:cs="仿宋_GB2312"/>
          <w:sz w:val="32"/>
          <w:szCs w:val="32"/>
        </w:rPr>
        <w:t>万元，主要用于行政单位（包括实行公务员管理的事业单位）的工资福利及基本支出。</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w:t>
      </w:r>
      <w:r>
        <w:rPr>
          <w:rFonts w:ascii="仿宋_GB2312" w:eastAsia="仿宋_GB2312" w:cs="仿宋_GB2312"/>
          <w:sz w:val="32"/>
          <w:szCs w:val="32"/>
        </w:rPr>
        <w:t>5</w:t>
      </w:r>
      <w:r>
        <w:rPr>
          <w:rFonts w:hint="eastAsia" w:ascii="仿宋_GB2312" w:eastAsia="仿宋_GB2312" w:cs="仿宋_GB2312"/>
          <w:sz w:val="32"/>
          <w:szCs w:val="32"/>
        </w:rPr>
        <w:t>）城乡社区支出（类）城乡社区管理事务（款）其他城乡社区管理事务支出（项）</w:t>
      </w:r>
      <w:r>
        <w:rPr>
          <w:rFonts w:ascii="仿宋_GB2312" w:eastAsia="仿宋_GB2312" w:cs="仿宋_GB2312"/>
          <w:sz w:val="32"/>
          <w:szCs w:val="32"/>
        </w:rPr>
        <w:t>3946.1</w:t>
      </w:r>
      <w:r>
        <w:rPr>
          <w:rFonts w:hint="eastAsia" w:ascii="仿宋_GB2312" w:eastAsia="仿宋_GB2312" w:cs="仿宋_GB2312"/>
          <w:sz w:val="32"/>
          <w:szCs w:val="32"/>
        </w:rPr>
        <w:t>万元，主要用于城乡社区管理事务方面的其他支出。</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w:t>
      </w:r>
      <w:r>
        <w:rPr>
          <w:rFonts w:ascii="仿宋_GB2312" w:eastAsia="仿宋_GB2312" w:cs="仿宋_GB2312"/>
          <w:sz w:val="32"/>
          <w:szCs w:val="32"/>
        </w:rPr>
        <w:t>6</w:t>
      </w:r>
      <w:r>
        <w:rPr>
          <w:rFonts w:hint="eastAsia" w:ascii="仿宋_GB2312" w:eastAsia="仿宋_GB2312" w:cs="仿宋_GB2312"/>
          <w:sz w:val="32"/>
          <w:szCs w:val="32"/>
        </w:rPr>
        <w:t>）城乡社区支出（类）城乡社区规划与管理（款）城乡社区规划与管理（项）</w:t>
      </w:r>
      <w:r>
        <w:rPr>
          <w:rFonts w:ascii="仿宋_GB2312" w:eastAsia="仿宋_GB2312" w:cs="仿宋_GB2312"/>
          <w:sz w:val="32"/>
          <w:szCs w:val="32"/>
        </w:rPr>
        <w:t>288.5</w:t>
      </w:r>
      <w:r>
        <w:rPr>
          <w:rFonts w:hint="eastAsia" w:ascii="仿宋_GB2312" w:eastAsia="仿宋_GB2312" w:cs="仿宋_GB2312"/>
          <w:sz w:val="32"/>
          <w:szCs w:val="32"/>
        </w:rPr>
        <w:t>万元，主要用于方案及规划编制费用。</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w:t>
      </w:r>
      <w:r>
        <w:rPr>
          <w:rFonts w:ascii="仿宋_GB2312" w:eastAsia="仿宋_GB2312" w:cs="仿宋_GB2312"/>
          <w:sz w:val="32"/>
          <w:szCs w:val="32"/>
        </w:rPr>
        <w:t>7</w:t>
      </w:r>
      <w:r>
        <w:rPr>
          <w:rFonts w:hint="eastAsia" w:ascii="仿宋_GB2312" w:eastAsia="仿宋_GB2312" w:cs="仿宋_GB2312"/>
          <w:sz w:val="32"/>
          <w:szCs w:val="32"/>
        </w:rPr>
        <w:t>）城乡社区支出（类）城乡社区公共设施（款）其他城乡社区公共设施支出（项）</w:t>
      </w:r>
      <w:r>
        <w:rPr>
          <w:rFonts w:ascii="仿宋_GB2312" w:eastAsia="仿宋_GB2312" w:cs="仿宋_GB2312"/>
          <w:sz w:val="32"/>
          <w:szCs w:val="32"/>
        </w:rPr>
        <w:t>7295.3</w:t>
      </w:r>
      <w:r>
        <w:rPr>
          <w:rFonts w:hint="eastAsia" w:ascii="仿宋_GB2312" w:eastAsia="仿宋_GB2312" w:cs="仿宋_GB2312"/>
          <w:sz w:val="32"/>
          <w:szCs w:val="32"/>
        </w:rPr>
        <w:t>万元，主要用于市政、园林、公园、污水处理等公共设施建设维护与管理方面的支出。</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w:t>
      </w:r>
      <w:r>
        <w:rPr>
          <w:rFonts w:ascii="仿宋_GB2312" w:eastAsia="仿宋_GB2312" w:cs="仿宋_GB2312"/>
          <w:sz w:val="32"/>
          <w:szCs w:val="32"/>
        </w:rPr>
        <w:t>8</w:t>
      </w:r>
      <w:r>
        <w:rPr>
          <w:rFonts w:hint="eastAsia" w:ascii="仿宋_GB2312" w:eastAsia="仿宋_GB2312" w:cs="仿宋_GB2312"/>
          <w:sz w:val="32"/>
          <w:szCs w:val="32"/>
        </w:rPr>
        <w:t>）城乡社区支出（类）城乡社区环境卫生（款）城乡社区环境卫生（项）</w:t>
      </w:r>
      <w:r>
        <w:rPr>
          <w:rFonts w:ascii="仿宋_GB2312" w:eastAsia="仿宋_GB2312" w:cs="仿宋_GB2312"/>
          <w:sz w:val="32"/>
          <w:szCs w:val="32"/>
        </w:rPr>
        <w:t>100</w:t>
      </w:r>
      <w:r>
        <w:rPr>
          <w:rFonts w:hint="eastAsia" w:ascii="仿宋_GB2312" w:eastAsia="仿宋_GB2312" w:cs="仿宋_GB2312"/>
          <w:sz w:val="32"/>
          <w:szCs w:val="32"/>
        </w:rPr>
        <w:t>万元，主要用于绕环城绿道及前溪综合保洁等支出。</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w:t>
      </w:r>
      <w:r>
        <w:rPr>
          <w:rFonts w:ascii="仿宋_GB2312" w:eastAsia="仿宋_GB2312" w:cs="仿宋_GB2312"/>
          <w:sz w:val="32"/>
          <w:szCs w:val="32"/>
        </w:rPr>
        <w:t>9</w:t>
      </w:r>
      <w:r>
        <w:rPr>
          <w:rFonts w:hint="eastAsia" w:ascii="仿宋_GB2312" w:eastAsia="仿宋_GB2312" w:cs="仿宋_GB2312"/>
          <w:sz w:val="32"/>
          <w:szCs w:val="32"/>
        </w:rPr>
        <w:t>）城乡社区支出（类）建设市场管理与监督（款）建设市场管理与监督（项）</w:t>
      </w:r>
      <w:r>
        <w:rPr>
          <w:rFonts w:ascii="仿宋_GB2312" w:eastAsia="仿宋_GB2312" w:cs="仿宋_GB2312"/>
          <w:sz w:val="32"/>
          <w:szCs w:val="32"/>
        </w:rPr>
        <w:t>956</w:t>
      </w:r>
      <w:r>
        <w:rPr>
          <w:rFonts w:hint="eastAsia" w:ascii="仿宋_GB2312" w:eastAsia="仿宋_GB2312" w:cs="仿宋_GB2312"/>
          <w:sz w:val="32"/>
          <w:szCs w:val="32"/>
        </w:rPr>
        <w:t>万元，主要用于建筑工程图审、防雷检测、安全管理等支出。</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w:t>
      </w:r>
      <w:r>
        <w:rPr>
          <w:rFonts w:ascii="仿宋_GB2312" w:eastAsia="仿宋_GB2312" w:cs="仿宋_GB2312"/>
          <w:sz w:val="32"/>
          <w:szCs w:val="32"/>
        </w:rPr>
        <w:t>10</w:t>
      </w:r>
      <w:r>
        <w:rPr>
          <w:rFonts w:hint="eastAsia" w:ascii="仿宋_GB2312" w:eastAsia="仿宋_GB2312" w:cs="仿宋_GB2312"/>
          <w:sz w:val="32"/>
          <w:szCs w:val="32"/>
        </w:rPr>
        <w:t>）城乡社区支出（类）其他城乡社区支出（款）其他城乡社区支出（项）</w:t>
      </w:r>
      <w:r>
        <w:rPr>
          <w:rFonts w:ascii="仿宋_GB2312" w:eastAsia="仿宋_GB2312" w:cs="仿宋_GB2312"/>
          <w:sz w:val="32"/>
          <w:szCs w:val="32"/>
        </w:rPr>
        <w:t>126.7</w:t>
      </w:r>
      <w:r>
        <w:rPr>
          <w:rFonts w:hint="eastAsia" w:ascii="仿宋_GB2312" w:eastAsia="仿宋_GB2312" w:cs="仿宋_GB2312"/>
          <w:sz w:val="32"/>
          <w:szCs w:val="32"/>
        </w:rPr>
        <w:t>万元，主要用于海绵城市建设试点补助等支出。</w:t>
      </w:r>
    </w:p>
    <w:p>
      <w:pPr>
        <w:spacing w:line="600" w:lineRule="exact"/>
        <w:ind w:firstLine="640"/>
        <w:rPr>
          <w:rFonts w:ascii="仿宋_GB2312" w:hAnsi="??" w:eastAsia="仿宋_GB2312"/>
          <w:b/>
          <w:bCs/>
          <w:sz w:val="32"/>
          <w:szCs w:val="32"/>
        </w:rPr>
      </w:pPr>
      <w:r>
        <w:rPr>
          <w:rFonts w:hint="eastAsia" w:ascii="仿宋_GB2312" w:eastAsia="仿宋_GB2312" w:cs="仿宋_GB2312"/>
          <w:b/>
          <w:bCs/>
          <w:sz w:val="32"/>
          <w:szCs w:val="32"/>
        </w:rPr>
        <w:t>（六）关于住建局</w:t>
      </w:r>
      <w:r>
        <w:rPr>
          <w:rFonts w:ascii="仿宋_GB2312" w:eastAsia="仿宋_GB2312" w:cs="仿宋_GB2312"/>
          <w:b/>
          <w:bCs/>
          <w:sz w:val="32"/>
          <w:szCs w:val="32"/>
        </w:rPr>
        <w:t>2021</w:t>
      </w:r>
      <w:r>
        <w:rPr>
          <w:rFonts w:hint="eastAsia" w:ascii="仿宋_GB2312" w:eastAsia="仿宋_GB2312" w:cs="仿宋_GB2312"/>
          <w:b/>
          <w:bCs/>
          <w:sz w:val="32"/>
          <w:szCs w:val="32"/>
        </w:rPr>
        <w:t>年一</w:t>
      </w:r>
      <w:r>
        <w:rPr>
          <w:rFonts w:hint="eastAsia" w:ascii="仿宋_GB2312" w:hAnsi="??" w:eastAsia="仿宋_GB2312" w:cs="仿宋_GB2312"/>
          <w:b/>
          <w:bCs/>
          <w:sz w:val="32"/>
          <w:szCs w:val="32"/>
        </w:rPr>
        <w:t>般公共预算基本支出情况说明</w:t>
      </w:r>
    </w:p>
    <w:p>
      <w:pPr>
        <w:spacing w:line="600" w:lineRule="exact"/>
        <w:ind w:firstLine="640" w:firstLineChars="200"/>
        <w:rPr>
          <w:rFonts w:ascii="仿宋_GB2312" w:hAnsi="??" w:eastAsia="仿宋_GB2312"/>
          <w:sz w:val="32"/>
          <w:szCs w:val="32"/>
        </w:rPr>
      </w:pPr>
      <w:r>
        <w:rPr>
          <w:rFonts w:hint="eastAsia" w:ascii="仿宋_GB2312" w:hAnsi="??" w:eastAsia="仿宋_GB2312" w:cs="仿宋_GB2312"/>
          <w:sz w:val="32"/>
          <w:szCs w:val="32"/>
        </w:rPr>
        <w:t>住建局</w:t>
      </w:r>
      <w:r>
        <w:rPr>
          <w:rFonts w:ascii="仿宋_GB2312" w:hAnsi="??" w:eastAsia="仿宋_GB2312" w:cs="仿宋_GB2312"/>
          <w:sz w:val="32"/>
          <w:szCs w:val="32"/>
        </w:rPr>
        <w:t>2021</w:t>
      </w:r>
      <w:r>
        <w:rPr>
          <w:rFonts w:hint="eastAsia" w:ascii="仿宋_GB2312" w:hAnsi="??" w:eastAsia="仿宋_GB2312" w:cs="仿宋_GB2312"/>
          <w:sz w:val="32"/>
          <w:szCs w:val="32"/>
        </w:rPr>
        <w:t>年一般公共预算基本支出</w:t>
      </w:r>
      <w:r>
        <w:rPr>
          <w:rFonts w:ascii="仿宋_GB2312" w:eastAsia="仿宋_GB2312" w:cs="仿宋_GB2312"/>
          <w:sz w:val="32"/>
          <w:szCs w:val="32"/>
        </w:rPr>
        <w:t>3571.7</w:t>
      </w:r>
      <w:r>
        <w:rPr>
          <w:rFonts w:hint="eastAsia" w:ascii="仿宋_GB2312" w:hAnsi="??" w:eastAsia="仿宋_GB2312" w:cs="仿宋_GB2312"/>
          <w:sz w:val="32"/>
          <w:szCs w:val="32"/>
        </w:rPr>
        <w:t>万元，其中：</w:t>
      </w:r>
    </w:p>
    <w:p>
      <w:pPr>
        <w:spacing w:line="600" w:lineRule="exact"/>
        <w:ind w:firstLine="642"/>
        <w:rPr>
          <w:rFonts w:ascii="仿宋_GB2312" w:eastAsia="仿宋_GB2312"/>
          <w:sz w:val="32"/>
          <w:szCs w:val="32"/>
        </w:rPr>
      </w:pPr>
      <w:r>
        <w:rPr>
          <w:rFonts w:hint="eastAsia" w:ascii="仿宋_GB2312" w:eastAsia="仿宋_GB2312" w:cs="仿宋_GB2312"/>
          <w:sz w:val="32"/>
          <w:szCs w:val="32"/>
        </w:rPr>
        <w:t>人员经费</w:t>
      </w:r>
      <w:r>
        <w:rPr>
          <w:rFonts w:ascii="仿宋_GB2312" w:eastAsia="仿宋_GB2312" w:cs="仿宋_GB2312"/>
          <w:sz w:val="32"/>
          <w:szCs w:val="32"/>
        </w:rPr>
        <w:t>2985.8</w:t>
      </w:r>
      <w:r>
        <w:rPr>
          <w:rFonts w:hint="eastAsia" w:ascii="仿宋_GB2312" w:eastAsia="仿宋_GB2312" w:cs="仿宋_GB2312"/>
          <w:sz w:val="32"/>
          <w:szCs w:val="32"/>
        </w:rPr>
        <w:t>万元，主要包括：基本工资、津贴补贴、奖金、伙食补助费、绩效工资、机关事业单位基本养老保险缴费、职业年金缴费、职工基本医疗保险缴费、公务员医疗补助缴费、其他社会保障缴费、住房公积金、其他工资福利支出、生活补助、救济费、医疗费补助、奖励金、其他对个人和家庭的补助。</w:t>
      </w:r>
    </w:p>
    <w:p>
      <w:pPr>
        <w:spacing w:line="600" w:lineRule="exact"/>
        <w:ind w:firstLine="642"/>
        <w:rPr>
          <w:rFonts w:ascii="仿宋_GB2312" w:eastAsia="仿宋_GB2312"/>
          <w:sz w:val="32"/>
          <w:szCs w:val="32"/>
        </w:rPr>
      </w:pPr>
      <w:r>
        <w:rPr>
          <w:rFonts w:hint="eastAsia" w:ascii="仿宋_GB2312" w:eastAsia="仿宋_GB2312" w:cs="仿宋_GB2312"/>
          <w:sz w:val="32"/>
          <w:szCs w:val="32"/>
        </w:rPr>
        <w:t>公用经费</w:t>
      </w:r>
      <w:r>
        <w:rPr>
          <w:rFonts w:ascii="仿宋_GB2312" w:eastAsia="仿宋_GB2312" w:cs="仿宋_GB2312"/>
          <w:sz w:val="32"/>
          <w:szCs w:val="32"/>
        </w:rPr>
        <w:t>585.9</w:t>
      </w:r>
      <w:r>
        <w:rPr>
          <w:rFonts w:hint="eastAsia" w:ascii="仿宋_GB2312" w:eastAsia="仿宋_GB2312" w:cs="仿宋_GB2312"/>
          <w:sz w:val="32"/>
          <w:szCs w:val="32"/>
        </w:rPr>
        <w:t>万元，主要包括：办公费、手续费、水费、电费、邮电费、差旅费、维修（护）费、会议费、培训费、公务接待费、专用材料费、被装购置费、劳务费、委托业务费、工会经费、福利费、公务用车运行维护费、其他交通费用、税金及附加费用、其他商品和服务支出、办公设备购置。</w:t>
      </w:r>
    </w:p>
    <w:p>
      <w:pPr>
        <w:spacing w:line="600" w:lineRule="exact"/>
        <w:ind w:firstLine="642"/>
        <w:rPr>
          <w:rFonts w:ascii="仿宋_GB2312" w:eastAsia="仿宋_GB2312"/>
          <w:sz w:val="32"/>
          <w:szCs w:val="32"/>
        </w:rPr>
      </w:pPr>
      <w:r>
        <w:rPr>
          <w:rFonts w:hint="eastAsia" w:ascii="仿宋_GB2312" w:eastAsia="仿宋_GB2312" w:cs="仿宋_GB2312"/>
          <w:sz w:val="32"/>
          <w:szCs w:val="32"/>
        </w:rPr>
        <w:t>其他资本性支出</w:t>
      </w:r>
      <w:r>
        <w:rPr>
          <w:rFonts w:ascii="仿宋_GB2312" w:eastAsia="仿宋_GB2312" w:cs="仿宋_GB2312"/>
          <w:sz w:val="32"/>
          <w:szCs w:val="32"/>
        </w:rPr>
        <w:t>0</w:t>
      </w:r>
      <w:r>
        <w:rPr>
          <w:rFonts w:hint="eastAsia" w:ascii="仿宋_GB2312" w:eastAsia="仿宋_GB2312" w:cs="仿宋_GB2312"/>
          <w:sz w:val="32"/>
          <w:szCs w:val="32"/>
        </w:rPr>
        <w:t>万元。</w:t>
      </w:r>
    </w:p>
    <w:p>
      <w:pPr>
        <w:spacing w:line="600" w:lineRule="exact"/>
        <w:ind w:firstLine="642"/>
        <w:rPr>
          <w:rFonts w:ascii="仿宋_GB2312" w:eastAsia="仿宋_GB2312"/>
          <w:b/>
          <w:bCs/>
          <w:sz w:val="32"/>
          <w:szCs w:val="32"/>
        </w:rPr>
      </w:pPr>
      <w:r>
        <w:rPr>
          <w:rFonts w:hint="eastAsia" w:ascii="仿宋_GB2312" w:eastAsia="仿宋_GB2312" w:cs="仿宋_GB2312"/>
          <w:b/>
          <w:bCs/>
          <w:sz w:val="32"/>
          <w:szCs w:val="32"/>
        </w:rPr>
        <w:t>（七）关于住建局</w:t>
      </w:r>
      <w:r>
        <w:rPr>
          <w:rFonts w:ascii="仿宋_GB2312" w:eastAsia="仿宋_GB2312" w:cs="仿宋_GB2312"/>
          <w:b/>
          <w:bCs/>
          <w:sz w:val="32"/>
          <w:szCs w:val="32"/>
        </w:rPr>
        <w:t>2021</w:t>
      </w:r>
      <w:r>
        <w:rPr>
          <w:rFonts w:hint="eastAsia" w:ascii="仿宋_GB2312" w:eastAsia="仿宋_GB2312" w:cs="仿宋_GB2312"/>
          <w:b/>
          <w:bCs/>
          <w:sz w:val="32"/>
          <w:szCs w:val="32"/>
        </w:rPr>
        <w:t>年政府性基金预算支出情况说明</w:t>
      </w:r>
    </w:p>
    <w:p>
      <w:pPr>
        <w:spacing w:line="600" w:lineRule="exact"/>
        <w:ind w:firstLine="640" w:firstLineChars="200"/>
        <w:rPr>
          <w:rFonts w:ascii="仿宋_GB2312" w:hAnsi="??" w:eastAsia="仿宋_GB2312"/>
          <w:sz w:val="32"/>
          <w:szCs w:val="32"/>
        </w:rPr>
      </w:pPr>
      <w:r>
        <w:rPr>
          <w:rFonts w:ascii="仿宋_GB2312" w:hAnsi="??" w:eastAsia="仿宋_GB2312" w:cs="仿宋_GB2312"/>
          <w:sz w:val="32"/>
          <w:szCs w:val="32"/>
        </w:rPr>
        <w:t xml:space="preserve">1. </w:t>
      </w:r>
      <w:r>
        <w:rPr>
          <w:rFonts w:hint="eastAsia" w:ascii="仿宋_GB2312" w:hAnsi="??" w:eastAsia="仿宋_GB2312" w:cs="仿宋_GB2312"/>
          <w:sz w:val="32"/>
          <w:szCs w:val="32"/>
        </w:rPr>
        <w:t>政府性基金预算当年拨款规模变化情况</w:t>
      </w:r>
    </w:p>
    <w:p>
      <w:pPr>
        <w:spacing w:line="600" w:lineRule="exact"/>
        <w:ind w:firstLine="640" w:firstLineChars="200"/>
        <w:rPr>
          <w:rFonts w:ascii="仿宋_GB2312" w:hAnsi="??" w:eastAsia="仿宋_GB2312"/>
          <w:sz w:val="32"/>
          <w:szCs w:val="32"/>
        </w:rPr>
      </w:pPr>
      <w:r>
        <w:rPr>
          <w:rFonts w:hint="eastAsia" w:ascii="仿宋_GB2312" w:hAnsi="??" w:eastAsia="仿宋_GB2312" w:cs="仿宋_GB2312"/>
          <w:sz w:val="32"/>
          <w:szCs w:val="32"/>
        </w:rPr>
        <w:t>住建局</w:t>
      </w:r>
      <w:r>
        <w:rPr>
          <w:rFonts w:ascii="仿宋_GB2312" w:hAnsi="??" w:eastAsia="仿宋_GB2312" w:cs="仿宋_GB2312"/>
          <w:sz w:val="32"/>
          <w:szCs w:val="32"/>
        </w:rPr>
        <w:t>2021</w:t>
      </w:r>
      <w:r>
        <w:rPr>
          <w:rFonts w:hint="eastAsia" w:ascii="仿宋_GB2312" w:hAnsi="??" w:eastAsia="仿宋_GB2312" w:cs="仿宋_GB2312"/>
          <w:sz w:val="32"/>
          <w:szCs w:val="32"/>
        </w:rPr>
        <w:t>年政府性基金预算当年拨款</w:t>
      </w:r>
      <w:r>
        <w:rPr>
          <w:rFonts w:ascii="仿宋_GB2312" w:hAnsi="??" w:eastAsia="仿宋_GB2312" w:cs="仿宋_GB2312"/>
          <w:sz w:val="32"/>
          <w:szCs w:val="32"/>
        </w:rPr>
        <w:t>16779.2</w:t>
      </w:r>
      <w:r>
        <w:rPr>
          <w:rFonts w:hint="eastAsia" w:ascii="仿宋_GB2312" w:hAnsi="??" w:eastAsia="仿宋_GB2312" w:cs="仿宋_GB2312"/>
          <w:sz w:val="32"/>
          <w:szCs w:val="32"/>
        </w:rPr>
        <w:t>万元，比上年执行数增加</w:t>
      </w:r>
      <w:r>
        <w:rPr>
          <w:rFonts w:ascii="仿宋_GB2312" w:hAnsi="??" w:eastAsia="仿宋_GB2312" w:cs="仿宋_GB2312"/>
          <w:sz w:val="32"/>
          <w:szCs w:val="32"/>
        </w:rPr>
        <w:t>6564.4</w:t>
      </w:r>
      <w:r>
        <w:rPr>
          <w:rFonts w:hint="eastAsia" w:ascii="仿宋_GB2312" w:hAnsi="??" w:eastAsia="仿宋_GB2312" w:cs="仿宋_GB2312"/>
          <w:sz w:val="32"/>
          <w:szCs w:val="32"/>
        </w:rPr>
        <w:t>万元，增长</w:t>
      </w:r>
      <w:r>
        <w:rPr>
          <w:rFonts w:ascii="仿宋_GB2312" w:hAnsi="??" w:eastAsia="仿宋_GB2312" w:cs="仿宋_GB2312"/>
          <w:sz w:val="32"/>
          <w:szCs w:val="32"/>
        </w:rPr>
        <w:t>64.3%</w:t>
      </w:r>
      <w:r>
        <w:rPr>
          <w:rFonts w:hint="eastAsia" w:ascii="仿宋_GB2312" w:hAnsi="??" w:eastAsia="仿宋_GB2312" w:cs="仿宋_GB2312"/>
          <w:sz w:val="32"/>
          <w:szCs w:val="32"/>
        </w:rPr>
        <w:t>，主要原因是土地出让金拨款增幅较大。</w:t>
      </w:r>
    </w:p>
    <w:p>
      <w:pPr>
        <w:spacing w:line="600" w:lineRule="exact"/>
        <w:ind w:firstLine="640" w:firstLineChars="200"/>
        <w:rPr>
          <w:rFonts w:ascii="仿宋_GB2312" w:hAnsi="??" w:eastAsia="仿宋_GB2312"/>
          <w:sz w:val="32"/>
          <w:szCs w:val="32"/>
        </w:rPr>
      </w:pPr>
      <w:r>
        <w:rPr>
          <w:rFonts w:ascii="仿宋_GB2312" w:hAnsi="??" w:eastAsia="仿宋_GB2312" w:cs="仿宋_GB2312"/>
          <w:sz w:val="32"/>
          <w:szCs w:val="32"/>
        </w:rPr>
        <w:t xml:space="preserve">2. </w:t>
      </w:r>
      <w:r>
        <w:rPr>
          <w:rFonts w:hint="eastAsia" w:ascii="仿宋_GB2312" w:hAnsi="??" w:eastAsia="仿宋_GB2312" w:cs="仿宋_GB2312"/>
          <w:sz w:val="32"/>
          <w:szCs w:val="32"/>
        </w:rPr>
        <w:t>政府性基金预算当年拨款结构情况</w:t>
      </w:r>
    </w:p>
    <w:p>
      <w:pPr>
        <w:spacing w:line="600" w:lineRule="exact"/>
        <w:ind w:firstLine="640" w:firstLineChars="200"/>
        <w:rPr>
          <w:rFonts w:ascii="仿宋_GB2312" w:eastAsia="仿宋_GB2312"/>
          <w:sz w:val="32"/>
          <w:szCs w:val="32"/>
        </w:rPr>
      </w:pPr>
      <w:r>
        <w:rPr>
          <w:rFonts w:hint="eastAsia" w:ascii="仿宋_GB2312" w:hAnsi="??" w:eastAsia="仿宋_GB2312" w:cs="仿宋_GB2312"/>
          <w:sz w:val="32"/>
          <w:szCs w:val="32"/>
        </w:rPr>
        <w:t>城乡社区支出</w:t>
      </w:r>
      <w:r>
        <w:rPr>
          <w:rFonts w:ascii="仿宋_GB2312" w:hAnsi="??" w:eastAsia="仿宋_GB2312" w:cs="仿宋_GB2312"/>
          <w:sz w:val="32"/>
          <w:szCs w:val="32"/>
        </w:rPr>
        <w:t>16779.2</w:t>
      </w:r>
      <w:r>
        <w:rPr>
          <w:rFonts w:hint="eastAsia" w:ascii="仿宋_GB2312" w:hAnsi="??" w:eastAsia="仿宋_GB2312" w:cs="仿宋_GB2312"/>
          <w:sz w:val="32"/>
          <w:szCs w:val="32"/>
        </w:rPr>
        <w:t>万元，占</w:t>
      </w:r>
      <w:r>
        <w:rPr>
          <w:rFonts w:ascii="仿宋_GB2312" w:hAnsi="??" w:eastAsia="仿宋_GB2312" w:cs="仿宋_GB2312"/>
          <w:sz w:val="32"/>
          <w:szCs w:val="32"/>
        </w:rPr>
        <w:t>100%</w:t>
      </w:r>
      <w:r>
        <w:rPr>
          <w:rFonts w:hint="eastAsia" w:ascii="仿宋_GB2312" w:eastAsia="仿宋_GB2312" w:cs="仿宋_GB2312"/>
          <w:sz w:val="32"/>
          <w:szCs w:val="32"/>
        </w:rPr>
        <w:t>。</w:t>
      </w:r>
    </w:p>
    <w:p>
      <w:pPr>
        <w:spacing w:line="600" w:lineRule="exact"/>
        <w:ind w:firstLine="640" w:firstLineChars="200"/>
        <w:rPr>
          <w:rFonts w:ascii="仿宋_GB2312" w:hAnsi="??" w:eastAsia="仿宋_GB2312"/>
          <w:sz w:val="32"/>
          <w:szCs w:val="32"/>
        </w:rPr>
      </w:pPr>
      <w:r>
        <w:rPr>
          <w:rFonts w:ascii="仿宋_GB2312" w:hAnsi="??" w:eastAsia="仿宋_GB2312" w:cs="仿宋_GB2312"/>
          <w:sz w:val="32"/>
          <w:szCs w:val="32"/>
        </w:rPr>
        <w:t xml:space="preserve">3. </w:t>
      </w:r>
      <w:r>
        <w:rPr>
          <w:rFonts w:hint="eastAsia" w:ascii="仿宋_GB2312" w:hAnsi="??" w:eastAsia="仿宋_GB2312" w:cs="仿宋_GB2312"/>
          <w:sz w:val="32"/>
          <w:szCs w:val="32"/>
        </w:rPr>
        <w:t>政府性基金预算当年拨款具体使用情况</w:t>
      </w:r>
    </w:p>
    <w:p>
      <w:pPr>
        <w:spacing w:line="600" w:lineRule="exact"/>
        <w:ind w:firstLine="640" w:firstLineChars="200"/>
        <w:rPr>
          <w:rFonts w:ascii="仿宋_GB2312" w:hAnsi="??" w:eastAsia="仿宋_GB2312"/>
          <w:sz w:val="32"/>
          <w:szCs w:val="32"/>
        </w:rPr>
      </w:pPr>
      <w:r>
        <w:rPr>
          <w:rFonts w:hint="eastAsia" w:ascii="仿宋_GB2312" w:hAnsi="??" w:eastAsia="仿宋_GB2312" w:cs="仿宋_GB2312"/>
          <w:sz w:val="32"/>
          <w:szCs w:val="32"/>
        </w:rPr>
        <w:t>（</w:t>
      </w:r>
      <w:r>
        <w:rPr>
          <w:rFonts w:ascii="仿宋_GB2312" w:hAnsi="??" w:eastAsia="仿宋_GB2312" w:cs="仿宋_GB2312"/>
          <w:sz w:val="32"/>
          <w:szCs w:val="32"/>
        </w:rPr>
        <w:t>1</w:t>
      </w:r>
      <w:r>
        <w:rPr>
          <w:rFonts w:hint="eastAsia" w:ascii="仿宋_GB2312" w:hAnsi="??" w:eastAsia="仿宋_GB2312" w:cs="仿宋_GB2312"/>
          <w:sz w:val="32"/>
          <w:szCs w:val="32"/>
        </w:rPr>
        <w:t>）城乡社区支出（类）国有土地使用权出让收入安排的支出（款）廉租住房支出（项）</w:t>
      </w:r>
      <w:r>
        <w:rPr>
          <w:rFonts w:ascii="仿宋_GB2312" w:hAnsi="??" w:eastAsia="仿宋_GB2312" w:cs="仿宋_GB2312"/>
          <w:sz w:val="32"/>
          <w:szCs w:val="32"/>
        </w:rPr>
        <w:t>800</w:t>
      </w:r>
      <w:r>
        <w:rPr>
          <w:rFonts w:hint="eastAsia" w:ascii="仿宋_GB2312" w:hAnsi="??" w:eastAsia="仿宋_GB2312" w:cs="仿宋_GB2312"/>
          <w:sz w:val="32"/>
          <w:szCs w:val="32"/>
        </w:rPr>
        <w:t>万元，主要用于保障房运行管理支出。</w:t>
      </w:r>
    </w:p>
    <w:p>
      <w:pPr>
        <w:spacing w:line="600" w:lineRule="exact"/>
        <w:ind w:firstLine="640" w:firstLineChars="200"/>
        <w:rPr>
          <w:rFonts w:ascii="仿宋_GB2312" w:hAnsi="??" w:eastAsia="仿宋_GB2312"/>
          <w:sz w:val="32"/>
          <w:szCs w:val="32"/>
        </w:rPr>
      </w:pPr>
      <w:r>
        <w:rPr>
          <w:rFonts w:hint="eastAsia" w:ascii="仿宋_GB2312" w:hAnsi="??" w:eastAsia="仿宋_GB2312" w:cs="仿宋_GB2312"/>
          <w:sz w:val="32"/>
          <w:szCs w:val="32"/>
        </w:rPr>
        <w:t>（</w:t>
      </w:r>
      <w:r>
        <w:rPr>
          <w:rFonts w:ascii="仿宋_GB2312" w:hAnsi="??" w:eastAsia="仿宋_GB2312" w:cs="仿宋_GB2312"/>
          <w:sz w:val="32"/>
          <w:szCs w:val="32"/>
        </w:rPr>
        <w:t>2</w:t>
      </w:r>
      <w:r>
        <w:rPr>
          <w:rFonts w:hint="eastAsia" w:ascii="仿宋_GB2312" w:hAnsi="??" w:eastAsia="仿宋_GB2312" w:cs="仿宋_GB2312"/>
          <w:sz w:val="32"/>
          <w:szCs w:val="32"/>
        </w:rPr>
        <w:t>）城乡社区支出（类）国有土地使用权出让收入安排的支出（款）其他国有土地使用权出让收入安排的支出（项）</w:t>
      </w:r>
      <w:r>
        <w:rPr>
          <w:rFonts w:ascii="仿宋_GB2312" w:hAnsi="??" w:eastAsia="仿宋_GB2312" w:cs="仿宋_GB2312"/>
          <w:sz w:val="32"/>
          <w:szCs w:val="32"/>
        </w:rPr>
        <w:t>9729.2</w:t>
      </w:r>
      <w:r>
        <w:rPr>
          <w:rFonts w:hint="eastAsia" w:ascii="仿宋_GB2312" w:hAnsi="??" w:eastAsia="仿宋_GB2312" w:cs="仿宋_GB2312"/>
          <w:sz w:val="32"/>
          <w:szCs w:val="32"/>
        </w:rPr>
        <w:t>万元，主要用于污水管网维护、农村污水设施运维、农污设施提升改造等支出。</w:t>
      </w:r>
    </w:p>
    <w:p>
      <w:pPr>
        <w:spacing w:line="600" w:lineRule="exact"/>
        <w:ind w:firstLine="640" w:firstLineChars="200"/>
        <w:rPr>
          <w:rFonts w:ascii="仿宋_GB2312" w:hAnsi="??" w:eastAsia="仿宋_GB2312"/>
          <w:sz w:val="32"/>
          <w:szCs w:val="32"/>
        </w:rPr>
      </w:pPr>
      <w:r>
        <w:rPr>
          <w:rFonts w:hint="eastAsia" w:ascii="仿宋_GB2312" w:hAnsi="??" w:eastAsia="仿宋_GB2312" w:cs="仿宋_GB2312"/>
          <w:sz w:val="32"/>
          <w:szCs w:val="32"/>
        </w:rPr>
        <w:t>（</w:t>
      </w:r>
      <w:r>
        <w:rPr>
          <w:rFonts w:ascii="仿宋_GB2312" w:hAnsi="??" w:eastAsia="仿宋_GB2312" w:cs="仿宋_GB2312"/>
          <w:sz w:val="32"/>
          <w:szCs w:val="32"/>
        </w:rPr>
        <w:t>3</w:t>
      </w:r>
      <w:r>
        <w:rPr>
          <w:rFonts w:hint="eastAsia" w:ascii="仿宋_GB2312" w:hAnsi="??" w:eastAsia="仿宋_GB2312" w:cs="仿宋_GB2312"/>
          <w:sz w:val="32"/>
          <w:szCs w:val="32"/>
        </w:rPr>
        <w:t>）城乡社区支出（类）城市基础设施配套费安排的支出（款）其他城市基础设施配套费安排的支出（项）</w:t>
      </w:r>
      <w:r>
        <w:rPr>
          <w:rFonts w:ascii="仿宋_GB2312" w:hAnsi="??" w:eastAsia="仿宋_GB2312" w:cs="仿宋_GB2312"/>
          <w:sz w:val="32"/>
          <w:szCs w:val="32"/>
        </w:rPr>
        <w:t>6250</w:t>
      </w:r>
      <w:r>
        <w:rPr>
          <w:rFonts w:hint="eastAsia" w:ascii="仿宋_GB2312" w:hAnsi="??" w:eastAsia="仿宋_GB2312" w:cs="仿宋_GB2312"/>
          <w:sz w:val="32"/>
          <w:szCs w:val="32"/>
        </w:rPr>
        <w:t>万元，主要用于农污设施运维、市政养护、绿化养护等支出。</w:t>
      </w:r>
    </w:p>
    <w:p>
      <w:pPr>
        <w:overflowPunct w:val="0"/>
        <w:autoSpaceDE w:val="0"/>
        <w:autoSpaceDN w:val="0"/>
        <w:adjustRightInd w:val="0"/>
        <w:spacing w:line="600" w:lineRule="exact"/>
        <w:ind w:left="643"/>
        <w:textAlignment w:val="baseline"/>
        <w:rPr>
          <w:rFonts w:ascii="仿宋_GB2312" w:hAnsi="??" w:eastAsia="仿宋_GB2312"/>
          <w:b/>
          <w:bCs/>
          <w:sz w:val="32"/>
          <w:szCs w:val="32"/>
        </w:rPr>
      </w:pPr>
      <w:r>
        <w:rPr>
          <w:rFonts w:hint="eastAsia" w:ascii="仿宋_GB2312" w:hAnsi="??" w:eastAsia="仿宋_GB2312" w:cs="仿宋_GB2312"/>
          <w:b/>
          <w:bCs/>
          <w:sz w:val="32"/>
          <w:szCs w:val="32"/>
        </w:rPr>
        <w:t>（八）关于住建局</w:t>
      </w:r>
      <w:r>
        <w:rPr>
          <w:rFonts w:ascii="仿宋_GB2312" w:hAnsi="??" w:eastAsia="仿宋_GB2312" w:cs="仿宋_GB2312"/>
          <w:b/>
          <w:bCs/>
          <w:sz w:val="32"/>
          <w:szCs w:val="32"/>
        </w:rPr>
        <w:t>2021</w:t>
      </w:r>
      <w:r>
        <w:rPr>
          <w:rFonts w:hint="eastAsia" w:ascii="仿宋_GB2312" w:hAnsi="??" w:eastAsia="仿宋_GB2312" w:cs="仿宋_GB2312"/>
          <w:b/>
          <w:bCs/>
          <w:sz w:val="32"/>
          <w:szCs w:val="32"/>
        </w:rPr>
        <w:t>年“三公”经费预算情况说明</w:t>
      </w:r>
    </w:p>
    <w:p>
      <w:pPr>
        <w:spacing w:line="600" w:lineRule="exact"/>
        <w:ind w:firstLine="640" w:firstLineChars="200"/>
        <w:rPr>
          <w:rFonts w:ascii="仿宋_GB2312" w:hAnsi="??" w:eastAsia="仿宋_GB2312"/>
          <w:sz w:val="32"/>
          <w:szCs w:val="32"/>
        </w:rPr>
      </w:pPr>
      <w:r>
        <w:rPr>
          <w:rFonts w:hint="eastAsia" w:ascii="仿宋_GB2312" w:hAnsi="??" w:eastAsia="仿宋_GB2312" w:cs="仿宋_GB2312"/>
          <w:sz w:val="32"/>
          <w:szCs w:val="32"/>
        </w:rPr>
        <w:t>住建局</w:t>
      </w:r>
      <w:r>
        <w:rPr>
          <w:rFonts w:ascii="仿宋_GB2312" w:hAnsi="??" w:eastAsia="仿宋_GB2312" w:cs="仿宋_GB2312"/>
          <w:sz w:val="32"/>
          <w:szCs w:val="32"/>
        </w:rPr>
        <w:t>2021</w:t>
      </w:r>
      <w:r>
        <w:rPr>
          <w:rFonts w:hint="eastAsia" w:ascii="仿宋_GB2312" w:hAnsi="??" w:eastAsia="仿宋_GB2312" w:cs="仿宋_GB2312"/>
          <w:sz w:val="32"/>
          <w:szCs w:val="32"/>
        </w:rPr>
        <w:t>年“三公”经费预算数为</w:t>
      </w:r>
      <w:r>
        <w:rPr>
          <w:rFonts w:ascii="仿宋_GB2312" w:hAnsi="??" w:eastAsia="仿宋_GB2312" w:cs="仿宋_GB2312"/>
          <w:sz w:val="32"/>
          <w:szCs w:val="32"/>
        </w:rPr>
        <w:t>50.9</w:t>
      </w:r>
      <w:r>
        <w:rPr>
          <w:rFonts w:hint="eastAsia" w:ascii="仿宋_GB2312" w:hAnsi="??" w:eastAsia="仿宋_GB2312" w:cs="仿宋_GB2312"/>
          <w:sz w:val="32"/>
          <w:szCs w:val="32"/>
        </w:rPr>
        <w:t>万元，比上年执行数减少</w:t>
      </w:r>
      <w:r>
        <w:rPr>
          <w:rFonts w:ascii="仿宋_GB2312" w:hAnsi="??" w:eastAsia="仿宋_GB2312" w:cs="仿宋_GB2312"/>
          <w:sz w:val="32"/>
          <w:szCs w:val="32"/>
        </w:rPr>
        <w:t>6.77</w:t>
      </w:r>
      <w:r>
        <w:rPr>
          <w:rFonts w:hint="eastAsia" w:ascii="仿宋_GB2312" w:hAnsi="??" w:eastAsia="仿宋_GB2312" w:cs="仿宋_GB2312"/>
          <w:sz w:val="32"/>
          <w:szCs w:val="32"/>
        </w:rPr>
        <w:t>万元，下降</w:t>
      </w:r>
      <w:r>
        <w:rPr>
          <w:rFonts w:ascii="仿宋_GB2312" w:hAnsi="??" w:eastAsia="仿宋_GB2312" w:cs="仿宋_GB2312"/>
          <w:sz w:val="32"/>
          <w:szCs w:val="32"/>
        </w:rPr>
        <w:t xml:space="preserve"> 11.7%</w:t>
      </w:r>
      <w:r>
        <w:rPr>
          <w:rFonts w:hint="eastAsia" w:ascii="仿宋_GB2312" w:hAnsi="??" w:eastAsia="仿宋_GB2312" w:cs="仿宋_GB2312"/>
          <w:sz w:val="32"/>
          <w:szCs w:val="32"/>
        </w:rPr>
        <w:t>，具体如下：</w:t>
      </w:r>
    </w:p>
    <w:p>
      <w:pPr>
        <w:spacing w:line="600" w:lineRule="exact"/>
        <w:ind w:firstLine="640" w:firstLineChars="200"/>
        <w:rPr>
          <w:rFonts w:ascii="仿宋_GB2312" w:hAnsi="??" w:eastAsia="仿宋_GB2312"/>
          <w:sz w:val="32"/>
          <w:szCs w:val="32"/>
        </w:rPr>
      </w:pPr>
      <w:r>
        <w:rPr>
          <w:rFonts w:ascii="仿宋_GB2312" w:hAnsi="??" w:eastAsia="仿宋_GB2312" w:cs="仿宋_GB2312"/>
          <w:sz w:val="32"/>
          <w:szCs w:val="32"/>
        </w:rPr>
        <w:t>1.</w:t>
      </w:r>
      <w:r>
        <w:rPr>
          <w:rFonts w:hint="eastAsia" w:ascii="仿宋_GB2312" w:hAnsi="??" w:eastAsia="仿宋_GB2312" w:cs="仿宋_GB2312"/>
          <w:sz w:val="32"/>
          <w:szCs w:val="32"/>
        </w:rPr>
        <w:t>因公出国（境）费用：根据因公出国（境）计划和实际工作需要，</w:t>
      </w:r>
      <w:r>
        <w:rPr>
          <w:rFonts w:ascii="仿宋_GB2312" w:hAnsi="??" w:eastAsia="仿宋_GB2312" w:cs="仿宋_GB2312"/>
          <w:sz w:val="32"/>
          <w:szCs w:val="32"/>
        </w:rPr>
        <w:t>2021</w:t>
      </w:r>
      <w:r>
        <w:rPr>
          <w:rFonts w:hint="eastAsia" w:ascii="仿宋_GB2312" w:hAnsi="??" w:eastAsia="仿宋_GB2312" w:cs="仿宋_GB2312"/>
          <w:sz w:val="32"/>
          <w:szCs w:val="32"/>
        </w:rPr>
        <w:t>年安排因公出国（境）费用预算</w:t>
      </w:r>
      <w:r>
        <w:rPr>
          <w:rFonts w:ascii="仿宋_GB2312" w:hAnsi="??" w:eastAsia="仿宋_GB2312" w:cs="仿宋_GB2312"/>
          <w:sz w:val="32"/>
          <w:szCs w:val="32"/>
        </w:rPr>
        <w:t>0</w:t>
      </w:r>
      <w:r>
        <w:rPr>
          <w:rFonts w:hint="eastAsia" w:ascii="仿宋_GB2312" w:hAnsi="??" w:eastAsia="仿宋_GB2312" w:cs="仿宋_GB2312"/>
          <w:sz w:val="32"/>
          <w:szCs w:val="32"/>
        </w:rPr>
        <w:t>万元，与</w:t>
      </w:r>
      <w:r>
        <w:rPr>
          <w:rFonts w:ascii="仿宋_GB2312" w:hAnsi="??" w:eastAsia="仿宋_GB2312" w:cs="仿宋_GB2312"/>
          <w:sz w:val="32"/>
          <w:szCs w:val="32"/>
        </w:rPr>
        <w:t>2020</w:t>
      </w:r>
      <w:r>
        <w:rPr>
          <w:rFonts w:hint="eastAsia" w:ascii="仿宋_GB2312" w:hAnsi="??" w:eastAsia="仿宋_GB2312" w:cs="仿宋_GB2312"/>
          <w:sz w:val="32"/>
          <w:szCs w:val="32"/>
        </w:rPr>
        <w:t>年执行数持平。主要用于机关及下属预算单位人员公务出国（境）的国际旅费、国外城市间交通费、住宿费、伙食费、培训费、公杂费等支出。持平的主要原因是本年度暂未安排因公出国。</w:t>
      </w:r>
    </w:p>
    <w:p>
      <w:pPr>
        <w:spacing w:line="600" w:lineRule="exact"/>
        <w:ind w:firstLine="640" w:firstLineChars="200"/>
        <w:rPr>
          <w:rFonts w:ascii="仿宋_GB2312" w:hAnsi="??" w:eastAsia="仿宋_GB2312"/>
          <w:sz w:val="32"/>
          <w:szCs w:val="32"/>
        </w:rPr>
      </w:pPr>
      <w:r>
        <w:rPr>
          <w:rFonts w:ascii="仿宋_GB2312" w:hAnsi="??" w:eastAsia="仿宋_GB2312" w:cs="仿宋_GB2312"/>
          <w:sz w:val="32"/>
          <w:szCs w:val="32"/>
        </w:rPr>
        <w:t>2.</w:t>
      </w:r>
      <w:r>
        <w:rPr>
          <w:rFonts w:hint="eastAsia" w:ascii="仿宋_GB2312" w:hAnsi="??" w:eastAsia="仿宋_GB2312" w:cs="仿宋_GB2312"/>
          <w:sz w:val="32"/>
          <w:szCs w:val="32"/>
        </w:rPr>
        <w:t>公务接待费：</w:t>
      </w:r>
      <w:r>
        <w:rPr>
          <w:rFonts w:ascii="仿宋_GB2312" w:hAnsi="??" w:eastAsia="仿宋_GB2312" w:cs="仿宋_GB2312"/>
          <w:sz w:val="32"/>
          <w:szCs w:val="32"/>
        </w:rPr>
        <w:t>2021</w:t>
      </w:r>
      <w:r>
        <w:rPr>
          <w:rFonts w:hint="eastAsia" w:ascii="仿宋_GB2312" w:hAnsi="??" w:eastAsia="仿宋_GB2312" w:cs="仿宋_GB2312"/>
          <w:sz w:val="32"/>
          <w:szCs w:val="32"/>
        </w:rPr>
        <w:t>年安排公务接待费预算</w:t>
      </w:r>
      <w:r>
        <w:rPr>
          <w:rFonts w:ascii="仿宋_GB2312" w:hAnsi="??" w:eastAsia="仿宋_GB2312" w:cs="仿宋_GB2312"/>
          <w:sz w:val="32"/>
          <w:szCs w:val="32"/>
        </w:rPr>
        <w:t>21.8</w:t>
      </w:r>
      <w:r>
        <w:rPr>
          <w:rFonts w:hint="eastAsia" w:ascii="仿宋_GB2312" w:hAnsi="??" w:eastAsia="仿宋_GB2312" w:cs="仿宋_GB2312"/>
          <w:sz w:val="32"/>
          <w:szCs w:val="32"/>
        </w:rPr>
        <w:t>万元，比上年执行数增长</w:t>
      </w:r>
      <w:r>
        <w:rPr>
          <w:rFonts w:ascii="仿宋_GB2312" w:hAnsi="??" w:eastAsia="仿宋_GB2312" w:cs="仿宋_GB2312"/>
          <w:sz w:val="32"/>
          <w:szCs w:val="32"/>
        </w:rPr>
        <w:t>909.3%</w:t>
      </w:r>
      <w:r>
        <w:rPr>
          <w:rFonts w:hint="eastAsia" w:ascii="仿宋_GB2312" w:hAnsi="??" w:eastAsia="仿宋_GB2312" w:cs="仿宋_GB2312"/>
          <w:sz w:val="32"/>
          <w:szCs w:val="32"/>
        </w:rPr>
        <w:t>。主要用于接待各种检查、交流学习等支出。增加的主要原因是</w:t>
      </w:r>
      <w:r>
        <w:rPr>
          <w:rFonts w:ascii="仿宋_GB2312" w:hAnsi="??" w:eastAsia="仿宋_GB2312" w:cs="仿宋_GB2312"/>
          <w:sz w:val="32"/>
          <w:szCs w:val="32"/>
        </w:rPr>
        <w:t>2020</w:t>
      </w:r>
      <w:r>
        <w:rPr>
          <w:rFonts w:hint="eastAsia" w:ascii="仿宋_GB2312" w:hAnsi="??" w:eastAsia="仿宋_GB2312" w:cs="仿宋_GB2312"/>
          <w:sz w:val="32"/>
          <w:szCs w:val="32"/>
        </w:rPr>
        <w:t>年厉行节约，执行数降低。</w:t>
      </w:r>
    </w:p>
    <w:p>
      <w:pPr>
        <w:spacing w:line="600" w:lineRule="exact"/>
        <w:ind w:firstLine="640" w:firstLineChars="200"/>
        <w:rPr>
          <w:rFonts w:ascii="仿宋_GB2312" w:hAnsi="??" w:eastAsia="仿宋_GB2312"/>
          <w:sz w:val="32"/>
          <w:szCs w:val="32"/>
        </w:rPr>
      </w:pPr>
      <w:r>
        <w:rPr>
          <w:rFonts w:ascii="仿宋_GB2312" w:hAnsi="??" w:eastAsia="仿宋_GB2312" w:cs="仿宋_GB2312"/>
          <w:sz w:val="32"/>
          <w:szCs w:val="32"/>
        </w:rPr>
        <w:t>3.</w:t>
      </w:r>
      <w:r>
        <w:rPr>
          <w:rFonts w:hint="eastAsia" w:ascii="仿宋_GB2312" w:hAnsi="??" w:eastAsia="仿宋_GB2312" w:cs="仿宋_GB2312"/>
          <w:sz w:val="32"/>
          <w:szCs w:val="32"/>
        </w:rPr>
        <w:t>公务用车购置及运行维护费：</w:t>
      </w:r>
      <w:r>
        <w:rPr>
          <w:rFonts w:ascii="仿宋_GB2312" w:hAnsi="??" w:eastAsia="仿宋_GB2312" w:cs="仿宋_GB2312"/>
          <w:sz w:val="32"/>
          <w:szCs w:val="32"/>
        </w:rPr>
        <w:t>2021</w:t>
      </w:r>
      <w:r>
        <w:rPr>
          <w:rFonts w:hint="eastAsia" w:ascii="仿宋_GB2312" w:hAnsi="??" w:eastAsia="仿宋_GB2312" w:cs="仿宋_GB2312"/>
          <w:sz w:val="32"/>
          <w:szCs w:val="32"/>
        </w:rPr>
        <w:t>年安排公务用车购置及运行维护费预算</w:t>
      </w:r>
      <w:r>
        <w:rPr>
          <w:rFonts w:ascii="仿宋_GB2312" w:eastAsia="仿宋_GB2312" w:cs="仿宋_GB2312"/>
          <w:sz w:val="32"/>
          <w:szCs w:val="32"/>
        </w:rPr>
        <w:t>29.2</w:t>
      </w:r>
      <w:r>
        <w:rPr>
          <w:rFonts w:hint="eastAsia" w:ascii="仿宋_GB2312" w:hAnsi="??" w:eastAsia="仿宋_GB2312" w:cs="仿宋_GB2312"/>
          <w:sz w:val="32"/>
          <w:szCs w:val="32"/>
        </w:rPr>
        <w:t>万元，比上年执行数下降</w:t>
      </w:r>
      <w:r>
        <w:rPr>
          <w:rFonts w:ascii="仿宋_GB2312" w:hAnsi="??" w:eastAsia="仿宋_GB2312" w:cs="仿宋_GB2312"/>
          <w:sz w:val="32"/>
          <w:szCs w:val="32"/>
        </w:rPr>
        <w:t>47.4%</w:t>
      </w:r>
      <w:r>
        <w:rPr>
          <w:rFonts w:hint="eastAsia" w:ascii="仿宋_GB2312" w:hAnsi="??" w:eastAsia="仿宋_GB2312" w:cs="仿宋_GB2312"/>
          <w:sz w:val="32"/>
          <w:szCs w:val="32"/>
        </w:rPr>
        <w:t>。其中，公务用车购置支出</w:t>
      </w:r>
      <w:r>
        <w:rPr>
          <w:rFonts w:ascii="仿宋_GB2312" w:hAnsi="??" w:eastAsia="仿宋_GB2312" w:cs="仿宋_GB2312"/>
          <w:sz w:val="32"/>
          <w:szCs w:val="32"/>
        </w:rPr>
        <w:t>0</w:t>
      </w:r>
      <w:r>
        <w:rPr>
          <w:rFonts w:hint="eastAsia" w:ascii="仿宋_GB2312" w:hAnsi="??" w:eastAsia="仿宋_GB2312" w:cs="仿宋_GB2312"/>
          <w:sz w:val="32"/>
          <w:szCs w:val="32"/>
        </w:rPr>
        <w:t>万元（含购置税等附加费用）；公务用车运行维护费支出</w:t>
      </w:r>
      <w:r>
        <w:rPr>
          <w:rFonts w:ascii="仿宋_GB2312" w:hAnsi="??" w:eastAsia="仿宋_GB2312" w:cs="仿宋_GB2312"/>
          <w:sz w:val="32"/>
          <w:szCs w:val="32"/>
        </w:rPr>
        <w:t>29.2</w:t>
      </w:r>
      <w:r>
        <w:rPr>
          <w:rFonts w:hint="eastAsia" w:ascii="仿宋_GB2312" w:hAnsi="??" w:eastAsia="仿宋_GB2312" w:cs="仿宋_GB2312"/>
          <w:sz w:val="32"/>
          <w:szCs w:val="32"/>
        </w:rPr>
        <w:t>万元，主要用于市政养护、园林养护等所需的公务用车燃料费、维修费、保险费用等支出。减少的主要原因是</w:t>
      </w:r>
      <w:r>
        <w:rPr>
          <w:rFonts w:ascii="仿宋_GB2312" w:hAnsi="??" w:eastAsia="仿宋_GB2312" w:cs="仿宋_GB2312"/>
          <w:sz w:val="32"/>
          <w:szCs w:val="32"/>
        </w:rPr>
        <w:t>2020</w:t>
      </w:r>
      <w:r>
        <w:rPr>
          <w:rFonts w:hint="eastAsia" w:ascii="仿宋_GB2312" w:hAnsi="??" w:eastAsia="仿宋_GB2312" w:cs="仿宋_GB2312"/>
          <w:sz w:val="32"/>
          <w:szCs w:val="32"/>
        </w:rPr>
        <w:t>年中追加了公务用车购置费。</w:t>
      </w:r>
    </w:p>
    <w:p>
      <w:pPr>
        <w:spacing w:line="600" w:lineRule="exact"/>
        <w:ind w:firstLine="643" w:firstLineChars="200"/>
        <w:rPr>
          <w:rFonts w:ascii="仿宋_GB2312" w:hAnsi="??" w:eastAsia="仿宋_GB2312"/>
          <w:b/>
          <w:bCs/>
          <w:sz w:val="32"/>
          <w:szCs w:val="32"/>
        </w:rPr>
      </w:pPr>
      <w:r>
        <w:rPr>
          <w:rFonts w:hint="eastAsia" w:ascii="仿宋_GB2312" w:hAnsi="??" w:eastAsia="仿宋_GB2312" w:cs="仿宋_GB2312"/>
          <w:b/>
          <w:bCs/>
          <w:sz w:val="32"/>
          <w:szCs w:val="32"/>
        </w:rPr>
        <w:t>（九）其他重要事项的情况说明</w:t>
      </w:r>
    </w:p>
    <w:p>
      <w:pPr>
        <w:spacing w:line="600" w:lineRule="exact"/>
        <w:ind w:firstLine="643" w:firstLineChars="200"/>
        <w:rPr>
          <w:rFonts w:ascii="仿宋_GB2312" w:hAnsi="??" w:eastAsia="仿宋_GB2312"/>
          <w:b/>
          <w:bCs/>
          <w:sz w:val="32"/>
          <w:szCs w:val="32"/>
        </w:rPr>
      </w:pPr>
      <w:r>
        <w:rPr>
          <w:rFonts w:ascii="仿宋_GB2312" w:hAnsi="??" w:eastAsia="仿宋_GB2312" w:cs="仿宋_GB2312"/>
          <w:b/>
          <w:bCs/>
          <w:sz w:val="32"/>
          <w:szCs w:val="32"/>
        </w:rPr>
        <w:t>1.</w:t>
      </w:r>
      <w:r>
        <w:rPr>
          <w:rFonts w:hint="eastAsia" w:ascii="仿宋_GB2312" w:hAnsi="??" w:eastAsia="仿宋_GB2312" w:cs="仿宋_GB2312"/>
          <w:b/>
          <w:bCs/>
          <w:sz w:val="32"/>
          <w:szCs w:val="32"/>
        </w:rPr>
        <w:t>机关运行经费</w:t>
      </w:r>
    </w:p>
    <w:p>
      <w:pPr>
        <w:spacing w:line="600" w:lineRule="exact"/>
        <w:ind w:firstLine="640" w:firstLineChars="200"/>
        <w:rPr>
          <w:rFonts w:ascii="仿宋_GB2312" w:hAnsi="??" w:eastAsia="仿宋_GB2312"/>
          <w:sz w:val="32"/>
          <w:szCs w:val="32"/>
        </w:rPr>
      </w:pPr>
      <w:r>
        <w:rPr>
          <w:rFonts w:ascii="仿宋_GB2312" w:hAnsi="??" w:eastAsia="仿宋_GB2312" w:cs="仿宋_GB2312"/>
          <w:sz w:val="32"/>
          <w:szCs w:val="32"/>
        </w:rPr>
        <w:t>2021</w:t>
      </w:r>
      <w:r>
        <w:rPr>
          <w:rFonts w:hint="eastAsia" w:ascii="仿宋_GB2312" w:hAnsi="??" w:eastAsia="仿宋_GB2312" w:cs="仿宋_GB2312"/>
          <w:sz w:val="32"/>
          <w:szCs w:val="32"/>
        </w:rPr>
        <w:t>年住建局本级</w:t>
      </w:r>
      <w:r>
        <w:rPr>
          <w:rFonts w:ascii="仿宋_GB2312" w:hAnsi="??" w:eastAsia="仿宋_GB2312" w:cs="仿宋_GB2312"/>
          <w:sz w:val="32"/>
          <w:szCs w:val="32"/>
        </w:rPr>
        <w:t>1</w:t>
      </w:r>
      <w:r>
        <w:rPr>
          <w:rFonts w:hint="eastAsia" w:ascii="仿宋_GB2312" w:hAnsi="??" w:eastAsia="仿宋_GB2312" w:cs="仿宋_GB2312"/>
          <w:sz w:val="32"/>
          <w:szCs w:val="32"/>
        </w:rPr>
        <w:t>家行政单位以及温岭市建筑工程质量安全事务中心</w:t>
      </w:r>
      <w:r>
        <w:rPr>
          <w:rFonts w:ascii="仿宋_GB2312" w:hAnsi="??" w:eastAsia="仿宋_GB2312" w:cs="仿宋_GB2312"/>
          <w:sz w:val="32"/>
          <w:szCs w:val="32"/>
        </w:rPr>
        <w:t>1</w:t>
      </w:r>
      <w:r>
        <w:rPr>
          <w:rFonts w:hint="eastAsia" w:ascii="仿宋_GB2312" w:hAnsi="??" w:eastAsia="仿宋_GB2312" w:cs="仿宋_GB2312"/>
          <w:sz w:val="32"/>
          <w:szCs w:val="32"/>
        </w:rPr>
        <w:t>家参公事业单位的机关运行经费财政拨款预算</w:t>
      </w:r>
      <w:r>
        <w:rPr>
          <w:rFonts w:ascii="仿宋_GB2312" w:hAnsi="??" w:eastAsia="仿宋_GB2312" w:cs="仿宋_GB2312"/>
          <w:sz w:val="32"/>
          <w:szCs w:val="32"/>
        </w:rPr>
        <w:t>304.4</w:t>
      </w:r>
      <w:r>
        <w:rPr>
          <w:rFonts w:hint="eastAsia" w:ascii="仿宋_GB2312" w:hAnsi="??" w:eastAsia="仿宋_GB2312" w:cs="仿宋_GB2312"/>
          <w:sz w:val="32"/>
          <w:szCs w:val="32"/>
        </w:rPr>
        <w:t>万元，比</w:t>
      </w:r>
      <w:r>
        <w:rPr>
          <w:rFonts w:ascii="仿宋_GB2312" w:hAnsi="??" w:eastAsia="仿宋_GB2312" w:cs="仿宋_GB2312"/>
          <w:sz w:val="32"/>
          <w:szCs w:val="32"/>
        </w:rPr>
        <w:t>2020</w:t>
      </w:r>
      <w:r>
        <w:rPr>
          <w:rFonts w:hint="eastAsia" w:ascii="仿宋_GB2312" w:hAnsi="??" w:eastAsia="仿宋_GB2312" w:cs="仿宋_GB2312"/>
          <w:sz w:val="32"/>
          <w:szCs w:val="32"/>
        </w:rPr>
        <w:t>年预算增加</w:t>
      </w:r>
      <w:r>
        <w:rPr>
          <w:rFonts w:ascii="仿宋_GB2312" w:hAnsi="??" w:eastAsia="仿宋_GB2312" w:cs="仿宋_GB2312"/>
          <w:sz w:val="32"/>
          <w:szCs w:val="32"/>
        </w:rPr>
        <w:t>63.5</w:t>
      </w:r>
      <w:r>
        <w:rPr>
          <w:rFonts w:hint="eastAsia" w:ascii="仿宋_GB2312" w:hAnsi="??" w:eastAsia="仿宋_GB2312" w:cs="仿宋_GB2312"/>
          <w:sz w:val="32"/>
          <w:szCs w:val="32"/>
        </w:rPr>
        <w:t>万元，增长</w:t>
      </w:r>
      <w:r>
        <w:rPr>
          <w:rFonts w:ascii="仿宋_GB2312" w:hAnsi="??" w:eastAsia="仿宋_GB2312" w:cs="仿宋_GB2312"/>
          <w:sz w:val="32"/>
          <w:szCs w:val="32"/>
        </w:rPr>
        <w:t>26.4%</w:t>
      </w:r>
      <w:r>
        <w:rPr>
          <w:rFonts w:hint="eastAsia" w:ascii="仿宋_GB2312" w:hAnsi="??" w:eastAsia="仿宋_GB2312" w:cs="仿宋_GB2312"/>
          <w:sz w:val="32"/>
          <w:szCs w:val="32"/>
        </w:rPr>
        <w:t>，主要是因</w:t>
      </w:r>
      <w:r>
        <w:rPr>
          <w:rFonts w:ascii="仿宋_GB2312" w:hAnsi="??" w:eastAsia="仿宋_GB2312" w:cs="仿宋_GB2312"/>
          <w:sz w:val="32"/>
          <w:szCs w:val="32"/>
        </w:rPr>
        <w:t>2021</w:t>
      </w:r>
      <w:r>
        <w:rPr>
          <w:rFonts w:hint="eastAsia" w:ascii="仿宋_GB2312" w:hAnsi="??" w:eastAsia="仿宋_GB2312" w:cs="仿宋_GB2312"/>
          <w:sz w:val="32"/>
          <w:szCs w:val="32"/>
        </w:rPr>
        <w:t>年预算编制时下属单位合并在住建局本级。</w:t>
      </w:r>
    </w:p>
    <w:p>
      <w:pPr>
        <w:spacing w:line="600" w:lineRule="exact"/>
        <w:ind w:firstLine="643" w:firstLineChars="200"/>
        <w:rPr>
          <w:rFonts w:ascii="仿宋_GB2312" w:hAnsi="??" w:eastAsia="仿宋_GB2312"/>
          <w:b/>
          <w:bCs/>
          <w:sz w:val="32"/>
          <w:szCs w:val="32"/>
        </w:rPr>
      </w:pPr>
      <w:r>
        <w:rPr>
          <w:rFonts w:ascii="仿宋_GB2312" w:hAnsi="??" w:eastAsia="仿宋_GB2312" w:cs="仿宋_GB2312"/>
          <w:b/>
          <w:bCs/>
          <w:sz w:val="32"/>
          <w:szCs w:val="32"/>
        </w:rPr>
        <w:t>2.</w:t>
      </w:r>
      <w:r>
        <w:rPr>
          <w:rFonts w:hint="eastAsia" w:ascii="仿宋_GB2312" w:hAnsi="??" w:eastAsia="仿宋_GB2312" w:cs="仿宋_GB2312"/>
          <w:b/>
          <w:bCs/>
          <w:sz w:val="32"/>
          <w:szCs w:val="32"/>
        </w:rPr>
        <w:t>政府采购情况</w:t>
      </w:r>
    </w:p>
    <w:p>
      <w:pPr>
        <w:spacing w:line="600" w:lineRule="exact"/>
        <w:ind w:firstLine="640" w:firstLineChars="200"/>
        <w:rPr>
          <w:rFonts w:ascii="仿宋_GB2312" w:hAnsi="??" w:eastAsia="仿宋_GB2312"/>
          <w:sz w:val="32"/>
          <w:szCs w:val="32"/>
        </w:rPr>
      </w:pPr>
      <w:r>
        <w:rPr>
          <w:rFonts w:ascii="仿宋_GB2312" w:hAnsi="??" w:eastAsia="仿宋_GB2312" w:cs="仿宋_GB2312"/>
          <w:sz w:val="32"/>
          <w:szCs w:val="32"/>
        </w:rPr>
        <w:t>2021</w:t>
      </w:r>
      <w:r>
        <w:rPr>
          <w:rFonts w:hint="eastAsia" w:ascii="仿宋_GB2312" w:hAnsi="??" w:eastAsia="仿宋_GB2312" w:cs="仿宋_GB2312"/>
          <w:sz w:val="32"/>
          <w:szCs w:val="32"/>
        </w:rPr>
        <w:t>年住建局各单位政府采购预算总额</w:t>
      </w:r>
      <w:r>
        <w:rPr>
          <w:rFonts w:ascii="仿宋_GB2312" w:hAnsi="??" w:eastAsia="仿宋_GB2312" w:cs="仿宋_GB2312"/>
          <w:sz w:val="32"/>
          <w:szCs w:val="32"/>
        </w:rPr>
        <w:t>2731.9</w:t>
      </w:r>
      <w:r>
        <w:rPr>
          <w:rFonts w:hint="eastAsia" w:ascii="仿宋_GB2312" w:hAnsi="??" w:eastAsia="仿宋_GB2312" w:cs="仿宋_GB2312"/>
          <w:sz w:val="32"/>
          <w:szCs w:val="32"/>
        </w:rPr>
        <w:t>万元，其中：政府采购货物预算</w:t>
      </w:r>
      <w:r>
        <w:rPr>
          <w:rFonts w:ascii="仿宋_GB2312" w:hAnsi="??" w:eastAsia="仿宋_GB2312" w:cs="仿宋_GB2312"/>
          <w:sz w:val="32"/>
          <w:szCs w:val="32"/>
        </w:rPr>
        <w:t>200.9</w:t>
      </w:r>
      <w:r>
        <w:rPr>
          <w:rFonts w:hint="eastAsia" w:ascii="仿宋_GB2312" w:hAnsi="??" w:eastAsia="仿宋_GB2312" w:cs="仿宋_GB2312"/>
          <w:sz w:val="32"/>
          <w:szCs w:val="32"/>
        </w:rPr>
        <w:t>万元、政府采购工程预算</w:t>
      </w:r>
      <w:r>
        <w:rPr>
          <w:rFonts w:ascii="仿宋_GB2312" w:hAnsi="??" w:eastAsia="仿宋_GB2312" w:cs="仿宋_GB2312"/>
          <w:sz w:val="32"/>
          <w:szCs w:val="32"/>
        </w:rPr>
        <w:t>59</w:t>
      </w:r>
      <w:r>
        <w:rPr>
          <w:rFonts w:hint="eastAsia" w:ascii="仿宋_GB2312" w:hAnsi="??" w:eastAsia="仿宋_GB2312" w:cs="仿宋_GB2312"/>
          <w:sz w:val="32"/>
          <w:szCs w:val="32"/>
        </w:rPr>
        <w:t>万元、政府采购服务预算</w:t>
      </w:r>
      <w:r>
        <w:rPr>
          <w:rFonts w:ascii="仿宋_GB2312" w:hAnsi="??" w:eastAsia="仿宋_GB2312" w:cs="仿宋_GB2312"/>
          <w:sz w:val="32"/>
          <w:szCs w:val="32"/>
        </w:rPr>
        <w:t>2472</w:t>
      </w:r>
      <w:r>
        <w:rPr>
          <w:rFonts w:hint="eastAsia" w:ascii="仿宋_GB2312" w:hAnsi="??" w:eastAsia="仿宋_GB2312" w:cs="仿宋_GB2312"/>
          <w:sz w:val="32"/>
          <w:szCs w:val="32"/>
        </w:rPr>
        <w:t>万元。</w:t>
      </w:r>
    </w:p>
    <w:p>
      <w:pPr>
        <w:spacing w:line="600" w:lineRule="exact"/>
        <w:ind w:firstLine="643" w:firstLineChars="200"/>
        <w:rPr>
          <w:rFonts w:ascii="仿宋_GB2312" w:hAnsi="??" w:eastAsia="仿宋_GB2312"/>
          <w:b/>
          <w:bCs/>
          <w:sz w:val="32"/>
          <w:szCs w:val="32"/>
        </w:rPr>
      </w:pPr>
      <w:r>
        <w:rPr>
          <w:rFonts w:ascii="仿宋_GB2312" w:hAnsi="??" w:eastAsia="仿宋_GB2312" w:cs="仿宋_GB2312"/>
          <w:b/>
          <w:bCs/>
          <w:sz w:val="32"/>
          <w:szCs w:val="32"/>
        </w:rPr>
        <w:t>3.</w:t>
      </w:r>
      <w:r>
        <w:rPr>
          <w:rFonts w:hint="eastAsia" w:ascii="仿宋_GB2312" w:hAnsi="??" w:eastAsia="仿宋_GB2312" w:cs="仿宋_GB2312"/>
          <w:b/>
          <w:bCs/>
          <w:sz w:val="32"/>
          <w:szCs w:val="32"/>
        </w:rPr>
        <w:t>国有资产占有使用情况</w:t>
      </w:r>
    </w:p>
    <w:p>
      <w:pPr>
        <w:spacing w:line="600" w:lineRule="exact"/>
        <w:ind w:firstLine="640" w:firstLineChars="200"/>
        <w:rPr>
          <w:rFonts w:ascii="仿宋_GB2312" w:hAnsi="??" w:eastAsia="仿宋_GB2312"/>
          <w:sz w:val="32"/>
          <w:szCs w:val="32"/>
        </w:rPr>
      </w:pPr>
      <w:r>
        <w:rPr>
          <w:rFonts w:hint="eastAsia" w:ascii="仿宋_GB2312" w:hAnsi="??" w:eastAsia="仿宋_GB2312" w:cs="仿宋_GB2312"/>
          <w:sz w:val="32"/>
          <w:szCs w:val="32"/>
        </w:rPr>
        <w:t>截至</w:t>
      </w:r>
      <w:r>
        <w:rPr>
          <w:rFonts w:ascii="仿宋_GB2312" w:hAnsi="??" w:eastAsia="仿宋_GB2312" w:cs="仿宋_GB2312"/>
          <w:sz w:val="32"/>
          <w:szCs w:val="32"/>
        </w:rPr>
        <w:t>2020</w:t>
      </w:r>
      <w:r>
        <w:rPr>
          <w:rFonts w:hint="eastAsia" w:ascii="仿宋_GB2312" w:hAnsi="??" w:eastAsia="仿宋_GB2312" w:cs="仿宋_GB2312"/>
          <w:sz w:val="32"/>
          <w:szCs w:val="32"/>
        </w:rPr>
        <w:t>年</w:t>
      </w:r>
      <w:r>
        <w:rPr>
          <w:rFonts w:ascii="仿宋_GB2312" w:hAnsi="??" w:eastAsia="仿宋_GB2312" w:cs="仿宋_GB2312"/>
          <w:sz w:val="32"/>
          <w:szCs w:val="32"/>
        </w:rPr>
        <w:t>12</w:t>
      </w:r>
      <w:r>
        <w:rPr>
          <w:rFonts w:hint="eastAsia" w:ascii="仿宋_GB2312" w:hAnsi="??" w:eastAsia="仿宋_GB2312" w:cs="仿宋_GB2312"/>
          <w:sz w:val="32"/>
          <w:szCs w:val="32"/>
        </w:rPr>
        <w:t>月</w:t>
      </w:r>
      <w:r>
        <w:rPr>
          <w:rFonts w:ascii="仿宋_GB2312" w:hAnsi="??" w:eastAsia="仿宋_GB2312" w:cs="仿宋_GB2312"/>
          <w:sz w:val="32"/>
          <w:szCs w:val="32"/>
        </w:rPr>
        <w:t>31</w:t>
      </w:r>
      <w:r>
        <w:rPr>
          <w:rFonts w:hint="eastAsia" w:ascii="仿宋_GB2312" w:hAnsi="??" w:eastAsia="仿宋_GB2312" w:cs="仿宋_GB2312"/>
          <w:sz w:val="32"/>
          <w:szCs w:val="32"/>
        </w:rPr>
        <w:t>日，住建局所属各预算单位共有车辆</w:t>
      </w:r>
      <w:r>
        <w:rPr>
          <w:rFonts w:ascii="仿宋_GB2312" w:hAnsi="??" w:eastAsia="仿宋_GB2312" w:cs="仿宋_GB2312"/>
          <w:sz w:val="32"/>
          <w:szCs w:val="32"/>
        </w:rPr>
        <w:t>33</w:t>
      </w:r>
      <w:r>
        <w:rPr>
          <w:rFonts w:hint="eastAsia" w:ascii="仿宋_GB2312" w:hAnsi="??" w:eastAsia="仿宋_GB2312" w:cs="仿宋_GB2312"/>
          <w:sz w:val="32"/>
          <w:szCs w:val="32"/>
        </w:rPr>
        <w:t>辆，其中，特种专业技术用车</w:t>
      </w:r>
      <w:r>
        <w:rPr>
          <w:rFonts w:ascii="仿宋_GB2312" w:hAnsi="??" w:eastAsia="仿宋_GB2312" w:cs="仿宋_GB2312"/>
          <w:sz w:val="32"/>
          <w:szCs w:val="32"/>
        </w:rPr>
        <w:t>22</w:t>
      </w:r>
      <w:r>
        <w:rPr>
          <w:rFonts w:hint="eastAsia" w:ascii="仿宋_GB2312" w:hAnsi="??" w:eastAsia="仿宋_GB2312" w:cs="仿宋_GB2312"/>
          <w:sz w:val="32"/>
          <w:szCs w:val="32"/>
        </w:rPr>
        <w:t>辆、业务用车</w:t>
      </w:r>
      <w:r>
        <w:rPr>
          <w:rFonts w:ascii="仿宋_GB2312" w:hAnsi="??" w:eastAsia="仿宋_GB2312" w:cs="仿宋_GB2312"/>
          <w:sz w:val="32"/>
          <w:szCs w:val="32"/>
        </w:rPr>
        <w:t>11</w:t>
      </w:r>
      <w:r>
        <w:rPr>
          <w:rFonts w:hint="eastAsia" w:ascii="仿宋_GB2312" w:hAnsi="??" w:eastAsia="仿宋_GB2312" w:cs="仿宋_GB2312"/>
          <w:sz w:val="32"/>
          <w:szCs w:val="32"/>
        </w:rPr>
        <w:t>辆。单位价值</w:t>
      </w:r>
      <w:r>
        <w:rPr>
          <w:rFonts w:ascii="仿宋_GB2312" w:hAnsi="??" w:eastAsia="仿宋_GB2312" w:cs="仿宋_GB2312"/>
          <w:sz w:val="32"/>
          <w:szCs w:val="32"/>
        </w:rPr>
        <w:t>50</w:t>
      </w:r>
      <w:r>
        <w:rPr>
          <w:rFonts w:hint="eastAsia" w:ascii="仿宋_GB2312" w:hAnsi="??" w:eastAsia="仿宋_GB2312" w:cs="仿宋_GB2312"/>
          <w:sz w:val="32"/>
          <w:szCs w:val="32"/>
        </w:rPr>
        <w:t>万元以上通用设备</w:t>
      </w:r>
      <w:r>
        <w:rPr>
          <w:rFonts w:ascii="仿宋_GB2312" w:hAnsi="??" w:eastAsia="仿宋_GB2312" w:cs="仿宋_GB2312"/>
          <w:sz w:val="32"/>
          <w:szCs w:val="32"/>
        </w:rPr>
        <w:t>8</w:t>
      </w:r>
      <w:r>
        <w:rPr>
          <w:rFonts w:hint="eastAsia" w:ascii="仿宋_GB2312" w:hAnsi="??" w:eastAsia="仿宋_GB2312" w:cs="仿宋_GB2312"/>
          <w:sz w:val="32"/>
          <w:szCs w:val="32"/>
        </w:rPr>
        <w:t>台（套），单位价值</w:t>
      </w:r>
      <w:r>
        <w:rPr>
          <w:rFonts w:ascii="仿宋_GB2312" w:hAnsi="??" w:eastAsia="仿宋_GB2312" w:cs="仿宋_GB2312"/>
          <w:sz w:val="32"/>
          <w:szCs w:val="32"/>
        </w:rPr>
        <w:t>100</w:t>
      </w:r>
      <w:r>
        <w:rPr>
          <w:rFonts w:hint="eastAsia" w:ascii="仿宋_GB2312" w:hAnsi="??" w:eastAsia="仿宋_GB2312" w:cs="仿宋_GB2312"/>
          <w:sz w:val="32"/>
          <w:szCs w:val="32"/>
        </w:rPr>
        <w:t>万元以上专用设备</w:t>
      </w:r>
      <w:r>
        <w:rPr>
          <w:rFonts w:ascii="仿宋_GB2312" w:hAnsi="??" w:eastAsia="仿宋_GB2312" w:cs="仿宋_GB2312"/>
          <w:sz w:val="32"/>
          <w:szCs w:val="32"/>
        </w:rPr>
        <w:t>2</w:t>
      </w:r>
      <w:r>
        <w:rPr>
          <w:rFonts w:hint="eastAsia" w:ascii="仿宋_GB2312" w:hAnsi="??" w:eastAsia="仿宋_GB2312" w:cs="仿宋_GB2312"/>
          <w:sz w:val="32"/>
          <w:szCs w:val="32"/>
        </w:rPr>
        <w:t>台（套）</w:t>
      </w:r>
      <w:r>
        <w:rPr>
          <w:rFonts w:hint="eastAsia" w:ascii="仿宋_GB2312" w:eastAsia="仿宋_GB2312" w:cs="仿宋_GB2312"/>
          <w:sz w:val="32"/>
          <w:szCs w:val="32"/>
        </w:rPr>
        <w:t>。</w:t>
      </w:r>
    </w:p>
    <w:p>
      <w:pPr>
        <w:spacing w:line="600" w:lineRule="exact"/>
        <w:ind w:firstLine="642"/>
        <w:rPr>
          <w:rFonts w:ascii="仿宋_GB2312" w:hAnsi="??" w:eastAsia="仿宋_GB2312"/>
          <w:sz w:val="32"/>
          <w:szCs w:val="32"/>
        </w:rPr>
      </w:pPr>
      <w:r>
        <w:rPr>
          <w:rFonts w:ascii="仿宋_GB2312" w:hAnsi="??" w:eastAsia="仿宋_GB2312" w:cs="仿宋_GB2312"/>
          <w:sz w:val="32"/>
          <w:szCs w:val="32"/>
        </w:rPr>
        <w:t>2021</w:t>
      </w:r>
      <w:r>
        <w:rPr>
          <w:rFonts w:hint="eastAsia" w:ascii="仿宋_GB2312" w:hAnsi="??" w:eastAsia="仿宋_GB2312" w:cs="仿宋_GB2312"/>
          <w:sz w:val="32"/>
          <w:szCs w:val="32"/>
        </w:rPr>
        <w:t>年部门预算未安排购置车辆、单位价值</w:t>
      </w:r>
      <w:r>
        <w:rPr>
          <w:rFonts w:ascii="仿宋_GB2312" w:hAnsi="??" w:eastAsia="仿宋_GB2312" w:cs="仿宋_GB2312"/>
          <w:sz w:val="32"/>
          <w:szCs w:val="32"/>
        </w:rPr>
        <w:t>50</w:t>
      </w:r>
      <w:r>
        <w:rPr>
          <w:rFonts w:hint="eastAsia" w:ascii="仿宋_GB2312" w:hAnsi="??" w:eastAsia="仿宋_GB2312" w:cs="仿宋_GB2312"/>
          <w:sz w:val="32"/>
          <w:szCs w:val="32"/>
        </w:rPr>
        <w:t>万元以上通用设备及单位价值</w:t>
      </w:r>
      <w:r>
        <w:rPr>
          <w:rFonts w:ascii="仿宋_GB2312" w:hAnsi="??" w:eastAsia="仿宋_GB2312" w:cs="仿宋_GB2312"/>
          <w:sz w:val="32"/>
          <w:szCs w:val="32"/>
        </w:rPr>
        <w:t>100</w:t>
      </w:r>
      <w:r>
        <w:rPr>
          <w:rFonts w:hint="eastAsia" w:ascii="仿宋_GB2312" w:hAnsi="??" w:eastAsia="仿宋_GB2312" w:cs="仿宋_GB2312"/>
          <w:sz w:val="32"/>
          <w:szCs w:val="32"/>
        </w:rPr>
        <w:t>万元以上专用设备。</w:t>
      </w:r>
    </w:p>
    <w:p>
      <w:pPr>
        <w:spacing w:line="600" w:lineRule="exact"/>
        <w:ind w:firstLine="643" w:firstLineChars="200"/>
        <w:rPr>
          <w:rFonts w:ascii="仿宋_GB2312" w:hAnsi="??" w:eastAsia="仿宋_GB2312"/>
          <w:b/>
          <w:bCs/>
          <w:sz w:val="32"/>
          <w:szCs w:val="32"/>
        </w:rPr>
      </w:pPr>
      <w:r>
        <w:rPr>
          <w:rFonts w:ascii="仿宋_GB2312" w:hAnsi="??" w:eastAsia="仿宋_GB2312" w:cs="仿宋_GB2312"/>
          <w:b/>
          <w:bCs/>
          <w:sz w:val="32"/>
          <w:szCs w:val="32"/>
        </w:rPr>
        <w:t>4.</w:t>
      </w:r>
      <w:r>
        <w:rPr>
          <w:rFonts w:hint="eastAsia" w:ascii="仿宋_GB2312" w:hAnsi="??" w:eastAsia="仿宋_GB2312" w:cs="仿宋_GB2312"/>
          <w:b/>
          <w:bCs/>
          <w:sz w:val="32"/>
          <w:szCs w:val="32"/>
        </w:rPr>
        <w:t>绩效目标设置情况</w:t>
      </w:r>
    </w:p>
    <w:p>
      <w:pPr>
        <w:spacing w:line="600" w:lineRule="exact"/>
        <w:ind w:firstLine="640" w:firstLineChars="200"/>
        <w:rPr>
          <w:rFonts w:ascii="仿宋_GB2312" w:hAnsi="??" w:eastAsia="仿宋_GB2312"/>
          <w:sz w:val="32"/>
          <w:szCs w:val="32"/>
        </w:rPr>
      </w:pPr>
      <w:r>
        <w:rPr>
          <w:rFonts w:ascii="仿宋_GB2312" w:hAnsi="??" w:eastAsia="仿宋_GB2312" w:cs="仿宋_GB2312"/>
          <w:sz w:val="32"/>
          <w:szCs w:val="32"/>
        </w:rPr>
        <w:t>2021</w:t>
      </w:r>
      <w:r>
        <w:rPr>
          <w:rFonts w:hint="eastAsia" w:ascii="仿宋_GB2312" w:hAnsi="??" w:eastAsia="仿宋_GB2312" w:cs="仿宋_GB2312"/>
          <w:sz w:val="32"/>
          <w:szCs w:val="32"/>
        </w:rPr>
        <w:t>年住建局整体绩效目标是：</w:t>
      </w:r>
    </w:p>
    <w:p>
      <w:pPr>
        <w:spacing w:line="600" w:lineRule="exact"/>
        <w:ind w:firstLine="640" w:firstLineChars="200"/>
        <w:rPr>
          <w:rFonts w:ascii="仿宋_GB2312" w:hAnsi="??" w:eastAsia="仿宋_GB2312"/>
          <w:sz w:val="32"/>
          <w:szCs w:val="32"/>
        </w:rPr>
      </w:pPr>
      <w:r>
        <w:rPr>
          <w:rFonts w:hint="eastAsia" w:ascii="仿宋_GB2312" w:hAnsi="??" w:eastAsia="仿宋_GB2312" w:cs="仿宋_GB2312"/>
          <w:sz w:val="32"/>
          <w:szCs w:val="32"/>
        </w:rPr>
        <w:t>（</w:t>
      </w:r>
      <w:r>
        <w:rPr>
          <w:rFonts w:ascii="仿宋_GB2312" w:hAnsi="??" w:eastAsia="仿宋_GB2312" w:cs="仿宋_GB2312"/>
          <w:sz w:val="32"/>
          <w:szCs w:val="32"/>
        </w:rPr>
        <w:t>1</w:t>
      </w:r>
      <w:r>
        <w:rPr>
          <w:rFonts w:hint="eastAsia" w:ascii="仿宋_GB2312" w:hAnsi="??" w:eastAsia="仿宋_GB2312" w:cs="仿宋_GB2312"/>
          <w:sz w:val="32"/>
          <w:szCs w:val="32"/>
        </w:rPr>
        <w:t>）整装出发，奋力打造“模范机关、清廉机关”</w:t>
      </w:r>
    </w:p>
    <w:p>
      <w:pPr>
        <w:spacing w:line="600" w:lineRule="exact"/>
        <w:ind w:firstLine="640" w:firstLineChars="200"/>
        <w:rPr>
          <w:rFonts w:ascii="仿宋_GB2312" w:hAnsi="??" w:eastAsia="仿宋_GB2312"/>
          <w:sz w:val="32"/>
          <w:szCs w:val="32"/>
        </w:rPr>
      </w:pPr>
      <w:r>
        <w:rPr>
          <w:rFonts w:hint="eastAsia" w:ascii="仿宋_GB2312" w:hAnsi="??" w:eastAsia="仿宋_GB2312" w:cs="仿宋_GB2312"/>
          <w:sz w:val="32"/>
          <w:szCs w:val="32"/>
        </w:rPr>
        <w:t>始终以队伍建设为根本，以铁军精神铸造铁的执行力和铁的纪律。强化理论教育，组织全体机关干部认真学习党的规章制度，全面加强住建系统党员干部的政治意识、危机意识、责任意识，增强自我净化、自我完善、自我革新、自我提高的能力，为城乡建设跨越发展提供队伍保障。落实主体责任，抓好班子建设，全面落实党员领导干部“一岗双责”。加强干部队伍的道德修养和廉政建设，在工程质量、行业管理、房地产市场调控等关键岗位和环节，强化廉政风险防控，确保“红线”不碰、“雷池”不越，从源头上杜绝违纪违规问题发生。加强廉政和法制教育宣传力度，把纪律建设摆在更加突出位置，坚持纪严于法、纪在法前，切实推进“清廉住建”建设。</w:t>
      </w:r>
    </w:p>
    <w:p>
      <w:pPr>
        <w:spacing w:line="600" w:lineRule="exact"/>
        <w:ind w:firstLine="640" w:firstLineChars="200"/>
        <w:rPr>
          <w:rFonts w:ascii="仿宋_GB2312" w:hAnsi="??" w:eastAsia="仿宋_GB2312"/>
          <w:sz w:val="32"/>
          <w:szCs w:val="32"/>
        </w:rPr>
      </w:pPr>
      <w:r>
        <w:rPr>
          <w:rFonts w:hint="eastAsia" w:ascii="仿宋_GB2312" w:hAnsi="??" w:eastAsia="仿宋_GB2312" w:cs="仿宋_GB2312"/>
          <w:sz w:val="32"/>
          <w:szCs w:val="32"/>
        </w:rPr>
        <w:t>（</w:t>
      </w:r>
      <w:r>
        <w:rPr>
          <w:rFonts w:ascii="仿宋_GB2312" w:hAnsi="??" w:eastAsia="仿宋_GB2312" w:cs="仿宋_GB2312"/>
          <w:sz w:val="32"/>
          <w:szCs w:val="32"/>
        </w:rPr>
        <w:t>2</w:t>
      </w:r>
      <w:r>
        <w:rPr>
          <w:rFonts w:hint="eastAsia" w:ascii="仿宋_GB2312" w:hAnsi="??" w:eastAsia="仿宋_GB2312" w:cs="仿宋_GB2312"/>
          <w:sz w:val="32"/>
          <w:szCs w:val="32"/>
        </w:rPr>
        <w:t>）攻坚克难，不断开创城市建设管理新局面</w:t>
      </w:r>
    </w:p>
    <w:p>
      <w:pPr>
        <w:spacing w:line="600" w:lineRule="exact"/>
        <w:ind w:firstLine="640" w:firstLineChars="200"/>
        <w:rPr>
          <w:rFonts w:ascii="仿宋_GB2312" w:hAnsi="??" w:eastAsia="仿宋_GB2312"/>
          <w:sz w:val="32"/>
          <w:szCs w:val="32"/>
        </w:rPr>
      </w:pPr>
      <w:r>
        <w:rPr>
          <w:rFonts w:hint="eastAsia" w:ascii="仿宋_GB2312" w:hAnsi="??" w:eastAsia="仿宋_GB2312" w:cs="仿宋_GB2312"/>
          <w:sz w:val="32"/>
          <w:szCs w:val="32"/>
        </w:rPr>
        <w:t>一是着眼城市功能完善，加快城市基础设施建设。统筹推进城市建设项目，加速牧长路、横峰大道、中华路北延等</w:t>
      </w:r>
      <w:r>
        <w:rPr>
          <w:rFonts w:ascii="仿宋_GB2312" w:hAnsi="??" w:eastAsia="仿宋_GB2312" w:cs="仿宋_GB2312"/>
          <w:sz w:val="32"/>
          <w:szCs w:val="32"/>
        </w:rPr>
        <w:t>37</w:t>
      </w:r>
      <w:r>
        <w:rPr>
          <w:rFonts w:hint="eastAsia" w:ascii="仿宋_GB2312" w:hAnsi="??" w:eastAsia="仿宋_GB2312" w:cs="仿宋_GB2312"/>
          <w:sz w:val="32"/>
          <w:szCs w:val="32"/>
        </w:rPr>
        <w:t>个续建项目，启动川安路北延、城西大道改造等</w:t>
      </w:r>
      <w:r>
        <w:rPr>
          <w:rFonts w:ascii="仿宋_GB2312" w:hAnsi="??" w:eastAsia="仿宋_GB2312" w:cs="仿宋_GB2312"/>
          <w:sz w:val="32"/>
          <w:szCs w:val="32"/>
        </w:rPr>
        <w:t>60</w:t>
      </w:r>
      <w:r>
        <w:rPr>
          <w:rFonts w:hint="eastAsia" w:ascii="仿宋_GB2312" w:hAnsi="??" w:eastAsia="仿宋_GB2312" w:cs="仿宋_GB2312"/>
          <w:sz w:val="32"/>
          <w:szCs w:val="32"/>
        </w:rPr>
        <w:t>多个新建项目，谋划万昌路改造、田园路北延、环湖路北延、白山大道等</w:t>
      </w:r>
      <w:r>
        <w:rPr>
          <w:rFonts w:ascii="仿宋_GB2312" w:hAnsi="??" w:eastAsia="仿宋_GB2312" w:cs="仿宋_GB2312"/>
          <w:sz w:val="32"/>
          <w:szCs w:val="32"/>
        </w:rPr>
        <w:t>20</w:t>
      </w:r>
      <w:r>
        <w:rPr>
          <w:rFonts w:hint="eastAsia" w:ascii="仿宋_GB2312" w:hAnsi="??" w:eastAsia="仿宋_GB2312" w:cs="仿宋_GB2312"/>
          <w:sz w:val="32"/>
          <w:szCs w:val="32"/>
        </w:rPr>
        <w:t>多个前期项目，努力提升城市能级。深入开展污水提质增效行动，加快污水处理设施建设，全力开展“污水零直排区”建设，年底全市基本建成“污水零直排区”；实施农污纳入城污工程，实施</w:t>
      </w:r>
      <w:r>
        <w:rPr>
          <w:rFonts w:ascii="仿宋_GB2312" w:hAnsi="??" w:eastAsia="仿宋_GB2312" w:cs="仿宋_GB2312"/>
          <w:sz w:val="32"/>
          <w:szCs w:val="32"/>
        </w:rPr>
        <w:t>108</w:t>
      </w:r>
      <w:r>
        <w:rPr>
          <w:rFonts w:hint="eastAsia" w:ascii="仿宋_GB2312" w:hAnsi="??" w:eastAsia="仿宋_GB2312" w:cs="仿宋_GB2312"/>
          <w:sz w:val="32"/>
          <w:szCs w:val="32"/>
        </w:rPr>
        <w:t>个农村生活污水终端纳入城污管网工程建设，加强城镇污水管网养护管理。继续做好民生实事工作，加大城区公共停车位建设力度，努力改善城区“停车难”情况；持续推动老旧小区加装电梯工作，力争全年开工建设</w:t>
      </w:r>
      <w:r>
        <w:rPr>
          <w:rFonts w:ascii="仿宋_GB2312" w:hAnsi="??" w:eastAsia="仿宋_GB2312" w:cs="仿宋_GB2312"/>
          <w:sz w:val="32"/>
          <w:szCs w:val="32"/>
        </w:rPr>
        <w:t>15</w:t>
      </w:r>
      <w:r>
        <w:rPr>
          <w:rFonts w:hint="eastAsia" w:ascii="仿宋_GB2312" w:hAnsi="??" w:eastAsia="仿宋_GB2312" w:cs="仿宋_GB2312"/>
          <w:sz w:val="32"/>
          <w:szCs w:val="32"/>
        </w:rPr>
        <w:t>台以上；常态化开展农村困难家庭危房动态排查工作，确保新增城乡危旧房及时落实整改。规范公房管理，健全完善新的公租房管理模式，提升管理水平。</w:t>
      </w:r>
    </w:p>
    <w:p>
      <w:pPr>
        <w:spacing w:line="600" w:lineRule="exact"/>
        <w:ind w:firstLine="640" w:firstLineChars="200"/>
        <w:rPr>
          <w:rFonts w:ascii="仿宋_GB2312" w:hAnsi="??" w:eastAsia="仿宋_GB2312"/>
          <w:sz w:val="32"/>
          <w:szCs w:val="32"/>
        </w:rPr>
      </w:pPr>
      <w:r>
        <w:rPr>
          <w:rFonts w:hint="eastAsia" w:ascii="仿宋_GB2312" w:hAnsi="??" w:eastAsia="仿宋_GB2312" w:cs="仿宋_GB2312"/>
          <w:sz w:val="32"/>
          <w:szCs w:val="32"/>
        </w:rPr>
        <w:t>二是着眼城市品质提升，加速城市景观风貌美化。高品质打造城市绿地，扎实推进九龙湖公园二期、神童门公园建设，完成三星小学北侧绿地、万昌商城绿地等改造，进一步完善配套设施建设，谋划启动横屿山公园建设，新改建便民、惠民型口袋公园、街头绿地</w:t>
      </w:r>
      <w:r>
        <w:rPr>
          <w:rFonts w:ascii="仿宋_GB2312" w:hAnsi="??" w:eastAsia="仿宋_GB2312" w:cs="仿宋_GB2312"/>
          <w:sz w:val="32"/>
          <w:szCs w:val="32"/>
        </w:rPr>
        <w:t>10</w:t>
      </w:r>
      <w:r>
        <w:rPr>
          <w:rFonts w:hint="eastAsia" w:ascii="仿宋_GB2312" w:hAnsi="??" w:eastAsia="仿宋_GB2312" w:cs="仿宋_GB2312"/>
          <w:sz w:val="32"/>
          <w:szCs w:val="32"/>
        </w:rPr>
        <w:t>个以上，新增绿道</w:t>
      </w:r>
      <w:r>
        <w:rPr>
          <w:rFonts w:ascii="仿宋_GB2312" w:hAnsi="??" w:eastAsia="仿宋_GB2312" w:cs="仿宋_GB2312"/>
          <w:sz w:val="32"/>
          <w:szCs w:val="32"/>
        </w:rPr>
        <w:t>10</w:t>
      </w:r>
      <w:r>
        <w:rPr>
          <w:rFonts w:hint="eastAsia" w:ascii="仿宋_GB2312" w:hAnsi="??" w:eastAsia="仿宋_GB2312" w:cs="仿宋_GB2312"/>
          <w:sz w:val="32"/>
          <w:szCs w:val="32"/>
        </w:rPr>
        <w:t>公里以上。进一步谋划推进优质综合公园、绿化美化示范路创建工作，有效提升我市园林绿化品质。稳步推进城市亮化，把景观亮化和入城口、绿地系统、重点区块等项目建设结合，点亮城市“夜经济”。</w:t>
      </w:r>
    </w:p>
    <w:p>
      <w:pPr>
        <w:spacing w:line="600" w:lineRule="exact"/>
        <w:ind w:firstLine="640" w:firstLineChars="200"/>
        <w:rPr>
          <w:rFonts w:ascii="仿宋_GB2312" w:hAnsi="??" w:eastAsia="仿宋_GB2312"/>
          <w:sz w:val="32"/>
          <w:szCs w:val="32"/>
        </w:rPr>
      </w:pPr>
      <w:r>
        <w:rPr>
          <w:rFonts w:hint="eastAsia" w:ascii="仿宋_GB2312" w:hAnsi="??" w:eastAsia="仿宋_GB2312" w:cs="仿宋_GB2312"/>
          <w:sz w:val="32"/>
          <w:szCs w:val="32"/>
        </w:rPr>
        <w:t>三是着眼行业发展提升，推动系统行业稳中有升。坚持“房住不炒”定位，强化资金监管，加强测绘备案管理，保障房地产市场长期平稳健康。加速建筑业转型升级，引导企业转变管理模式、强化法律风险意识，帮助企业化解“两链”风险，实现建筑业高质量发展。</w:t>
      </w:r>
    </w:p>
    <w:p>
      <w:pPr>
        <w:spacing w:line="600" w:lineRule="exact"/>
        <w:ind w:firstLine="640" w:firstLineChars="200"/>
        <w:rPr>
          <w:rFonts w:ascii="仿宋_GB2312" w:hAnsi="??" w:eastAsia="仿宋_GB2312"/>
          <w:sz w:val="32"/>
          <w:szCs w:val="32"/>
        </w:rPr>
      </w:pPr>
      <w:r>
        <w:rPr>
          <w:rFonts w:hint="eastAsia" w:ascii="仿宋_GB2312" w:hAnsi="??" w:eastAsia="仿宋_GB2312" w:cs="仿宋_GB2312"/>
          <w:sz w:val="32"/>
          <w:szCs w:val="32"/>
        </w:rPr>
        <w:t>四是着眼安全监管提升，确保安全生产形势稳定。结合《城市建设安全专项整治三年行动实施方案》的要求，继续开展好住建系统安全生产专项整治。建立健全安全风险管控和隐患排查治理的工作机制和规范，通过开展安全风险辨识、评定风险等级和风险警示等举措，全面提升安全生产整体预控能力。继续结合“扫黑除恶治乱”、新冠疫情防控、建筑和房地产市场乱象治理工作，严格实施“打非治违”，以严管重罚的高压态势，确保市住建系统安全生产</w:t>
      </w:r>
      <w:r>
        <w:rPr>
          <w:rFonts w:hint="eastAsia" w:ascii="仿宋_GB2312" w:hAnsi="??" w:eastAsia="仿宋_GB2312" w:cs="仿宋_GB2312"/>
          <w:sz w:val="32"/>
          <w:szCs w:val="32"/>
          <w:lang w:eastAsia="zh-CN"/>
        </w:rPr>
        <w:t>形势</w:t>
      </w:r>
      <w:bookmarkStart w:id="0" w:name="_GoBack"/>
      <w:bookmarkEnd w:id="0"/>
      <w:r>
        <w:rPr>
          <w:rFonts w:hint="eastAsia" w:ascii="仿宋_GB2312" w:hAnsi="??" w:eastAsia="仿宋_GB2312" w:cs="仿宋_GB2312"/>
          <w:sz w:val="32"/>
          <w:szCs w:val="32"/>
        </w:rPr>
        <w:t>的平稳可控。</w:t>
      </w:r>
    </w:p>
    <w:p>
      <w:pPr>
        <w:spacing w:line="600" w:lineRule="exact"/>
        <w:ind w:firstLine="640" w:firstLineChars="200"/>
        <w:rPr>
          <w:rFonts w:ascii="仿宋_GB2312" w:hAnsi="??" w:eastAsia="仿宋_GB2312"/>
          <w:sz w:val="32"/>
          <w:szCs w:val="32"/>
        </w:rPr>
      </w:pPr>
      <w:r>
        <w:rPr>
          <w:rFonts w:hint="eastAsia" w:ascii="仿宋_GB2312" w:hAnsi="??" w:eastAsia="仿宋_GB2312" w:cs="仿宋_GB2312"/>
          <w:sz w:val="32"/>
          <w:szCs w:val="32"/>
        </w:rPr>
        <w:t>五是着眼审批改革深化，推动审批服务再加速。坚持以“最多跑一次”为牵引，深化审批事项“九合一”工作成果，深入推进工程建设领域审批制度改革，持续优化“减材料、减流程、减时间”体系。大力推进“互联网</w:t>
      </w:r>
      <w:r>
        <w:rPr>
          <w:rFonts w:ascii="仿宋_GB2312" w:hAnsi="??" w:eastAsia="仿宋_GB2312" w:cs="仿宋_GB2312"/>
          <w:sz w:val="32"/>
          <w:szCs w:val="32"/>
        </w:rPr>
        <w:t>+</w:t>
      </w:r>
      <w:r>
        <w:rPr>
          <w:rFonts w:hint="eastAsia" w:ascii="仿宋_GB2312" w:hAnsi="??" w:eastAsia="仿宋_GB2312" w:cs="仿宋_GB2312"/>
          <w:sz w:val="32"/>
          <w:szCs w:val="32"/>
        </w:rPr>
        <w:t>服务”，实现更多事项网上办、自助办。进一步整合各审批自建系统，开发消防审批管理系统，实现端口数据抓取互通，为改革措施落地提供技术支撑。</w:t>
      </w:r>
    </w:p>
    <w:p>
      <w:pPr>
        <w:spacing w:line="600" w:lineRule="exact"/>
        <w:ind w:firstLine="640" w:firstLineChars="200"/>
        <w:rPr>
          <w:rFonts w:ascii="仿宋_GB2312" w:hAnsi="??" w:eastAsia="仿宋_GB2312"/>
          <w:sz w:val="32"/>
          <w:szCs w:val="32"/>
        </w:rPr>
      </w:pPr>
      <w:r>
        <w:rPr>
          <w:rFonts w:hint="eastAsia" w:ascii="仿宋_GB2312" w:hAnsi="??" w:eastAsia="仿宋_GB2312" w:cs="仿宋_GB2312"/>
          <w:sz w:val="32"/>
          <w:szCs w:val="32"/>
        </w:rPr>
        <w:t>专项公用类、政策性项目和发展建设类项目均实行绩效目标管理，涉及一般公共预算当年拨款</w:t>
      </w:r>
      <w:r>
        <w:rPr>
          <w:rFonts w:ascii="仿宋_GB2312" w:hAnsi="??" w:eastAsia="仿宋_GB2312" w:cs="仿宋_GB2312"/>
          <w:sz w:val="32"/>
          <w:szCs w:val="32"/>
        </w:rPr>
        <w:t>7243.4</w:t>
      </w:r>
      <w:r>
        <w:rPr>
          <w:rFonts w:hint="eastAsia" w:ascii="仿宋_GB2312" w:hAnsi="??" w:eastAsia="仿宋_GB2312" w:cs="仿宋_GB2312"/>
          <w:sz w:val="32"/>
          <w:szCs w:val="32"/>
        </w:rPr>
        <w:t>万元。</w:t>
      </w:r>
    </w:p>
    <w:p>
      <w:pPr>
        <w:spacing w:line="600" w:lineRule="exact"/>
        <w:ind w:firstLine="640" w:firstLineChars="200"/>
        <w:rPr>
          <w:sz w:val="32"/>
          <w:szCs w:val="32"/>
        </w:rPr>
      </w:pPr>
      <w:r>
        <w:rPr>
          <w:rFonts w:hint="eastAsia" w:ascii="黑体" w:hAnsi="黑体" w:eastAsia="黑体" w:cs="黑体"/>
          <w:sz w:val="32"/>
          <w:szCs w:val="32"/>
        </w:rPr>
        <w:t>三、名词解释</w:t>
      </w:r>
    </w:p>
    <w:p>
      <w:pPr>
        <w:pStyle w:val="16"/>
        <w:widowControl w:val="0"/>
        <w:spacing w:line="600" w:lineRule="exact"/>
        <w:ind w:firstLine="640" w:firstLineChars="200"/>
        <w:rPr>
          <w:rFonts w:ascii="仿宋_GB2312" w:eastAsia="仿宋_GB2312" w:cs="Times New Roman"/>
          <w:color w:val="000000"/>
          <w:sz w:val="32"/>
          <w:szCs w:val="32"/>
        </w:rPr>
      </w:pPr>
      <w:r>
        <w:rPr>
          <w:rFonts w:ascii="仿宋_GB2312" w:eastAsia="仿宋_GB2312" w:cs="仿宋_GB2312"/>
          <w:color w:val="000000"/>
          <w:sz w:val="32"/>
          <w:szCs w:val="32"/>
        </w:rPr>
        <w:t>1.</w:t>
      </w:r>
      <w:r>
        <w:rPr>
          <w:rFonts w:hint="eastAsia" w:ascii="仿宋_GB2312" w:eastAsia="仿宋_GB2312" w:cs="仿宋_GB2312"/>
          <w:color w:val="000000"/>
          <w:sz w:val="32"/>
          <w:szCs w:val="32"/>
        </w:rPr>
        <w:t>财政拨款收入：</w:t>
      </w:r>
      <w:r>
        <w:rPr>
          <w:rFonts w:hint="eastAsia" w:ascii="仿宋_GB2312" w:eastAsia="仿宋_GB2312" w:cs="仿宋_GB2312"/>
          <w:sz w:val="32"/>
          <w:szCs w:val="32"/>
        </w:rPr>
        <w:t>本级财政部门当年拨付的财政预算资金，包括一般公共预算财政拨款和政府性基金预算财政拨款。</w:t>
      </w:r>
    </w:p>
    <w:p>
      <w:pPr>
        <w:pStyle w:val="16"/>
        <w:widowControl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2.</w:t>
      </w:r>
      <w:r>
        <w:rPr>
          <w:rFonts w:hint="eastAsia" w:ascii="仿宋_GB2312" w:eastAsia="仿宋_GB2312" w:cs="仿宋_GB2312"/>
          <w:color w:val="000000"/>
          <w:sz w:val="32"/>
          <w:szCs w:val="32"/>
        </w:rPr>
        <w:t>专户资金</w:t>
      </w:r>
      <w:r>
        <w:rPr>
          <w:rFonts w:ascii="仿宋_GB2312" w:eastAsia="仿宋_GB2312" w:cs="仿宋_GB2312"/>
          <w:color w:val="000000"/>
          <w:sz w:val="32"/>
          <w:szCs w:val="32"/>
        </w:rPr>
        <w:t>:</w:t>
      </w:r>
      <w:r>
        <w:rPr>
          <w:rFonts w:hint="eastAsia" w:ascii="仿宋_GB2312" w:eastAsia="仿宋_GB2312" w:cs="仿宋_GB2312"/>
          <w:color w:val="000000"/>
          <w:sz w:val="32"/>
          <w:szCs w:val="32"/>
        </w:rPr>
        <w:t>教育收费作为本部门的事业收入，纳入财政专户管理的资金。</w:t>
      </w:r>
    </w:p>
    <w:p>
      <w:pPr>
        <w:pStyle w:val="16"/>
        <w:widowControl w:val="0"/>
        <w:spacing w:line="600" w:lineRule="exact"/>
        <w:ind w:firstLine="640"/>
        <w:rPr>
          <w:rFonts w:ascii="仿宋_GB2312" w:eastAsia="仿宋_GB2312" w:cs="Times New Roman"/>
          <w:sz w:val="32"/>
          <w:szCs w:val="32"/>
        </w:rPr>
      </w:pPr>
      <w:r>
        <w:rPr>
          <w:rFonts w:ascii="仿宋_GB2312" w:eastAsia="仿宋_GB2312" w:cs="仿宋_GB2312"/>
          <w:color w:val="000000"/>
          <w:sz w:val="32"/>
          <w:szCs w:val="32"/>
        </w:rPr>
        <w:t>3.</w:t>
      </w:r>
      <w:r>
        <w:rPr>
          <w:rFonts w:hint="eastAsia" w:ascii="仿宋_GB2312" w:eastAsia="仿宋_GB2312" w:cs="仿宋_GB2312"/>
          <w:color w:val="000000"/>
          <w:sz w:val="32"/>
          <w:szCs w:val="32"/>
        </w:rPr>
        <w:t>事业收入：</w:t>
      </w:r>
      <w:r>
        <w:rPr>
          <w:rFonts w:hint="eastAsia" w:ascii="仿宋_GB2312" w:eastAsia="仿宋_GB2312" w:cs="仿宋_GB2312"/>
          <w:sz w:val="32"/>
          <w:szCs w:val="32"/>
        </w:rPr>
        <w:t>事业单位开展专业业务活动及辅助活动所取得的收入，不含专户资金收入。</w:t>
      </w:r>
    </w:p>
    <w:p>
      <w:pPr>
        <w:pStyle w:val="16"/>
        <w:widowControl w:val="0"/>
        <w:spacing w:line="600" w:lineRule="exact"/>
        <w:ind w:firstLine="640"/>
        <w:rPr>
          <w:rFonts w:ascii="仿宋_GB2312" w:eastAsia="仿宋_GB2312" w:cs="Times New Roman"/>
          <w:sz w:val="32"/>
          <w:szCs w:val="32"/>
        </w:rPr>
      </w:pPr>
      <w:r>
        <w:rPr>
          <w:rFonts w:ascii="仿宋_GB2312" w:eastAsia="仿宋_GB2312" w:cs="仿宋_GB2312"/>
          <w:color w:val="000000"/>
          <w:sz w:val="32"/>
          <w:szCs w:val="32"/>
        </w:rPr>
        <w:t>4.</w:t>
      </w:r>
      <w:r>
        <w:rPr>
          <w:rFonts w:hint="eastAsia" w:ascii="仿宋_GB2312" w:eastAsia="仿宋_GB2312" w:cs="仿宋_GB2312"/>
          <w:color w:val="000000"/>
          <w:sz w:val="32"/>
          <w:szCs w:val="32"/>
        </w:rPr>
        <w:t>事业单位经营收入：</w:t>
      </w:r>
      <w:r>
        <w:rPr>
          <w:rFonts w:hint="eastAsia" w:ascii="仿宋_GB2312" w:eastAsia="仿宋_GB2312" w:cs="仿宋_GB2312"/>
          <w:sz w:val="32"/>
          <w:szCs w:val="32"/>
        </w:rPr>
        <w:t>事业单位在专业业务活动及辅助活动之外开展非独立核算经营活动取得的收入。</w:t>
      </w:r>
    </w:p>
    <w:p>
      <w:pPr>
        <w:pStyle w:val="16"/>
        <w:widowControl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5.</w:t>
      </w:r>
      <w:r>
        <w:rPr>
          <w:rFonts w:hint="eastAsia" w:ascii="仿宋_GB2312" w:eastAsia="仿宋_GB2312" w:cs="仿宋_GB2312"/>
          <w:color w:val="000000"/>
          <w:sz w:val="32"/>
          <w:szCs w:val="32"/>
        </w:rPr>
        <w:t>其他收入：</w:t>
      </w:r>
      <w:r>
        <w:rPr>
          <w:rFonts w:hint="eastAsia" w:ascii="仿宋_GB2312" w:eastAsia="仿宋_GB2312" w:cs="仿宋_GB2312"/>
          <w:sz w:val="32"/>
          <w:szCs w:val="32"/>
        </w:rPr>
        <w:t>预算单位在“一般公共预算”“政府性基金”“专户资金”“事业收入”“事业单位经营收入”等之外取得的各项收入（含上级补助收入和附属单位缴款等收入）。</w:t>
      </w:r>
    </w:p>
    <w:p>
      <w:pPr>
        <w:pStyle w:val="16"/>
        <w:widowControl w:val="0"/>
        <w:spacing w:line="600" w:lineRule="exact"/>
        <w:rPr>
          <w:rFonts w:eastAsia="仿宋_GB2312" w:cs="Times New Roman"/>
          <w:sz w:val="32"/>
          <w:szCs w:val="32"/>
        </w:rPr>
      </w:pPr>
      <w:r>
        <w:rPr>
          <w:rFonts w:ascii="仿宋_GB2312" w:eastAsia="仿宋_GB2312" w:cs="仿宋_GB2312"/>
          <w:color w:val="000000"/>
          <w:sz w:val="32"/>
          <w:szCs w:val="32"/>
        </w:rPr>
        <w:t xml:space="preserve">    6.</w:t>
      </w:r>
      <w:r>
        <w:rPr>
          <w:rFonts w:hint="eastAsia" w:ascii="仿宋_GB2312" w:eastAsia="仿宋_GB2312" w:cs="仿宋_GB2312"/>
          <w:color w:val="000000"/>
          <w:sz w:val="32"/>
          <w:szCs w:val="32"/>
        </w:rPr>
        <w:t>用事业基金弥补收支差额：指事业单位在预计用当年的“财政拨款收入”“专户资金”“事业收入”“事业单位经营收入”“其他收入”“上年结转”等不足以安排当年支出的情况下，使</w:t>
      </w:r>
      <w:r>
        <w:rPr>
          <w:rFonts w:hint="eastAsia" w:ascii="仿宋_GB2312" w:eastAsia="仿宋_GB2312" w:cs="仿宋_GB2312"/>
          <w:sz w:val="32"/>
          <w:szCs w:val="32"/>
        </w:rPr>
        <w:t>用以前年度积累的事业基金弥补本年收支缺口的资金。</w:t>
      </w:r>
    </w:p>
    <w:p>
      <w:pPr>
        <w:spacing w:line="600" w:lineRule="exact"/>
        <w:ind w:firstLine="640" w:firstLineChars="200"/>
        <w:rPr>
          <w:rFonts w:eastAsia="仿宋_GB2312"/>
          <w:sz w:val="32"/>
          <w:szCs w:val="32"/>
        </w:rPr>
      </w:pPr>
      <w:r>
        <w:rPr>
          <w:rFonts w:ascii="仿宋_GB2312" w:eastAsia="仿宋_GB2312" w:cs="仿宋_GB2312"/>
          <w:color w:val="000000"/>
          <w:sz w:val="32"/>
          <w:szCs w:val="32"/>
        </w:rPr>
        <w:t>7.</w:t>
      </w:r>
      <w:r>
        <w:rPr>
          <w:rFonts w:hint="eastAsia" w:ascii="仿宋_GB2312" w:eastAsia="仿宋_GB2312" w:cs="仿宋_GB2312"/>
          <w:sz w:val="32"/>
          <w:szCs w:val="32"/>
        </w:rPr>
        <w:t>上年结转：指以前年度尚未完成、结转到本年仍按原规定用途继续使用的资金。</w:t>
      </w:r>
    </w:p>
    <w:p>
      <w:pPr>
        <w:spacing w:line="600" w:lineRule="exact"/>
        <w:ind w:firstLine="640" w:firstLineChars="200"/>
        <w:rPr>
          <w:rFonts w:ascii="仿宋_GB2312" w:eastAsia="仿宋_GB2312"/>
          <w:sz w:val="32"/>
          <w:szCs w:val="32"/>
        </w:rPr>
      </w:pPr>
      <w:r>
        <w:rPr>
          <w:rFonts w:ascii="仿宋_GB2312" w:eastAsia="仿宋_GB2312" w:cs="仿宋_GB2312"/>
          <w:sz w:val="32"/>
          <w:szCs w:val="32"/>
        </w:rPr>
        <w:t>8.</w:t>
      </w:r>
      <w:r>
        <w:rPr>
          <w:rFonts w:hint="eastAsia" w:ascii="仿宋_GB2312" w:eastAsia="仿宋_GB2312" w:cs="仿宋_GB2312"/>
          <w:sz w:val="32"/>
          <w:szCs w:val="32"/>
        </w:rPr>
        <w:t>基本支出：是预算单位为保障其正常运转，完成日常工作任务所发生的支出，包括人员支出和日常公用支出。</w:t>
      </w:r>
    </w:p>
    <w:p>
      <w:pPr>
        <w:spacing w:line="600" w:lineRule="exact"/>
        <w:ind w:firstLine="640" w:firstLineChars="200"/>
        <w:rPr>
          <w:rFonts w:ascii="仿宋_GB2312" w:eastAsia="仿宋_GB2312"/>
          <w:sz w:val="32"/>
          <w:szCs w:val="32"/>
        </w:rPr>
      </w:pPr>
      <w:r>
        <w:rPr>
          <w:rFonts w:ascii="仿宋_GB2312" w:eastAsia="仿宋_GB2312" w:cs="仿宋_GB2312"/>
          <w:sz w:val="32"/>
          <w:szCs w:val="32"/>
        </w:rPr>
        <w:t>9.</w:t>
      </w:r>
      <w:r>
        <w:rPr>
          <w:rFonts w:hint="eastAsia" w:ascii="仿宋_GB2312" w:eastAsia="仿宋_GB2312" w:cs="仿宋_GB2312"/>
          <w:sz w:val="32"/>
          <w:szCs w:val="32"/>
        </w:rPr>
        <w:t>项目支出：是预算单位为完成其特定的行政工作任务或事业发展目标所发生的支出。</w:t>
      </w:r>
    </w:p>
    <w:p>
      <w:pPr>
        <w:spacing w:line="600" w:lineRule="exact"/>
        <w:ind w:firstLine="640" w:firstLineChars="200"/>
        <w:rPr>
          <w:rFonts w:ascii="仿宋_GB2312" w:eastAsia="仿宋_GB2312"/>
          <w:sz w:val="32"/>
          <w:szCs w:val="32"/>
        </w:rPr>
      </w:pPr>
      <w:r>
        <w:rPr>
          <w:rFonts w:ascii="仿宋_GB2312" w:eastAsia="仿宋_GB2312" w:cs="仿宋_GB2312"/>
          <w:sz w:val="32"/>
          <w:szCs w:val="32"/>
        </w:rPr>
        <w:t>10</w:t>
      </w:r>
      <w:r>
        <w:rPr>
          <w:rFonts w:hint="eastAsia" w:ascii="仿宋_GB2312" w:eastAsia="仿宋_GB2312" w:cs="仿宋_GB2312"/>
          <w:sz w:val="32"/>
          <w:szCs w:val="32"/>
        </w:rPr>
        <w:t>、经营支出：指事业单位在专业业务活动及其辅助活动之外开展非独立核算经营活动发生的支出。</w:t>
      </w:r>
    </w:p>
    <w:p>
      <w:pPr>
        <w:spacing w:line="600" w:lineRule="exact"/>
        <w:ind w:firstLine="640" w:firstLineChars="200"/>
        <w:rPr>
          <w:rFonts w:ascii="仿宋_GB2312" w:eastAsia="仿宋_GB2312"/>
          <w:sz w:val="32"/>
          <w:szCs w:val="32"/>
        </w:rPr>
      </w:pPr>
      <w:r>
        <w:rPr>
          <w:rFonts w:ascii="仿宋_GB2312" w:eastAsia="仿宋_GB2312" w:cs="仿宋_GB2312"/>
          <w:color w:val="000000"/>
          <w:sz w:val="32"/>
          <w:szCs w:val="32"/>
        </w:rPr>
        <w:t>11.</w:t>
      </w:r>
      <w:r>
        <w:rPr>
          <w:rFonts w:hint="eastAsia" w:ascii="仿宋_GB2312" w:eastAsia="仿宋_GB2312" w:cs="仿宋_GB2312"/>
          <w:sz w:val="32"/>
          <w:szCs w:val="32"/>
        </w:rPr>
        <w:t>机关运行经费：机关运行经费是</w:t>
      </w:r>
      <w:r>
        <w:rPr>
          <w:rFonts w:hint="eastAsia" w:ascii="仿宋_GB2312" w:eastAsia="仿宋_GB2312" w:cs="仿宋_GB2312"/>
          <w:color w:val="000000"/>
          <w:sz w:val="32"/>
          <w:szCs w:val="32"/>
        </w:rPr>
        <w:t>指各部门机关及参公单位的公用经费，包括办公及印刷费、水电费、邮电</w:t>
      </w:r>
      <w:r>
        <w:rPr>
          <w:rFonts w:hint="eastAsia" w:ascii="仿宋_GB2312" w:eastAsia="仿宋_GB2312" w:cs="仿宋_GB2312"/>
          <w:sz w:val="32"/>
          <w:szCs w:val="32"/>
        </w:rPr>
        <w:t>费、差旅费、会议费、福利费、物业管理费、日常维修费、专用材料费、日常办公设备购置费、公务用车运行维护费以及其他费用（其他交通费用、其他商品和服务支出）。</w:t>
      </w:r>
    </w:p>
    <w:p>
      <w:pPr>
        <w:pStyle w:val="17"/>
        <w:spacing w:line="600" w:lineRule="exact"/>
        <w:ind w:firstLine="640" w:firstLineChars="200"/>
        <w:jc w:val="both"/>
        <w:rPr>
          <w:rFonts w:cs="Times New Roman"/>
          <w:sz w:val="32"/>
          <w:szCs w:val="32"/>
        </w:rPr>
      </w:pPr>
      <w:r>
        <w:rPr>
          <w:sz w:val="32"/>
          <w:szCs w:val="32"/>
        </w:rPr>
        <w:t>13.</w:t>
      </w:r>
      <w:r>
        <w:rPr>
          <w:rFonts w:hint="eastAsia"/>
          <w:sz w:val="32"/>
          <w:szCs w:val="32"/>
        </w:rPr>
        <w:t>社会保障和就业支出（类）行政事业单位养老支出（款）机关事业单位基本养老保险缴费支出（项）：指机关事业单位实施养老保险制度由单位缴纳的基本养老保险费支出。</w:t>
      </w:r>
    </w:p>
    <w:p>
      <w:pPr>
        <w:pStyle w:val="17"/>
        <w:spacing w:line="600" w:lineRule="exact"/>
        <w:ind w:firstLine="640" w:firstLineChars="200"/>
        <w:jc w:val="both"/>
        <w:rPr>
          <w:rFonts w:cs="Times New Roman"/>
          <w:sz w:val="32"/>
          <w:szCs w:val="32"/>
        </w:rPr>
      </w:pPr>
      <w:r>
        <w:rPr>
          <w:sz w:val="32"/>
          <w:szCs w:val="32"/>
        </w:rPr>
        <w:t>14.</w:t>
      </w:r>
      <w:r>
        <w:rPr>
          <w:rFonts w:hint="eastAsia"/>
          <w:sz w:val="32"/>
          <w:szCs w:val="32"/>
        </w:rPr>
        <w:t>社会保障和就业支出（类）行政事业单位养老支出（款）机关事业单位职业年金缴费支出（项）：指机关事业单位实施养老保险制度由单位实际缴纳的职业年金支出。</w:t>
      </w:r>
    </w:p>
    <w:p>
      <w:pPr>
        <w:pStyle w:val="17"/>
        <w:spacing w:line="600" w:lineRule="exact"/>
        <w:ind w:firstLine="640" w:firstLineChars="200"/>
        <w:jc w:val="both"/>
        <w:rPr>
          <w:rFonts w:cs="Times New Roman"/>
          <w:sz w:val="32"/>
          <w:szCs w:val="32"/>
        </w:rPr>
      </w:pPr>
      <w:r>
        <w:rPr>
          <w:sz w:val="32"/>
          <w:szCs w:val="32"/>
        </w:rPr>
        <w:t>15.</w:t>
      </w:r>
      <w:r>
        <w:rPr>
          <w:rFonts w:hint="eastAsia"/>
          <w:sz w:val="32"/>
          <w:szCs w:val="32"/>
        </w:rPr>
        <w:t>节能环保支出（类）自然生态保护（款）农村环境保护（项）：指用于农村环境保护方案的支出。有关事项包括：农村环境综合整治，如生活垃圾、污水处理、农村饮用水源地监测与保护等；小城镇环境保护，如小城镇环境保护能力建设及环境基础设施建设，环境优美乡镇及生态村创建等；农用化学品（化肥、农药、农膜等）污染防治、畜禽养殖污染防治、土壤污染防治；农产品产地环境监测与监管；农村环境保护能力建设、宣教、试点示范等。</w:t>
      </w:r>
    </w:p>
    <w:p>
      <w:pPr>
        <w:pStyle w:val="17"/>
        <w:spacing w:line="600" w:lineRule="exact"/>
        <w:ind w:firstLine="640" w:firstLineChars="200"/>
        <w:jc w:val="both"/>
        <w:rPr>
          <w:rFonts w:cs="Times New Roman"/>
          <w:sz w:val="32"/>
          <w:szCs w:val="32"/>
        </w:rPr>
      </w:pPr>
      <w:r>
        <w:rPr>
          <w:sz w:val="32"/>
          <w:szCs w:val="32"/>
        </w:rPr>
        <w:t>16.</w:t>
      </w:r>
      <w:r>
        <w:rPr>
          <w:rFonts w:hint="eastAsia"/>
          <w:sz w:val="32"/>
          <w:szCs w:val="32"/>
        </w:rPr>
        <w:t>城乡社区支出（类）城乡社区管理事务（款）行政运行（项）：指行政单位（包括实行公务员管理的事业单位）的基本支出。</w:t>
      </w:r>
    </w:p>
    <w:p>
      <w:pPr>
        <w:pStyle w:val="17"/>
        <w:spacing w:line="600" w:lineRule="exact"/>
        <w:ind w:firstLine="640" w:firstLineChars="200"/>
        <w:jc w:val="both"/>
        <w:rPr>
          <w:rFonts w:cs="Times New Roman"/>
          <w:sz w:val="32"/>
          <w:szCs w:val="32"/>
        </w:rPr>
      </w:pPr>
      <w:r>
        <w:rPr>
          <w:sz w:val="32"/>
          <w:szCs w:val="32"/>
        </w:rPr>
        <w:t>17.</w:t>
      </w:r>
      <w:r>
        <w:rPr>
          <w:rFonts w:hint="eastAsia"/>
          <w:sz w:val="32"/>
          <w:szCs w:val="32"/>
        </w:rPr>
        <w:t>城乡社区支出（类）城乡社区管理事务（款）其他城乡社区管理事务支出（项）</w:t>
      </w:r>
      <w:r>
        <w:rPr>
          <w:sz w:val="32"/>
          <w:szCs w:val="32"/>
        </w:rPr>
        <w:t>:</w:t>
      </w:r>
      <w:r>
        <w:rPr>
          <w:rFonts w:hint="eastAsia"/>
          <w:sz w:val="32"/>
          <w:szCs w:val="32"/>
        </w:rPr>
        <w:t>指除行政运行、一般行政管理事务、机关服务、城管执法、工程建设标准规范编制与监管、工程建设管理、市政公用行业市场监管、住宅建设与房地产市场监管、执业资格注册、资质审查项目以外其他用于城乡社区管理事务方面的支出。</w:t>
      </w:r>
    </w:p>
    <w:p>
      <w:pPr>
        <w:pStyle w:val="17"/>
        <w:spacing w:line="600" w:lineRule="exact"/>
        <w:ind w:firstLine="640" w:firstLineChars="200"/>
        <w:jc w:val="both"/>
        <w:rPr>
          <w:rFonts w:cs="Times New Roman"/>
          <w:sz w:val="32"/>
          <w:szCs w:val="32"/>
        </w:rPr>
      </w:pPr>
      <w:r>
        <w:rPr>
          <w:sz w:val="32"/>
          <w:szCs w:val="32"/>
        </w:rPr>
        <w:t>18.</w:t>
      </w:r>
      <w:r>
        <w:rPr>
          <w:rFonts w:hint="eastAsia"/>
          <w:sz w:val="32"/>
          <w:szCs w:val="32"/>
        </w:rPr>
        <w:t>城乡社区支出（类）城乡社区规划与管理（款）城乡社区规划与管理（项）：指城乡社区、防灾减灾、历史名城规划制定与管理等方面的支出。</w:t>
      </w:r>
    </w:p>
    <w:p>
      <w:pPr>
        <w:pStyle w:val="17"/>
        <w:spacing w:line="600" w:lineRule="exact"/>
        <w:ind w:firstLine="640" w:firstLineChars="200"/>
        <w:jc w:val="both"/>
        <w:rPr>
          <w:rFonts w:cs="Times New Roman"/>
          <w:sz w:val="32"/>
          <w:szCs w:val="32"/>
        </w:rPr>
      </w:pPr>
      <w:r>
        <w:rPr>
          <w:sz w:val="32"/>
          <w:szCs w:val="32"/>
        </w:rPr>
        <w:t>19.</w:t>
      </w:r>
      <w:r>
        <w:rPr>
          <w:rFonts w:hint="eastAsia"/>
          <w:sz w:val="32"/>
          <w:szCs w:val="32"/>
        </w:rPr>
        <w:t>城乡社区支出（类）城乡社区公共设施（款）其他城乡社区公共设施支出（项）：指除小城镇基础设施建设以外的其他用于城乡社区公共设施方面的支出。</w:t>
      </w:r>
    </w:p>
    <w:p>
      <w:pPr>
        <w:pStyle w:val="17"/>
        <w:spacing w:line="600" w:lineRule="exact"/>
        <w:ind w:firstLine="640" w:firstLineChars="200"/>
        <w:jc w:val="both"/>
        <w:rPr>
          <w:rFonts w:cs="Times New Roman"/>
          <w:sz w:val="32"/>
          <w:szCs w:val="32"/>
        </w:rPr>
      </w:pPr>
      <w:r>
        <w:rPr>
          <w:sz w:val="32"/>
          <w:szCs w:val="32"/>
        </w:rPr>
        <w:t>20.</w:t>
      </w:r>
      <w:r>
        <w:rPr>
          <w:rFonts w:hint="eastAsia"/>
          <w:sz w:val="32"/>
          <w:szCs w:val="32"/>
        </w:rPr>
        <w:t>城乡社区支出（类）城乡社区环境卫生（款）城乡社区环境卫生（项）：指城乡社区道路清扫、垃圾清运与处理、公厕建设与维护、园林绿化等方面的支出。</w:t>
      </w:r>
    </w:p>
    <w:p>
      <w:pPr>
        <w:pStyle w:val="17"/>
        <w:spacing w:line="600" w:lineRule="exact"/>
        <w:ind w:firstLine="640" w:firstLineChars="200"/>
        <w:jc w:val="both"/>
        <w:rPr>
          <w:rFonts w:cs="Times New Roman"/>
          <w:sz w:val="32"/>
          <w:szCs w:val="32"/>
        </w:rPr>
      </w:pPr>
      <w:r>
        <w:rPr>
          <w:sz w:val="32"/>
          <w:szCs w:val="32"/>
        </w:rPr>
        <w:t>21.</w:t>
      </w:r>
      <w:r>
        <w:rPr>
          <w:rFonts w:hint="eastAsia"/>
          <w:sz w:val="32"/>
          <w:szCs w:val="32"/>
        </w:rPr>
        <w:t>城乡社区支出（类）建设市场管理与监督（款）建设市场管理与监督（项）：指各类建筑工程强制性和推荐性标准及规范的制定与修改、建筑工程招投标等市场管理、建筑工程质量安全监督等方面的支出。</w:t>
      </w:r>
    </w:p>
    <w:p>
      <w:pPr>
        <w:pStyle w:val="17"/>
        <w:spacing w:line="600" w:lineRule="exact"/>
        <w:ind w:firstLine="640" w:firstLineChars="200"/>
        <w:jc w:val="both"/>
        <w:rPr>
          <w:rFonts w:cs="Times New Roman"/>
          <w:sz w:val="32"/>
          <w:szCs w:val="32"/>
        </w:rPr>
      </w:pPr>
      <w:r>
        <w:rPr>
          <w:sz w:val="32"/>
          <w:szCs w:val="32"/>
        </w:rPr>
        <w:t>22.</w:t>
      </w:r>
      <w:r>
        <w:rPr>
          <w:rFonts w:hint="eastAsia"/>
          <w:sz w:val="32"/>
          <w:szCs w:val="32"/>
        </w:rPr>
        <w:t>城乡社区支出（类）其他城乡社区支出（款）其他城乡社区支出（项）：指除城乡管理事务、城乡社区规划与管理、城乡社区环境卫生、建设市场管理与监督等以外其他用于城乡社区方面的支出。</w:t>
      </w:r>
    </w:p>
    <w:p>
      <w:pPr>
        <w:pStyle w:val="17"/>
        <w:spacing w:line="600" w:lineRule="exact"/>
        <w:ind w:firstLine="640" w:firstLineChars="200"/>
        <w:jc w:val="both"/>
        <w:rPr>
          <w:rFonts w:hAnsi="??" w:cs="Times New Roman"/>
          <w:sz w:val="32"/>
          <w:szCs w:val="32"/>
        </w:rPr>
      </w:pPr>
      <w:r>
        <w:rPr>
          <w:sz w:val="32"/>
          <w:szCs w:val="32"/>
        </w:rPr>
        <w:t>23.</w:t>
      </w:r>
      <w:r>
        <w:rPr>
          <w:rFonts w:hint="eastAsia" w:hAnsi="??"/>
          <w:sz w:val="32"/>
          <w:szCs w:val="32"/>
        </w:rPr>
        <w:t>城乡社区支出（类）国有土地使用权出让收入安排的支出（款）廉租住房支出（项）：指从土地出让收入中安排用于城镇廉租住房建设和保障方面的支出。</w:t>
      </w:r>
    </w:p>
    <w:p>
      <w:pPr>
        <w:pStyle w:val="17"/>
        <w:spacing w:line="600" w:lineRule="exact"/>
        <w:ind w:firstLine="640" w:firstLineChars="200"/>
        <w:jc w:val="both"/>
        <w:rPr>
          <w:rFonts w:hAnsi="??" w:cs="Times New Roman"/>
          <w:sz w:val="32"/>
          <w:szCs w:val="32"/>
        </w:rPr>
      </w:pPr>
      <w:r>
        <w:rPr>
          <w:rFonts w:hAnsi="??"/>
          <w:sz w:val="32"/>
          <w:szCs w:val="32"/>
        </w:rPr>
        <w:t>24.</w:t>
      </w:r>
      <w:r>
        <w:rPr>
          <w:rFonts w:hint="eastAsia" w:hAnsi="??"/>
          <w:sz w:val="32"/>
          <w:szCs w:val="32"/>
        </w:rPr>
        <w:t>城乡社区支出（类）国有土地使用权出让收入安排的支出（款）其他国有土地使用权出让收入安排的支出（项）：指土地出让收入用于其他方面的支出。不包括市县级政府当年按规定用土地出让收入向中央和省级政府缴纳的新增建设用地有偿使用费的支出。</w:t>
      </w:r>
    </w:p>
    <w:p>
      <w:pPr>
        <w:pStyle w:val="17"/>
        <w:spacing w:line="600" w:lineRule="exact"/>
        <w:ind w:firstLine="640" w:firstLineChars="200"/>
        <w:jc w:val="both"/>
        <w:rPr>
          <w:rFonts w:hAnsi="??" w:cs="Times New Roman"/>
          <w:sz w:val="32"/>
          <w:szCs w:val="32"/>
        </w:rPr>
      </w:pPr>
      <w:r>
        <w:rPr>
          <w:rFonts w:hAnsi="??"/>
          <w:sz w:val="32"/>
          <w:szCs w:val="32"/>
        </w:rPr>
        <w:t>25.</w:t>
      </w:r>
      <w:r>
        <w:rPr>
          <w:rFonts w:hint="eastAsia" w:hAnsi="??"/>
          <w:sz w:val="32"/>
          <w:szCs w:val="32"/>
        </w:rPr>
        <w:t>城乡社区支出（类）城市基础设施配套费安排的支出（款）其他城市基础设施配套费安排的支出（项）：指除城市公共设施、城市环境卫生、公有房屋、城市防洪等项目外的城市基础设施配套费支出。</w:t>
      </w:r>
    </w:p>
    <w:p>
      <w:pPr>
        <w:spacing w:line="610" w:lineRule="exact"/>
        <w:rPr>
          <w:rFonts w:ascii="黑体" w:hAnsi="黑体" w:eastAsia="黑体"/>
          <w:spacing w:val="15"/>
          <w:sz w:val="32"/>
          <w:szCs w:val="32"/>
        </w:rPr>
      </w:pPr>
    </w:p>
    <w:p>
      <w:pPr>
        <w:spacing w:line="610" w:lineRule="exact"/>
        <w:rPr>
          <w:rFonts w:ascii="黑体" w:hAnsi="黑体" w:eastAsia="黑体"/>
          <w:spacing w:val="15"/>
          <w:sz w:val="32"/>
          <w:szCs w:val="32"/>
        </w:rPr>
      </w:pPr>
    </w:p>
    <w:p>
      <w:pPr>
        <w:spacing w:line="610" w:lineRule="exact"/>
        <w:rPr>
          <w:rFonts w:ascii="黑体" w:hAnsi="黑体" w:eastAsia="黑体"/>
          <w:spacing w:val="15"/>
          <w:sz w:val="32"/>
          <w:szCs w:val="32"/>
        </w:rPr>
      </w:pPr>
    </w:p>
    <w:p>
      <w:pPr>
        <w:spacing w:line="610" w:lineRule="exact"/>
        <w:rPr>
          <w:rFonts w:ascii="仿宋_GB2312" w:hAnsi="黑体" w:eastAsia="仿宋_GB2312" w:cs="仿宋_GB2312"/>
          <w:sz w:val="32"/>
          <w:szCs w:val="32"/>
        </w:rPr>
      </w:pPr>
      <w:r>
        <w:rPr>
          <w:rFonts w:hint="eastAsia" w:ascii="仿宋_GB2312" w:hAnsi="黑体" w:eastAsia="仿宋_GB2312" w:cs="仿宋_GB2312"/>
          <w:sz w:val="32"/>
          <w:szCs w:val="32"/>
        </w:rPr>
        <w:t>附件</w:t>
      </w:r>
      <w:r>
        <w:rPr>
          <w:rFonts w:ascii="仿宋_GB2312" w:hAnsi="黑体" w:eastAsia="仿宋_GB2312" w:cs="仿宋_GB2312"/>
          <w:sz w:val="32"/>
          <w:szCs w:val="32"/>
        </w:rPr>
        <w:t>1</w:t>
      </w:r>
    </w:p>
    <w:p>
      <w:pPr>
        <w:spacing w:line="610" w:lineRule="exact"/>
        <w:jc w:val="center"/>
        <w:rPr>
          <w:rFonts w:hAnsi="宋体"/>
        </w:rPr>
      </w:pPr>
      <w:r>
        <w:rPr>
          <w:rFonts w:ascii="方正小标宋简体" w:hAnsi="Arial" w:eastAsia="方正小标宋简体" w:cs="方正小标宋简体"/>
          <w:sz w:val="36"/>
          <w:szCs w:val="36"/>
        </w:rPr>
        <w:t>2021</w:t>
      </w:r>
      <w:r>
        <w:rPr>
          <w:rFonts w:hint="eastAsia" w:ascii="方正小标宋简体" w:hAnsi="Arial" w:eastAsia="方正小标宋简体" w:cs="方正小标宋简体"/>
          <w:sz w:val="36"/>
          <w:szCs w:val="36"/>
        </w:rPr>
        <w:t>年部门（单位）收支预算总表</w:t>
      </w:r>
      <w:r>
        <w:rPr>
          <w:rFonts w:ascii="方正小标宋简体" w:hAnsi="Arial" w:eastAsia="方正小标宋简体" w:cs="方正小标宋简体"/>
          <w:sz w:val="36"/>
          <w:szCs w:val="36"/>
        </w:rPr>
        <w:t>(</w:t>
      </w:r>
      <w:r>
        <w:rPr>
          <w:rFonts w:hint="eastAsia" w:ascii="方正小标宋简体" w:hAnsi="Arial" w:eastAsia="方正小标宋简体" w:cs="方正小标宋简体"/>
          <w:sz w:val="36"/>
          <w:szCs w:val="36"/>
        </w:rPr>
        <w:t>表</w:t>
      </w:r>
      <w:r>
        <w:rPr>
          <w:rFonts w:ascii="方正小标宋简体" w:hAnsi="Arial" w:eastAsia="方正小标宋简体" w:cs="方正小标宋简体"/>
          <w:sz w:val="36"/>
          <w:szCs w:val="36"/>
        </w:rPr>
        <w:t>01)</w:t>
      </w:r>
      <w:r>
        <w:rPr>
          <w:rFonts w:hAnsi="宋体"/>
        </w:rPr>
        <w:t xml:space="preserve"> </w:t>
      </w:r>
    </w:p>
    <w:p>
      <w:pPr>
        <w:spacing w:line="610" w:lineRule="exact"/>
        <w:rPr>
          <w:rFonts w:ascii="方正小标宋简体" w:hAnsi="黑体" w:eastAsia="方正小标宋简体"/>
          <w:sz w:val="32"/>
          <w:szCs w:val="32"/>
        </w:rPr>
      </w:pPr>
      <w:r>
        <w:rPr>
          <w:rFonts w:hint="eastAsia" w:hAnsi="宋体" w:cs="宋体"/>
        </w:rPr>
        <w:t>单位：温岭市住房和城乡建设局</w:t>
      </w:r>
      <w:r>
        <w:rPr>
          <w:rFonts w:hAnsi="宋体"/>
        </w:rPr>
        <w:t xml:space="preserve">                                               </w:t>
      </w:r>
      <w:r>
        <w:rPr>
          <w:rFonts w:hint="eastAsia" w:hAnsi="宋体" w:cs="宋体"/>
        </w:rPr>
        <w:t>单位：元</w:t>
      </w:r>
    </w:p>
    <w:tbl>
      <w:tblPr>
        <w:tblStyle w:val="7"/>
        <w:tblW w:w="9279" w:type="dxa"/>
        <w:jc w:val="center"/>
        <w:tblInd w:w="0" w:type="dxa"/>
        <w:tblLayout w:type="fixed"/>
        <w:tblCellMar>
          <w:top w:w="0" w:type="dxa"/>
          <w:left w:w="108" w:type="dxa"/>
          <w:bottom w:w="0" w:type="dxa"/>
          <w:right w:w="108" w:type="dxa"/>
        </w:tblCellMar>
      </w:tblPr>
      <w:tblGrid>
        <w:gridCol w:w="2756"/>
        <w:gridCol w:w="1582"/>
        <w:gridCol w:w="3051"/>
        <w:gridCol w:w="1890"/>
      </w:tblGrid>
      <w:tr>
        <w:tblPrEx>
          <w:tblLayout w:type="fixed"/>
          <w:tblCellMar>
            <w:top w:w="0" w:type="dxa"/>
            <w:left w:w="108" w:type="dxa"/>
            <w:bottom w:w="0" w:type="dxa"/>
            <w:right w:w="108" w:type="dxa"/>
          </w:tblCellMar>
        </w:tblPrEx>
        <w:trPr>
          <w:trHeight w:val="439" w:hRule="atLeast"/>
          <w:jc w:val="center"/>
        </w:trPr>
        <w:tc>
          <w:tcPr>
            <w:tcW w:w="4338" w:type="dxa"/>
            <w:gridSpan w:val="2"/>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hAnsi="宋体" w:cs="宋体"/>
                <w:b/>
                <w:bCs/>
              </w:rPr>
              <w:t>收</w:t>
            </w:r>
            <w:r>
              <w:rPr>
                <w:b/>
                <w:bCs/>
              </w:rPr>
              <w:t xml:space="preserve">    </w:t>
            </w:r>
            <w:r>
              <w:rPr>
                <w:rFonts w:hint="eastAsia" w:hAnsi="宋体" w:cs="宋体"/>
                <w:b/>
                <w:bCs/>
              </w:rPr>
              <w:t>入</w:t>
            </w:r>
          </w:p>
        </w:tc>
        <w:tc>
          <w:tcPr>
            <w:tcW w:w="4941" w:type="dxa"/>
            <w:gridSpan w:val="2"/>
            <w:tcBorders>
              <w:top w:val="single" w:color="auto" w:sz="4" w:space="0"/>
              <w:left w:val="nil"/>
              <w:bottom w:val="single" w:color="auto" w:sz="4" w:space="0"/>
              <w:right w:val="single" w:color="auto" w:sz="4" w:space="0"/>
            </w:tcBorders>
            <w:vAlign w:val="center"/>
          </w:tcPr>
          <w:p>
            <w:pPr>
              <w:jc w:val="center"/>
              <w:rPr>
                <w:b/>
                <w:bCs/>
              </w:rPr>
            </w:pPr>
            <w:r>
              <w:rPr>
                <w:rFonts w:hint="eastAsia" w:hAnsi="宋体" w:cs="宋体"/>
                <w:b/>
                <w:bCs/>
              </w:rPr>
              <w:t>支</w:t>
            </w:r>
            <w:r>
              <w:rPr>
                <w:b/>
                <w:bCs/>
              </w:rPr>
              <w:t xml:space="preserve">    </w:t>
            </w:r>
            <w:r>
              <w:rPr>
                <w:rFonts w:hint="eastAsia" w:hAnsi="宋体" w:cs="宋体"/>
                <w:b/>
                <w:bCs/>
              </w:rPr>
              <w:t>出</w:t>
            </w:r>
          </w:p>
        </w:tc>
      </w:tr>
      <w:tr>
        <w:tblPrEx>
          <w:tblLayout w:type="fixed"/>
          <w:tblCellMar>
            <w:top w:w="0" w:type="dxa"/>
            <w:left w:w="108" w:type="dxa"/>
            <w:bottom w:w="0" w:type="dxa"/>
            <w:right w:w="108" w:type="dxa"/>
          </w:tblCellMar>
        </w:tblPrEx>
        <w:trPr>
          <w:trHeight w:val="439" w:hRule="atLeast"/>
          <w:jc w:val="center"/>
        </w:trPr>
        <w:tc>
          <w:tcPr>
            <w:tcW w:w="2756"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hAnsi="宋体" w:cs="宋体"/>
                <w:b/>
                <w:bCs/>
              </w:rPr>
              <w:t>项</w:t>
            </w:r>
            <w:r>
              <w:rPr>
                <w:b/>
                <w:bCs/>
              </w:rPr>
              <w:t xml:space="preserve">    </w:t>
            </w:r>
            <w:r>
              <w:rPr>
                <w:rFonts w:hint="eastAsia" w:hAnsi="宋体" w:cs="宋体"/>
                <w:b/>
                <w:bCs/>
              </w:rPr>
              <w:t>目</w:t>
            </w:r>
          </w:p>
        </w:tc>
        <w:tc>
          <w:tcPr>
            <w:tcW w:w="1582" w:type="dxa"/>
            <w:tcBorders>
              <w:top w:val="single" w:color="auto" w:sz="4" w:space="0"/>
              <w:left w:val="nil"/>
              <w:bottom w:val="single" w:color="auto" w:sz="4" w:space="0"/>
              <w:right w:val="single" w:color="auto" w:sz="4" w:space="0"/>
            </w:tcBorders>
            <w:vAlign w:val="center"/>
          </w:tcPr>
          <w:p>
            <w:pPr>
              <w:jc w:val="center"/>
              <w:rPr>
                <w:b/>
                <w:bCs/>
              </w:rPr>
            </w:pPr>
            <w:r>
              <w:rPr>
                <w:rFonts w:hint="eastAsia" w:hAnsi="宋体" w:cs="宋体"/>
                <w:b/>
                <w:bCs/>
              </w:rPr>
              <w:t>年初预算</w:t>
            </w:r>
          </w:p>
        </w:tc>
        <w:tc>
          <w:tcPr>
            <w:tcW w:w="3051" w:type="dxa"/>
            <w:tcBorders>
              <w:top w:val="single" w:color="auto" w:sz="4" w:space="0"/>
              <w:left w:val="nil"/>
              <w:bottom w:val="single" w:color="auto" w:sz="4" w:space="0"/>
              <w:right w:val="single" w:color="auto" w:sz="4" w:space="0"/>
            </w:tcBorders>
            <w:vAlign w:val="center"/>
          </w:tcPr>
          <w:p>
            <w:pPr>
              <w:jc w:val="center"/>
              <w:rPr>
                <w:b/>
                <w:bCs/>
              </w:rPr>
            </w:pPr>
            <w:r>
              <w:rPr>
                <w:rFonts w:hint="eastAsia" w:hAnsi="宋体" w:cs="宋体"/>
                <w:b/>
                <w:bCs/>
              </w:rPr>
              <w:t>项</w:t>
            </w:r>
            <w:r>
              <w:rPr>
                <w:b/>
                <w:bCs/>
              </w:rPr>
              <w:t xml:space="preserve">    </w:t>
            </w:r>
            <w:r>
              <w:rPr>
                <w:rFonts w:hint="eastAsia" w:hAnsi="宋体" w:cs="宋体"/>
                <w:b/>
                <w:bCs/>
              </w:rPr>
              <w:t>目</w:t>
            </w:r>
          </w:p>
        </w:tc>
        <w:tc>
          <w:tcPr>
            <w:tcW w:w="1890" w:type="dxa"/>
            <w:tcBorders>
              <w:top w:val="single" w:color="auto" w:sz="4" w:space="0"/>
              <w:left w:val="nil"/>
              <w:bottom w:val="single" w:color="auto" w:sz="4" w:space="0"/>
              <w:right w:val="single" w:color="auto" w:sz="4" w:space="0"/>
            </w:tcBorders>
            <w:vAlign w:val="center"/>
          </w:tcPr>
          <w:p>
            <w:pPr>
              <w:jc w:val="center"/>
              <w:rPr>
                <w:b/>
                <w:bCs/>
              </w:rPr>
            </w:pPr>
            <w:r>
              <w:rPr>
                <w:rFonts w:hint="eastAsia" w:hAnsi="宋体" w:cs="宋体"/>
                <w:b/>
                <w:bCs/>
              </w:rPr>
              <w:t>年初预算</w:t>
            </w:r>
          </w:p>
        </w:tc>
      </w:tr>
      <w:tr>
        <w:tblPrEx>
          <w:tblLayout w:type="fixed"/>
          <w:tblCellMar>
            <w:top w:w="0" w:type="dxa"/>
            <w:left w:w="108" w:type="dxa"/>
            <w:bottom w:w="0" w:type="dxa"/>
            <w:right w:w="108" w:type="dxa"/>
          </w:tblCellMar>
        </w:tblPrEx>
        <w:trPr>
          <w:trHeight w:val="439" w:hRule="atLeast"/>
          <w:jc w:val="center"/>
        </w:trPr>
        <w:tc>
          <w:tcPr>
            <w:tcW w:w="2756"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hAnsi="宋体" w:cs="宋体"/>
              </w:rPr>
              <w:t>一般公共预算拨款</w:t>
            </w:r>
          </w:p>
        </w:tc>
        <w:tc>
          <w:tcPr>
            <w:tcW w:w="1582" w:type="dxa"/>
            <w:tcBorders>
              <w:top w:val="single" w:color="auto" w:sz="4" w:space="0"/>
              <w:left w:val="nil"/>
              <w:bottom w:val="single" w:color="auto" w:sz="4" w:space="0"/>
              <w:right w:val="single" w:color="auto" w:sz="4" w:space="0"/>
            </w:tcBorders>
            <w:vAlign w:val="center"/>
          </w:tcPr>
          <w:p>
            <w:pPr>
              <w:jc w:val="right"/>
            </w:pPr>
            <w:r>
              <w:t>139192428.84</w:t>
            </w:r>
          </w:p>
        </w:tc>
        <w:tc>
          <w:tcPr>
            <w:tcW w:w="3051" w:type="dxa"/>
            <w:tcBorders>
              <w:top w:val="single" w:color="auto" w:sz="4" w:space="0"/>
              <w:left w:val="nil"/>
              <w:bottom w:val="single" w:color="auto" w:sz="4" w:space="0"/>
              <w:right w:val="single" w:color="auto" w:sz="4" w:space="0"/>
            </w:tcBorders>
            <w:vAlign w:val="center"/>
          </w:tcPr>
          <w:p>
            <w:pPr>
              <w:jc w:val="left"/>
            </w:pPr>
            <w:r>
              <w:rPr>
                <w:rFonts w:hint="eastAsia" w:hAnsi="宋体" w:cs="宋体"/>
              </w:rPr>
              <w:t>基本支出</w:t>
            </w:r>
          </w:p>
        </w:tc>
        <w:tc>
          <w:tcPr>
            <w:tcW w:w="1890" w:type="dxa"/>
            <w:tcBorders>
              <w:top w:val="single" w:color="auto" w:sz="4" w:space="0"/>
              <w:left w:val="nil"/>
              <w:bottom w:val="single" w:color="auto" w:sz="4" w:space="0"/>
              <w:right w:val="single" w:color="auto" w:sz="4" w:space="0"/>
            </w:tcBorders>
            <w:vAlign w:val="center"/>
          </w:tcPr>
          <w:p>
            <w:pPr>
              <w:jc w:val="right"/>
            </w:pPr>
            <w:r>
              <w:t>40150381.4</w:t>
            </w:r>
          </w:p>
        </w:tc>
      </w:tr>
      <w:tr>
        <w:tblPrEx>
          <w:tblLayout w:type="fixed"/>
          <w:tblCellMar>
            <w:top w:w="0" w:type="dxa"/>
            <w:left w:w="108" w:type="dxa"/>
            <w:bottom w:w="0" w:type="dxa"/>
            <w:right w:w="108" w:type="dxa"/>
          </w:tblCellMar>
        </w:tblPrEx>
        <w:trPr>
          <w:trHeight w:val="439" w:hRule="atLeast"/>
          <w:jc w:val="center"/>
        </w:trPr>
        <w:tc>
          <w:tcPr>
            <w:tcW w:w="2756"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hAnsi="宋体" w:cs="宋体"/>
              </w:rPr>
              <w:t>省补助</w:t>
            </w:r>
          </w:p>
        </w:tc>
        <w:tc>
          <w:tcPr>
            <w:tcW w:w="1582" w:type="dxa"/>
            <w:tcBorders>
              <w:top w:val="single" w:color="auto" w:sz="4" w:space="0"/>
              <w:left w:val="nil"/>
              <w:bottom w:val="single" w:color="auto" w:sz="4" w:space="0"/>
              <w:right w:val="single" w:color="auto" w:sz="4" w:space="0"/>
            </w:tcBorders>
            <w:vAlign w:val="center"/>
          </w:tcPr>
          <w:p>
            <w:pPr>
              <w:jc w:val="right"/>
            </w:pPr>
            <w:r>
              <w:t>1200000.00</w:t>
            </w:r>
          </w:p>
        </w:tc>
        <w:tc>
          <w:tcPr>
            <w:tcW w:w="3051" w:type="dxa"/>
            <w:tcBorders>
              <w:top w:val="single" w:color="auto" w:sz="4" w:space="0"/>
              <w:left w:val="nil"/>
              <w:bottom w:val="single" w:color="auto" w:sz="4" w:space="0"/>
              <w:right w:val="single" w:color="auto" w:sz="4" w:space="0"/>
            </w:tcBorders>
            <w:vAlign w:val="center"/>
          </w:tcPr>
          <w:p>
            <w:pPr>
              <w:jc w:val="left"/>
            </w:pPr>
            <w:r>
              <w:t xml:space="preserve">  </w:t>
            </w:r>
            <w:r>
              <w:rPr>
                <w:rFonts w:hint="eastAsia" w:hAnsi="宋体" w:cs="宋体"/>
              </w:rPr>
              <w:t>工资福利支出</w:t>
            </w:r>
          </w:p>
        </w:tc>
        <w:tc>
          <w:tcPr>
            <w:tcW w:w="1890" w:type="dxa"/>
            <w:tcBorders>
              <w:top w:val="single" w:color="auto" w:sz="4" w:space="0"/>
              <w:left w:val="nil"/>
              <w:bottom w:val="single" w:color="auto" w:sz="4" w:space="0"/>
              <w:right w:val="single" w:color="auto" w:sz="4" w:space="0"/>
            </w:tcBorders>
            <w:vAlign w:val="center"/>
          </w:tcPr>
          <w:p>
            <w:pPr>
              <w:jc w:val="right"/>
            </w:pPr>
            <w:r>
              <w:t>33162216.4</w:t>
            </w:r>
          </w:p>
        </w:tc>
      </w:tr>
      <w:tr>
        <w:tblPrEx>
          <w:tblLayout w:type="fixed"/>
          <w:tblCellMar>
            <w:top w:w="0" w:type="dxa"/>
            <w:left w:w="108" w:type="dxa"/>
            <w:bottom w:w="0" w:type="dxa"/>
            <w:right w:w="108" w:type="dxa"/>
          </w:tblCellMar>
        </w:tblPrEx>
        <w:trPr>
          <w:trHeight w:val="439" w:hRule="atLeast"/>
          <w:jc w:val="center"/>
        </w:trPr>
        <w:tc>
          <w:tcPr>
            <w:tcW w:w="2756"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hAnsi="宋体" w:cs="宋体"/>
              </w:rPr>
              <w:t>专户收入</w:t>
            </w:r>
          </w:p>
        </w:tc>
        <w:tc>
          <w:tcPr>
            <w:tcW w:w="1582" w:type="dxa"/>
            <w:tcBorders>
              <w:top w:val="single" w:color="auto" w:sz="4" w:space="0"/>
              <w:left w:val="nil"/>
              <w:bottom w:val="single" w:color="auto" w:sz="4" w:space="0"/>
              <w:right w:val="single" w:color="auto" w:sz="4" w:space="0"/>
            </w:tcBorders>
            <w:vAlign w:val="center"/>
          </w:tcPr>
          <w:p>
            <w:pPr>
              <w:jc w:val="right"/>
            </w:pPr>
            <w:r>
              <w:t>4724741.56</w:t>
            </w:r>
          </w:p>
        </w:tc>
        <w:tc>
          <w:tcPr>
            <w:tcW w:w="3051" w:type="dxa"/>
            <w:tcBorders>
              <w:top w:val="single" w:color="auto" w:sz="4" w:space="0"/>
              <w:left w:val="nil"/>
              <w:bottom w:val="single" w:color="auto" w:sz="4" w:space="0"/>
              <w:right w:val="single" w:color="auto" w:sz="4" w:space="0"/>
            </w:tcBorders>
            <w:vAlign w:val="center"/>
          </w:tcPr>
          <w:p>
            <w:pPr>
              <w:jc w:val="left"/>
            </w:pPr>
            <w:r>
              <w:t xml:space="preserve">  </w:t>
            </w:r>
            <w:r>
              <w:rPr>
                <w:rFonts w:hint="eastAsia" w:hAnsi="宋体" w:cs="宋体"/>
              </w:rPr>
              <w:t>其他基本支出</w:t>
            </w:r>
          </w:p>
        </w:tc>
        <w:tc>
          <w:tcPr>
            <w:tcW w:w="1890" w:type="dxa"/>
            <w:tcBorders>
              <w:top w:val="single" w:color="auto" w:sz="4" w:space="0"/>
              <w:left w:val="nil"/>
              <w:bottom w:val="single" w:color="auto" w:sz="4" w:space="0"/>
              <w:right w:val="single" w:color="auto" w:sz="4" w:space="0"/>
            </w:tcBorders>
            <w:vAlign w:val="center"/>
          </w:tcPr>
          <w:p>
            <w:pPr>
              <w:jc w:val="right"/>
            </w:pPr>
            <w:r>
              <w:t>5859320.00</w:t>
            </w:r>
          </w:p>
        </w:tc>
      </w:tr>
      <w:tr>
        <w:tblPrEx>
          <w:tblLayout w:type="fixed"/>
          <w:tblCellMar>
            <w:top w:w="0" w:type="dxa"/>
            <w:left w:w="108" w:type="dxa"/>
            <w:bottom w:w="0" w:type="dxa"/>
            <w:right w:w="108" w:type="dxa"/>
          </w:tblCellMar>
        </w:tblPrEx>
        <w:trPr>
          <w:trHeight w:val="439" w:hRule="atLeast"/>
          <w:jc w:val="center"/>
        </w:trPr>
        <w:tc>
          <w:tcPr>
            <w:tcW w:w="2756"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hAnsi="宋体" w:cs="宋体"/>
              </w:rPr>
              <w:t>政府性基金预算拨款</w:t>
            </w:r>
          </w:p>
        </w:tc>
        <w:tc>
          <w:tcPr>
            <w:tcW w:w="1582" w:type="dxa"/>
            <w:tcBorders>
              <w:top w:val="single" w:color="auto" w:sz="4" w:space="0"/>
              <w:left w:val="nil"/>
              <w:bottom w:val="single" w:color="auto" w:sz="4" w:space="0"/>
              <w:right w:val="single" w:color="auto" w:sz="4" w:space="0"/>
            </w:tcBorders>
            <w:vAlign w:val="center"/>
          </w:tcPr>
          <w:p>
            <w:pPr>
              <w:jc w:val="right"/>
            </w:pPr>
            <w:r>
              <w:t>167791900.00</w:t>
            </w:r>
          </w:p>
        </w:tc>
        <w:tc>
          <w:tcPr>
            <w:tcW w:w="3051" w:type="dxa"/>
            <w:tcBorders>
              <w:top w:val="single" w:color="auto" w:sz="4" w:space="0"/>
              <w:left w:val="nil"/>
              <w:bottom w:val="single" w:color="auto" w:sz="4" w:space="0"/>
              <w:right w:val="single" w:color="auto" w:sz="4" w:space="0"/>
            </w:tcBorders>
            <w:vAlign w:val="center"/>
          </w:tcPr>
          <w:p>
            <w:pPr>
              <w:jc w:val="left"/>
            </w:pPr>
            <w:r>
              <w:t xml:space="preserve">  </w:t>
            </w:r>
            <w:r>
              <w:rPr>
                <w:rFonts w:hint="eastAsia" w:hAnsi="宋体" w:cs="宋体"/>
              </w:rPr>
              <w:t>对个人和家庭的补助支出</w:t>
            </w:r>
          </w:p>
        </w:tc>
        <w:tc>
          <w:tcPr>
            <w:tcW w:w="1890" w:type="dxa"/>
            <w:tcBorders>
              <w:top w:val="single" w:color="auto" w:sz="4" w:space="0"/>
              <w:left w:val="nil"/>
              <w:bottom w:val="single" w:color="auto" w:sz="4" w:space="0"/>
              <w:right w:val="single" w:color="auto" w:sz="4" w:space="0"/>
            </w:tcBorders>
            <w:vAlign w:val="center"/>
          </w:tcPr>
          <w:p>
            <w:pPr>
              <w:jc w:val="right"/>
            </w:pPr>
            <w:r>
              <w:t>1128845.00</w:t>
            </w:r>
          </w:p>
        </w:tc>
      </w:tr>
      <w:tr>
        <w:tblPrEx>
          <w:tblLayout w:type="fixed"/>
          <w:tblCellMar>
            <w:top w:w="0" w:type="dxa"/>
            <w:left w:w="108" w:type="dxa"/>
            <w:bottom w:w="0" w:type="dxa"/>
            <w:right w:w="108" w:type="dxa"/>
          </w:tblCellMar>
        </w:tblPrEx>
        <w:trPr>
          <w:trHeight w:val="439" w:hRule="atLeast"/>
          <w:jc w:val="center"/>
        </w:trPr>
        <w:tc>
          <w:tcPr>
            <w:tcW w:w="2756"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hAnsi="宋体" w:cs="宋体"/>
              </w:rPr>
              <w:t>其他收入</w:t>
            </w:r>
          </w:p>
        </w:tc>
        <w:tc>
          <w:tcPr>
            <w:tcW w:w="1582" w:type="dxa"/>
            <w:tcBorders>
              <w:top w:val="single" w:color="auto" w:sz="4" w:space="0"/>
              <w:left w:val="nil"/>
              <w:bottom w:val="single" w:color="auto" w:sz="4" w:space="0"/>
              <w:right w:val="single" w:color="auto" w:sz="4" w:space="0"/>
            </w:tcBorders>
            <w:vAlign w:val="center"/>
          </w:tcPr>
          <w:p>
            <w:pPr>
              <w:jc w:val="right"/>
            </w:pPr>
            <w:r>
              <w:t>95000000.00</w:t>
            </w:r>
          </w:p>
        </w:tc>
        <w:tc>
          <w:tcPr>
            <w:tcW w:w="3051" w:type="dxa"/>
            <w:tcBorders>
              <w:top w:val="single" w:color="auto" w:sz="4" w:space="0"/>
              <w:left w:val="nil"/>
              <w:bottom w:val="single" w:color="auto" w:sz="4" w:space="0"/>
              <w:right w:val="single" w:color="auto" w:sz="4" w:space="0"/>
            </w:tcBorders>
            <w:vAlign w:val="center"/>
          </w:tcPr>
          <w:p>
            <w:pPr>
              <w:jc w:val="left"/>
            </w:pPr>
            <w:r>
              <w:rPr>
                <w:rFonts w:hint="eastAsia" w:hAnsi="宋体" w:cs="宋体"/>
              </w:rPr>
              <w:t>项目支出</w:t>
            </w:r>
          </w:p>
        </w:tc>
        <w:tc>
          <w:tcPr>
            <w:tcW w:w="1890" w:type="dxa"/>
            <w:tcBorders>
              <w:top w:val="single" w:color="auto" w:sz="4" w:space="0"/>
              <w:left w:val="nil"/>
              <w:bottom w:val="single" w:color="auto" w:sz="4" w:space="0"/>
              <w:right w:val="single" w:color="auto" w:sz="4" w:space="0"/>
            </w:tcBorders>
            <w:vAlign w:val="center"/>
          </w:tcPr>
          <w:p>
            <w:pPr>
              <w:jc w:val="right"/>
            </w:pPr>
            <w:r>
              <w:t>370525889.00</w:t>
            </w:r>
          </w:p>
        </w:tc>
      </w:tr>
      <w:tr>
        <w:tblPrEx>
          <w:tblLayout w:type="fixed"/>
          <w:tblCellMar>
            <w:top w:w="0" w:type="dxa"/>
            <w:left w:w="108" w:type="dxa"/>
            <w:bottom w:w="0" w:type="dxa"/>
            <w:right w:w="108" w:type="dxa"/>
          </w:tblCellMar>
        </w:tblPrEx>
        <w:trPr>
          <w:trHeight w:val="439" w:hRule="atLeast"/>
          <w:jc w:val="center"/>
        </w:trPr>
        <w:tc>
          <w:tcPr>
            <w:tcW w:w="2756"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hAnsi="宋体" w:cs="宋体"/>
              </w:rPr>
              <w:t>镇</w:t>
            </w:r>
            <w:r>
              <w:t>(</w:t>
            </w:r>
            <w:r>
              <w:rPr>
                <w:rFonts w:hint="eastAsia" w:hAnsi="宋体" w:cs="宋体"/>
              </w:rPr>
              <w:t>街道</w:t>
            </w:r>
            <w:r>
              <w:t>)</w:t>
            </w:r>
            <w:r>
              <w:rPr>
                <w:rFonts w:hint="eastAsia" w:hAnsi="宋体" w:cs="宋体"/>
              </w:rPr>
              <w:t>补助</w:t>
            </w:r>
          </w:p>
        </w:tc>
        <w:tc>
          <w:tcPr>
            <w:tcW w:w="1582" w:type="dxa"/>
            <w:tcBorders>
              <w:top w:val="single" w:color="auto" w:sz="4" w:space="0"/>
              <w:left w:val="nil"/>
              <w:bottom w:val="single" w:color="auto" w:sz="4" w:space="0"/>
              <w:right w:val="single" w:color="auto" w:sz="4" w:space="0"/>
            </w:tcBorders>
            <w:vAlign w:val="center"/>
          </w:tcPr>
          <w:p>
            <w:pPr>
              <w:jc w:val="right"/>
            </w:pPr>
          </w:p>
        </w:tc>
        <w:tc>
          <w:tcPr>
            <w:tcW w:w="3051" w:type="dxa"/>
            <w:tcBorders>
              <w:top w:val="single" w:color="auto" w:sz="4" w:space="0"/>
              <w:left w:val="nil"/>
              <w:bottom w:val="single" w:color="auto" w:sz="4" w:space="0"/>
              <w:right w:val="single" w:color="auto" w:sz="4" w:space="0"/>
            </w:tcBorders>
            <w:vAlign w:val="center"/>
          </w:tcPr>
          <w:p>
            <w:pPr>
              <w:jc w:val="left"/>
            </w:pPr>
            <w:r>
              <w:t xml:space="preserve">  </w:t>
            </w:r>
            <w:r>
              <w:rPr>
                <w:rFonts w:hint="eastAsia" w:hAnsi="宋体" w:cs="宋体"/>
              </w:rPr>
              <w:t>专项公用类项目支出</w:t>
            </w:r>
          </w:p>
        </w:tc>
        <w:tc>
          <w:tcPr>
            <w:tcW w:w="1890" w:type="dxa"/>
            <w:tcBorders>
              <w:top w:val="single" w:color="auto" w:sz="4" w:space="0"/>
              <w:left w:val="nil"/>
              <w:bottom w:val="single" w:color="auto" w:sz="4" w:space="0"/>
              <w:right w:val="single" w:color="auto" w:sz="4" w:space="0"/>
            </w:tcBorders>
            <w:vAlign w:val="center"/>
          </w:tcPr>
          <w:p>
            <w:pPr>
              <w:jc w:val="right"/>
            </w:pPr>
            <w:r>
              <w:t>4176000.00</w:t>
            </w:r>
          </w:p>
        </w:tc>
      </w:tr>
      <w:tr>
        <w:tblPrEx>
          <w:tblLayout w:type="fixed"/>
          <w:tblCellMar>
            <w:top w:w="0" w:type="dxa"/>
            <w:left w:w="108" w:type="dxa"/>
            <w:bottom w:w="0" w:type="dxa"/>
            <w:right w:w="108" w:type="dxa"/>
          </w:tblCellMar>
        </w:tblPrEx>
        <w:trPr>
          <w:trHeight w:val="439" w:hRule="atLeast"/>
          <w:jc w:val="center"/>
        </w:trPr>
        <w:tc>
          <w:tcPr>
            <w:tcW w:w="2756"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hAnsi="宋体" w:cs="宋体"/>
              </w:rPr>
              <w:t>国库其他资金</w:t>
            </w:r>
          </w:p>
        </w:tc>
        <w:tc>
          <w:tcPr>
            <w:tcW w:w="1582" w:type="dxa"/>
            <w:tcBorders>
              <w:top w:val="single" w:color="auto" w:sz="4" w:space="0"/>
              <w:left w:val="nil"/>
              <w:bottom w:val="single" w:color="auto" w:sz="4" w:space="0"/>
              <w:right w:val="single" w:color="auto" w:sz="4" w:space="0"/>
            </w:tcBorders>
            <w:vAlign w:val="center"/>
          </w:tcPr>
          <w:p>
            <w:pPr>
              <w:jc w:val="right"/>
            </w:pPr>
          </w:p>
        </w:tc>
        <w:tc>
          <w:tcPr>
            <w:tcW w:w="3051" w:type="dxa"/>
            <w:tcBorders>
              <w:top w:val="single" w:color="auto" w:sz="4" w:space="0"/>
              <w:left w:val="nil"/>
              <w:bottom w:val="single" w:color="auto" w:sz="4" w:space="0"/>
              <w:right w:val="single" w:color="auto" w:sz="4" w:space="0"/>
            </w:tcBorders>
            <w:vAlign w:val="center"/>
          </w:tcPr>
          <w:p>
            <w:pPr>
              <w:jc w:val="left"/>
            </w:pPr>
            <w:r>
              <w:t xml:space="preserve">  </w:t>
            </w:r>
            <w:r>
              <w:rPr>
                <w:rFonts w:hint="eastAsia" w:hAnsi="宋体" w:cs="宋体"/>
              </w:rPr>
              <w:t>政策性项目支出</w:t>
            </w:r>
          </w:p>
        </w:tc>
        <w:tc>
          <w:tcPr>
            <w:tcW w:w="1890" w:type="dxa"/>
            <w:tcBorders>
              <w:top w:val="single" w:color="auto" w:sz="4" w:space="0"/>
              <w:left w:val="nil"/>
              <w:bottom w:val="single" w:color="auto" w:sz="4" w:space="0"/>
              <w:right w:val="single" w:color="auto" w:sz="4" w:space="0"/>
            </w:tcBorders>
            <w:vAlign w:val="center"/>
          </w:tcPr>
          <w:p>
            <w:pPr>
              <w:jc w:val="right"/>
            </w:pPr>
            <w:r>
              <w:t>317216900.00</w:t>
            </w:r>
          </w:p>
        </w:tc>
      </w:tr>
      <w:tr>
        <w:tblPrEx>
          <w:tblLayout w:type="fixed"/>
          <w:tblCellMar>
            <w:top w:w="0" w:type="dxa"/>
            <w:left w:w="108" w:type="dxa"/>
            <w:bottom w:w="0" w:type="dxa"/>
            <w:right w:w="108" w:type="dxa"/>
          </w:tblCellMar>
        </w:tblPrEx>
        <w:trPr>
          <w:trHeight w:val="439" w:hRule="atLeast"/>
          <w:jc w:val="center"/>
        </w:trPr>
        <w:tc>
          <w:tcPr>
            <w:tcW w:w="2756"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hAnsi="宋体" w:cs="宋体"/>
              </w:rPr>
              <w:t>国有资本经营预算收入</w:t>
            </w:r>
          </w:p>
        </w:tc>
        <w:tc>
          <w:tcPr>
            <w:tcW w:w="1582" w:type="dxa"/>
            <w:tcBorders>
              <w:top w:val="single" w:color="auto" w:sz="4" w:space="0"/>
              <w:left w:val="nil"/>
              <w:bottom w:val="single" w:color="auto" w:sz="4" w:space="0"/>
              <w:right w:val="single" w:color="auto" w:sz="4" w:space="0"/>
            </w:tcBorders>
            <w:vAlign w:val="center"/>
          </w:tcPr>
          <w:p>
            <w:pPr>
              <w:jc w:val="right"/>
            </w:pPr>
          </w:p>
        </w:tc>
        <w:tc>
          <w:tcPr>
            <w:tcW w:w="3051" w:type="dxa"/>
            <w:tcBorders>
              <w:top w:val="single" w:color="auto" w:sz="4" w:space="0"/>
              <w:left w:val="nil"/>
              <w:bottom w:val="single" w:color="auto" w:sz="4" w:space="0"/>
              <w:right w:val="single" w:color="auto" w:sz="4" w:space="0"/>
            </w:tcBorders>
            <w:vAlign w:val="center"/>
          </w:tcPr>
          <w:p>
            <w:pPr>
              <w:ind w:firstLine="210" w:firstLineChars="100"/>
              <w:jc w:val="left"/>
            </w:pPr>
            <w:r>
              <w:rPr>
                <w:rFonts w:hint="eastAsia" w:hAnsi="宋体" w:cs="宋体"/>
              </w:rPr>
              <w:t>发展建设类项目支出</w:t>
            </w:r>
          </w:p>
        </w:tc>
        <w:tc>
          <w:tcPr>
            <w:tcW w:w="1890" w:type="dxa"/>
            <w:tcBorders>
              <w:top w:val="single" w:color="auto" w:sz="4" w:space="0"/>
              <w:left w:val="nil"/>
              <w:bottom w:val="single" w:color="auto" w:sz="4" w:space="0"/>
              <w:right w:val="single" w:color="auto" w:sz="4" w:space="0"/>
            </w:tcBorders>
            <w:vAlign w:val="center"/>
          </w:tcPr>
          <w:p>
            <w:pPr>
              <w:jc w:val="right"/>
            </w:pPr>
            <w:r>
              <w:t>49132989.00</w:t>
            </w:r>
          </w:p>
        </w:tc>
      </w:tr>
      <w:tr>
        <w:tblPrEx>
          <w:tblLayout w:type="fixed"/>
          <w:tblCellMar>
            <w:top w:w="0" w:type="dxa"/>
            <w:left w:w="108" w:type="dxa"/>
            <w:bottom w:w="0" w:type="dxa"/>
            <w:right w:w="108" w:type="dxa"/>
          </w:tblCellMar>
        </w:tblPrEx>
        <w:trPr>
          <w:trHeight w:val="439" w:hRule="atLeast"/>
          <w:jc w:val="center"/>
        </w:trPr>
        <w:tc>
          <w:tcPr>
            <w:tcW w:w="2756"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hAnsi="宋体" w:cs="宋体"/>
              </w:rPr>
              <w:t>政府债券提前告知</w:t>
            </w:r>
          </w:p>
        </w:tc>
        <w:tc>
          <w:tcPr>
            <w:tcW w:w="1582" w:type="dxa"/>
            <w:tcBorders>
              <w:top w:val="single" w:color="auto" w:sz="4" w:space="0"/>
              <w:left w:val="nil"/>
              <w:bottom w:val="single" w:color="auto" w:sz="4" w:space="0"/>
              <w:right w:val="single" w:color="auto" w:sz="4" w:space="0"/>
            </w:tcBorders>
            <w:vAlign w:val="center"/>
          </w:tcPr>
          <w:p>
            <w:pPr>
              <w:jc w:val="right"/>
            </w:pPr>
          </w:p>
        </w:tc>
        <w:tc>
          <w:tcPr>
            <w:tcW w:w="3051" w:type="dxa"/>
            <w:tcBorders>
              <w:top w:val="single" w:color="auto" w:sz="4" w:space="0"/>
              <w:left w:val="nil"/>
              <w:bottom w:val="single" w:color="auto" w:sz="4" w:space="0"/>
              <w:right w:val="single" w:color="auto" w:sz="4" w:space="0"/>
            </w:tcBorders>
            <w:vAlign w:val="center"/>
          </w:tcPr>
          <w:p>
            <w:pPr>
              <w:jc w:val="left"/>
            </w:pPr>
            <w:r>
              <w:t xml:space="preserve">  </w:t>
            </w:r>
            <w:r>
              <w:rPr>
                <w:rFonts w:hint="eastAsia" w:hAnsi="宋体" w:cs="宋体"/>
              </w:rPr>
              <w:t>国有资本经营预算项目支出</w:t>
            </w:r>
          </w:p>
        </w:tc>
        <w:tc>
          <w:tcPr>
            <w:tcW w:w="1890" w:type="dxa"/>
            <w:tcBorders>
              <w:top w:val="single" w:color="auto" w:sz="4" w:space="0"/>
              <w:left w:val="nil"/>
              <w:bottom w:val="single" w:color="auto" w:sz="4" w:space="0"/>
              <w:right w:val="single" w:color="auto" w:sz="4" w:space="0"/>
            </w:tcBorders>
            <w:vAlign w:val="center"/>
          </w:tcPr>
          <w:p>
            <w:pPr>
              <w:jc w:val="right"/>
            </w:pPr>
          </w:p>
        </w:tc>
      </w:tr>
      <w:tr>
        <w:tblPrEx>
          <w:tblLayout w:type="fixed"/>
          <w:tblCellMar>
            <w:top w:w="0" w:type="dxa"/>
            <w:left w:w="108" w:type="dxa"/>
            <w:bottom w:w="0" w:type="dxa"/>
            <w:right w:w="108" w:type="dxa"/>
          </w:tblCellMar>
        </w:tblPrEx>
        <w:trPr>
          <w:trHeight w:val="439" w:hRule="atLeast"/>
          <w:jc w:val="center"/>
        </w:trPr>
        <w:tc>
          <w:tcPr>
            <w:tcW w:w="2756" w:type="dxa"/>
            <w:tcBorders>
              <w:top w:val="single" w:color="auto" w:sz="4" w:space="0"/>
              <w:left w:val="single" w:color="auto" w:sz="4" w:space="0"/>
              <w:bottom w:val="single" w:color="auto" w:sz="4" w:space="0"/>
              <w:right w:val="single" w:color="auto" w:sz="4" w:space="0"/>
            </w:tcBorders>
            <w:vAlign w:val="center"/>
          </w:tcPr>
          <w:p>
            <w:pPr>
              <w:jc w:val="left"/>
            </w:pPr>
          </w:p>
        </w:tc>
        <w:tc>
          <w:tcPr>
            <w:tcW w:w="1582" w:type="dxa"/>
            <w:tcBorders>
              <w:top w:val="single" w:color="auto" w:sz="4" w:space="0"/>
              <w:left w:val="nil"/>
              <w:bottom w:val="single" w:color="auto" w:sz="4" w:space="0"/>
              <w:right w:val="single" w:color="auto" w:sz="4" w:space="0"/>
            </w:tcBorders>
            <w:vAlign w:val="center"/>
          </w:tcPr>
          <w:p>
            <w:pPr>
              <w:jc w:val="right"/>
            </w:pPr>
          </w:p>
        </w:tc>
        <w:tc>
          <w:tcPr>
            <w:tcW w:w="3051" w:type="dxa"/>
            <w:tcBorders>
              <w:top w:val="single" w:color="auto" w:sz="4" w:space="0"/>
              <w:left w:val="nil"/>
              <w:bottom w:val="single" w:color="auto" w:sz="4" w:space="0"/>
              <w:right w:val="single" w:color="auto" w:sz="4" w:space="0"/>
            </w:tcBorders>
            <w:vAlign w:val="center"/>
          </w:tcPr>
          <w:p>
            <w:pPr>
              <w:jc w:val="left"/>
            </w:pPr>
            <w:r>
              <w:t xml:space="preserve">  </w:t>
            </w:r>
            <w:r>
              <w:rPr>
                <w:rFonts w:hint="eastAsia" w:hAnsi="宋体" w:cs="宋体"/>
              </w:rPr>
              <w:t>上缴上级支出</w:t>
            </w:r>
          </w:p>
        </w:tc>
        <w:tc>
          <w:tcPr>
            <w:tcW w:w="1890" w:type="dxa"/>
            <w:tcBorders>
              <w:top w:val="single" w:color="auto" w:sz="4" w:space="0"/>
              <w:left w:val="nil"/>
              <w:bottom w:val="single" w:color="auto" w:sz="4" w:space="0"/>
              <w:right w:val="single" w:color="auto" w:sz="4" w:space="0"/>
            </w:tcBorders>
            <w:vAlign w:val="center"/>
          </w:tcPr>
          <w:p>
            <w:pPr>
              <w:jc w:val="right"/>
            </w:pPr>
            <w:r>
              <w:rPr>
                <w:rFonts w:hint="eastAsia" w:hAnsi="宋体" w:cs="宋体"/>
              </w:rPr>
              <w:t>　</w:t>
            </w:r>
          </w:p>
        </w:tc>
      </w:tr>
      <w:tr>
        <w:tblPrEx>
          <w:tblLayout w:type="fixed"/>
          <w:tblCellMar>
            <w:top w:w="0" w:type="dxa"/>
            <w:left w:w="108" w:type="dxa"/>
            <w:bottom w:w="0" w:type="dxa"/>
            <w:right w:w="108" w:type="dxa"/>
          </w:tblCellMar>
        </w:tblPrEx>
        <w:trPr>
          <w:trHeight w:val="439" w:hRule="atLeast"/>
          <w:jc w:val="center"/>
        </w:trPr>
        <w:tc>
          <w:tcPr>
            <w:tcW w:w="2756"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hAnsi="宋体" w:cs="宋体"/>
              </w:rPr>
              <w:t>　</w:t>
            </w:r>
          </w:p>
        </w:tc>
        <w:tc>
          <w:tcPr>
            <w:tcW w:w="1582" w:type="dxa"/>
            <w:tcBorders>
              <w:top w:val="single" w:color="auto" w:sz="4" w:space="0"/>
              <w:left w:val="nil"/>
              <w:bottom w:val="single" w:color="auto" w:sz="4" w:space="0"/>
              <w:right w:val="single" w:color="auto" w:sz="4" w:space="0"/>
            </w:tcBorders>
            <w:vAlign w:val="center"/>
          </w:tcPr>
          <w:p>
            <w:pPr>
              <w:jc w:val="right"/>
            </w:pPr>
          </w:p>
        </w:tc>
        <w:tc>
          <w:tcPr>
            <w:tcW w:w="3051" w:type="dxa"/>
            <w:tcBorders>
              <w:top w:val="single" w:color="auto" w:sz="4" w:space="0"/>
              <w:left w:val="nil"/>
              <w:bottom w:val="single" w:color="auto" w:sz="4" w:space="0"/>
              <w:right w:val="single" w:color="auto" w:sz="4" w:space="0"/>
            </w:tcBorders>
            <w:vAlign w:val="center"/>
          </w:tcPr>
          <w:p>
            <w:pPr>
              <w:ind w:firstLine="210" w:firstLineChars="100"/>
              <w:jc w:val="left"/>
            </w:pPr>
            <w:r>
              <w:rPr>
                <w:rFonts w:hint="eastAsia" w:hAnsi="宋体" w:cs="宋体"/>
              </w:rPr>
              <w:t>税金</w:t>
            </w:r>
          </w:p>
        </w:tc>
        <w:tc>
          <w:tcPr>
            <w:tcW w:w="1890" w:type="dxa"/>
            <w:tcBorders>
              <w:top w:val="single" w:color="auto" w:sz="4" w:space="0"/>
              <w:left w:val="nil"/>
              <w:bottom w:val="single" w:color="auto" w:sz="4" w:space="0"/>
              <w:right w:val="single" w:color="auto" w:sz="4" w:space="0"/>
            </w:tcBorders>
            <w:vAlign w:val="center"/>
          </w:tcPr>
          <w:p>
            <w:pPr>
              <w:jc w:val="right"/>
            </w:pPr>
            <w:r>
              <w:rPr>
                <w:rFonts w:hint="eastAsia" w:hAnsi="宋体" w:cs="宋体"/>
              </w:rPr>
              <w:t>　</w:t>
            </w:r>
          </w:p>
        </w:tc>
      </w:tr>
      <w:tr>
        <w:tblPrEx>
          <w:tblLayout w:type="fixed"/>
          <w:tblCellMar>
            <w:top w:w="0" w:type="dxa"/>
            <w:left w:w="108" w:type="dxa"/>
            <w:bottom w:w="0" w:type="dxa"/>
            <w:right w:w="108" w:type="dxa"/>
          </w:tblCellMar>
        </w:tblPrEx>
        <w:trPr>
          <w:trHeight w:val="439" w:hRule="atLeast"/>
          <w:jc w:val="center"/>
        </w:trPr>
        <w:tc>
          <w:tcPr>
            <w:tcW w:w="2756"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hAnsi="宋体" w:cs="宋体"/>
              </w:rPr>
              <w:t>　</w:t>
            </w:r>
          </w:p>
        </w:tc>
        <w:tc>
          <w:tcPr>
            <w:tcW w:w="1582" w:type="dxa"/>
            <w:tcBorders>
              <w:top w:val="single" w:color="auto" w:sz="4" w:space="0"/>
              <w:left w:val="nil"/>
              <w:bottom w:val="single" w:color="auto" w:sz="4" w:space="0"/>
              <w:right w:val="single" w:color="auto" w:sz="4" w:space="0"/>
            </w:tcBorders>
            <w:vAlign w:val="center"/>
          </w:tcPr>
          <w:p>
            <w:pPr>
              <w:jc w:val="right"/>
            </w:pPr>
          </w:p>
        </w:tc>
        <w:tc>
          <w:tcPr>
            <w:tcW w:w="3051" w:type="dxa"/>
            <w:tcBorders>
              <w:top w:val="single" w:color="auto" w:sz="4" w:space="0"/>
              <w:left w:val="nil"/>
              <w:bottom w:val="single" w:color="auto" w:sz="4" w:space="0"/>
              <w:right w:val="single" w:color="auto" w:sz="4" w:space="0"/>
            </w:tcBorders>
            <w:vAlign w:val="center"/>
          </w:tcPr>
          <w:p>
            <w:pPr>
              <w:jc w:val="left"/>
            </w:pPr>
            <w:r>
              <w:t xml:space="preserve">  </w:t>
            </w:r>
            <w:r>
              <w:rPr>
                <w:rFonts w:hint="eastAsia" w:hAnsi="宋体" w:cs="宋体"/>
              </w:rPr>
              <w:t>事业单位经营支出</w:t>
            </w:r>
          </w:p>
        </w:tc>
        <w:tc>
          <w:tcPr>
            <w:tcW w:w="1890" w:type="dxa"/>
            <w:tcBorders>
              <w:top w:val="single" w:color="auto" w:sz="4" w:space="0"/>
              <w:left w:val="nil"/>
              <w:bottom w:val="single" w:color="auto" w:sz="4" w:space="0"/>
              <w:right w:val="single" w:color="auto" w:sz="4" w:space="0"/>
            </w:tcBorders>
            <w:vAlign w:val="center"/>
          </w:tcPr>
          <w:p>
            <w:pPr>
              <w:jc w:val="right"/>
            </w:pPr>
            <w:r>
              <w:rPr>
                <w:rFonts w:hint="eastAsia" w:hAnsi="宋体" w:cs="宋体"/>
              </w:rPr>
              <w:t>　</w:t>
            </w:r>
          </w:p>
        </w:tc>
      </w:tr>
      <w:tr>
        <w:tblPrEx>
          <w:tblLayout w:type="fixed"/>
          <w:tblCellMar>
            <w:top w:w="0" w:type="dxa"/>
            <w:left w:w="108" w:type="dxa"/>
            <w:bottom w:w="0" w:type="dxa"/>
            <w:right w:w="108" w:type="dxa"/>
          </w:tblCellMar>
        </w:tblPrEx>
        <w:trPr>
          <w:trHeight w:val="439" w:hRule="atLeast"/>
          <w:jc w:val="center"/>
        </w:trPr>
        <w:tc>
          <w:tcPr>
            <w:tcW w:w="2756"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hAnsi="宋体" w:cs="宋体"/>
              </w:rPr>
              <w:t>　</w:t>
            </w:r>
          </w:p>
        </w:tc>
        <w:tc>
          <w:tcPr>
            <w:tcW w:w="1582" w:type="dxa"/>
            <w:tcBorders>
              <w:top w:val="single" w:color="auto" w:sz="4" w:space="0"/>
              <w:left w:val="nil"/>
              <w:bottom w:val="single" w:color="auto" w:sz="4" w:space="0"/>
              <w:right w:val="single" w:color="auto" w:sz="4" w:space="0"/>
            </w:tcBorders>
            <w:vAlign w:val="center"/>
          </w:tcPr>
          <w:p>
            <w:pPr>
              <w:jc w:val="right"/>
            </w:pPr>
          </w:p>
        </w:tc>
        <w:tc>
          <w:tcPr>
            <w:tcW w:w="3051" w:type="dxa"/>
            <w:tcBorders>
              <w:top w:val="single" w:color="auto" w:sz="4" w:space="0"/>
              <w:left w:val="nil"/>
              <w:bottom w:val="single" w:color="auto" w:sz="4" w:space="0"/>
              <w:right w:val="single" w:color="auto" w:sz="4" w:space="0"/>
            </w:tcBorders>
            <w:vAlign w:val="center"/>
          </w:tcPr>
          <w:p>
            <w:pPr>
              <w:jc w:val="left"/>
            </w:pPr>
          </w:p>
        </w:tc>
        <w:tc>
          <w:tcPr>
            <w:tcW w:w="1890" w:type="dxa"/>
            <w:tcBorders>
              <w:top w:val="single" w:color="auto" w:sz="4" w:space="0"/>
              <w:left w:val="nil"/>
              <w:bottom w:val="single" w:color="auto" w:sz="4" w:space="0"/>
              <w:right w:val="single" w:color="auto" w:sz="4" w:space="0"/>
            </w:tcBorders>
            <w:vAlign w:val="center"/>
          </w:tcPr>
          <w:p>
            <w:pPr>
              <w:jc w:val="right"/>
            </w:pPr>
          </w:p>
        </w:tc>
      </w:tr>
      <w:tr>
        <w:tblPrEx>
          <w:tblLayout w:type="fixed"/>
          <w:tblCellMar>
            <w:top w:w="0" w:type="dxa"/>
            <w:left w:w="108" w:type="dxa"/>
            <w:bottom w:w="0" w:type="dxa"/>
            <w:right w:w="108" w:type="dxa"/>
          </w:tblCellMar>
        </w:tblPrEx>
        <w:trPr>
          <w:trHeight w:val="439" w:hRule="atLeast"/>
          <w:jc w:val="center"/>
        </w:trPr>
        <w:tc>
          <w:tcPr>
            <w:tcW w:w="275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hAnsi="宋体" w:cs="宋体"/>
              </w:rPr>
              <w:t>本年收入小计：</w:t>
            </w:r>
          </w:p>
        </w:tc>
        <w:tc>
          <w:tcPr>
            <w:tcW w:w="1582" w:type="dxa"/>
            <w:tcBorders>
              <w:top w:val="single" w:color="auto" w:sz="4" w:space="0"/>
              <w:left w:val="nil"/>
              <w:bottom w:val="single" w:color="auto" w:sz="4" w:space="0"/>
              <w:right w:val="single" w:color="auto" w:sz="4" w:space="0"/>
            </w:tcBorders>
            <w:vAlign w:val="center"/>
          </w:tcPr>
          <w:p>
            <w:pPr>
              <w:jc w:val="right"/>
            </w:pPr>
            <w:r>
              <w:t>407909070.4</w:t>
            </w:r>
          </w:p>
        </w:tc>
        <w:tc>
          <w:tcPr>
            <w:tcW w:w="3051" w:type="dxa"/>
            <w:tcBorders>
              <w:top w:val="single" w:color="auto" w:sz="4" w:space="0"/>
              <w:left w:val="nil"/>
              <w:bottom w:val="single" w:color="auto" w:sz="4" w:space="0"/>
              <w:right w:val="single" w:color="auto" w:sz="4" w:space="0"/>
            </w:tcBorders>
            <w:vAlign w:val="center"/>
          </w:tcPr>
          <w:p>
            <w:pPr>
              <w:jc w:val="center"/>
            </w:pPr>
            <w:r>
              <w:rPr>
                <w:rFonts w:hint="eastAsia" w:hAnsi="宋体" w:cs="宋体"/>
              </w:rPr>
              <w:t>本年支出小计：</w:t>
            </w:r>
          </w:p>
        </w:tc>
        <w:tc>
          <w:tcPr>
            <w:tcW w:w="1890" w:type="dxa"/>
            <w:tcBorders>
              <w:top w:val="single" w:color="auto" w:sz="4" w:space="0"/>
              <w:left w:val="nil"/>
              <w:bottom w:val="single" w:color="auto" w:sz="4" w:space="0"/>
              <w:right w:val="single" w:color="auto" w:sz="4" w:space="0"/>
            </w:tcBorders>
            <w:vAlign w:val="center"/>
          </w:tcPr>
          <w:p>
            <w:pPr>
              <w:jc w:val="right"/>
            </w:pPr>
            <w:r>
              <w:t>410676270.40</w:t>
            </w:r>
          </w:p>
        </w:tc>
      </w:tr>
      <w:tr>
        <w:tblPrEx>
          <w:tblLayout w:type="fixed"/>
          <w:tblCellMar>
            <w:top w:w="0" w:type="dxa"/>
            <w:left w:w="108" w:type="dxa"/>
            <w:bottom w:w="0" w:type="dxa"/>
            <w:right w:w="108" w:type="dxa"/>
          </w:tblCellMar>
        </w:tblPrEx>
        <w:trPr>
          <w:trHeight w:val="439" w:hRule="atLeast"/>
          <w:jc w:val="center"/>
        </w:trPr>
        <w:tc>
          <w:tcPr>
            <w:tcW w:w="2756"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hAnsi="宋体" w:cs="宋体"/>
              </w:rPr>
              <w:t>调入预算稳定调节基金</w:t>
            </w:r>
          </w:p>
        </w:tc>
        <w:tc>
          <w:tcPr>
            <w:tcW w:w="1582" w:type="dxa"/>
            <w:tcBorders>
              <w:top w:val="single" w:color="auto" w:sz="4" w:space="0"/>
              <w:left w:val="nil"/>
              <w:bottom w:val="single" w:color="auto" w:sz="4" w:space="0"/>
              <w:right w:val="single" w:color="auto" w:sz="4" w:space="0"/>
            </w:tcBorders>
            <w:vAlign w:val="center"/>
          </w:tcPr>
          <w:p>
            <w:pPr>
              <w:jc w:val="left"/>
            </w:pPr>
          </w:p>
        </w:tc>
        <w:tc>
          <w:tcPr>
            <w:tcW w:w="3051" w:type="dxa"/>
            <w:tcBorders>
              <w:top w:val="single" w:color="auto" w:sz="4" w:space="0"/>
              <w:left w:val="nil"/>
              <w:bottom w:val="single" w:color="auto" w:sz="4" w:space="0"/>
              <w:right w:val="single" w:color="auto" w:sz="4" w:space="0"/>
            </w:tcBorders>
            <w:vAlign w:val="center"/>
          </w:tcPr>
          <w:p>
            <w:pPr>
              <w:jc w:val="left"/>
            </w:pPr>
            <w:r>
              <w:rPr>
                <w:rFonts w:hint="eastAsia" w:hAnsi="宋体" w:cs="宋体"/>
              </w:rPr>
              <w:t>　</w:t>
            </w:r>
          </w:p>
        </w:tc>
        <w:tc>
          <w:tcPr>
            <w:tcW w:w="1890" w:type="dxa"/>
            <w:tcBorders>
              <w:top w:val="single" w:color="auto" w:sz="4" w:space="0"/>
              <w:left w:val="nil"/>
              <w:bottom w:val="single" w:color="auto" w:sz="4" w:space="0"/>
              <w:right w:val="single" w:color="auto" w:sz="4" w:space="0"/>
            </w:tcBorders>
            <w:vAlign w:val="center"/>
          </w:tcPr>
          <w:p>
            <w:pPr>
              <w:jc w:val="right"/>
            </w:pPr>
          </w:p>
        </w:tc>
      </w:tr>
      <w:tr>
        <w:tblPrEx>
          <w:tblLayout w:type="fixed"/>
          <w:tblCellMar>
            <w:top w:w="0" w:type="dxa"/>
            <w:left w:w="108" w:type="dxa"/>
            <w:bottom w:w="0" w:type="dxa"/>
            <w:right w:w="108" w:type="dxa"/>
          </w:tblCellMar>
        </w:tblPrEx>
        <w:trPr>
          <w:trHeight w:val="439" w:hRule="atLeast"/>
          <w:jc w:val="center"/>
        </w:trPr>
        <w:tc>
          <w:tcPr>
            <w:tcW w:w="2756"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hAnsi="宋体" w:cs="宋体"/>
              </w:rPr>
              <w:t>调入资金</w:t>
            </w:r>
          </w:p>
        </w:tc>
        <w:tc>
          <w:tcPr>
            <w:tcW w:w="1582" w:type="dxa"/>
            <w:tcBorders>
              <w:top w:val="single" w:color="auto" w:sz="4" w:space="0"/>
              <w:left w:val="nil"/>
              <w:bottom w:val="single" w:color="auto" w:sz="4" w:space="0"/>
              <w:right w:val="single" w:color="auto" w:sz="4" w:space="0"/>
            </w:tcBorders>
            <w:vAlign w:val="center"/>
          </w:tcPr>
          <w:p>
            <w:pPr>
              <w:jc w:val="left"/>
            </w:pPr>
          </w:p>
        </w:tc>
        <w:tc>
          <w:tcPr>
            <w:tcW w:w="3051" w:type="dxa"/>
            <w:tcBorders>
              <w:top w:val="single" w:color="auto" w:sz="4" w:space="0"/>
              <w:left w:val="nil"/>
              <w:bottom w:val="single" w:color="auto" w:sz="4" w:space="0"/>
              <w:right w:val="single" w:color="auto" w:sz="4" w:space="0"/>
            </w:tcBorders>
            <w:vAlign w:val="center"/>
          </w:tcPr>
          <w:p>
            <w:pPr>
              <w:jc w:val="left"/>
            </w:pPr>
          </w:p>
        </w:tc>
        <w:tc>
          <w:tcPr>
            <w:tcW w:w="1890" w:type="dxa"/>
            <w:tcBorders>
              <w:top w:val="single" w:color="auto" w:sz="4" w:space="0"/>
              <w:left w:val="nil"/>
              <w:bottom w:val="single" w:color="auto" w:sz="4" w:space="0"/>
              <w:right w:val="single" w:color="auto" w:sz="4" w:space="0"/>
            </w:tcBorders>
            <w:vAlign w:val="center"/>
          </w:tcPr>
          <w:p>
            <w:pPr>
              <w:jc w:val="right"/>
            </w:pPr>
          </w:p>
        </w:tc>
      </w:tr>
      <w:tr>
        <w:tblPrEx>
          <w:tblLayout w:type="fixed"/>
          <w:tblCellMar>
            <w:top w:w="0" w:type="dxa"/>
            <w:left w:w="108" w:type="dxa"/>
            <w:bottom w:w="0" w:type="dxa"/>
            <w:right w:w="108" w:type="dxa"/>
          </w:tblCellMar>
        </w:tblPrEx>
        <w:trPr>
          <w:trHeight w:val="439" w:hRule="atLeast"/>
          <w:jc w:val="center"/>
        </w:trPr>
        <w:tc>
          <w:tcPr>
            <w:tcW w:w="2756"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hAnsi="宋体" w:cs="宋体"/>
              </w:rPr>
              <w:t>上年结转</w:t>
            </w:r>
          </w:p>
        </w:tc>
        <w:tc>
          <w:tcPr>
            <w:tcW w:w="1582" w:type="dxa"/>
            <w:tcBorders>
              <w:top w:val="single" w:color="auto" w:sz="4" w:space="0"/>
              <w:left w:val="nil"/>
              <w:bottom w:val="single" w:color="auto" w:sz="4" w:space="0"/>
              <w:right w:val="single" w:color="auto" w:sz="4" w:space="0"/>
            </w:tcBorders>
            <w:vAlign w:val="center"/>
          </w:tcPr>
          <w:p>
            <w:pPr>
              <w:jc w:val="right"/>
            </w:pPr>
            <w:r>
              <w:t>2767200.00</w:t>
            </w:r>
          </w:p>
        </w:tc>
        <w:tc>
          <w:tcPr>
            <w:tcW w:w="3051" w:type="dxa"/>
            <w:tcBorders>
              <w:top w:val="single" w:color="auto" w:sz="4" w:space="0"/>
              <w:left w:val="nil"/>
              <w:bottom w:val="single" w:color="auto" w:sz="4" w:space="0"/>
              <w:right w:val="single" w:color="auto" w:sz="4" w:space="0"/>
            </w:tcBorders>
            <w:vAlign w:val="center"/>
          </w:tcPr>
          <w:p>
            <w:pPr>
              <w:jc w:val="left"/>
            </w:pPr>
            <w:r>
              <w:rPr>
                <w:rFonts w:hint="eastAsia" w:hAnsi="宋体" w:cs="宋体"/>
              </w:rPr>
              <w:t>　</w:t>
            </w:r>
          </w:p>
        </w:tc>
        <w:tc>
          <w:tcPr>
            <w:tcW w:w="1890" w:type="dxa"/>
            <w:tcBorders>
              <w:top w:val="single" w:color="auto" w:sz="4" w:space="0"/>
              <w:left w:val="nil"/>
              <w:bottom w:val="single" w:color="auto" w:sz="4" w:space="0"/>
              <w:right w:val="single" w:color="auto" w:sz="4" w:space="0"/>
            </w:tcBorders>
            <w:vAlign w:val="center"/>
          </w:tcPr>
          <w:p>
            <w:pPr>
              <w:jc w:val="right"/>
            </w:pPr>
          </w:p>
        </w:tc>
      </w:tr>
      <w:tr>
        <w:tblPrEx>
          <w:tblLayout w:type="fixed"/>
          <w:tblCellMar>
            <w:top w:w="0" w:type="dxa"/>
            <w:left w:w="108" w:type="dxa"/>
            <w:bottom w:w="0" w:type="dxa"/>
            <w:right w:w="108" w:type="dxa"/>
          </w:tblCellMar>
        </w:tblPrEx>
        <w:trPr>
          <w:trHeight w:val="439" w:hRule="atLeast"/>
          <w:jc w:val="center"/>
        </w:trPr>
        <w:tc>
          <w:tcPr>
            <w:tcW w:w="2756"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hAnsi="宋体" w:cs="宋体"/>
              </w:rPr>
              <w:t>上年结转（其他资金）</w:t>
            </w:r>
          </w:p>
        </w:tc>
        <w:tc>
          <w:tcPr>
            <w:tcW w:w="1582" w:type="dxa"/>
            <w:tcBorders>
              <w:top w:val="single" w:color="auto" w:sz="4" w:space="0"/>
              <w:left w:val="nil"/>
              <w:bottom w:val="single" w:color="auto" w:sz="4" w:space="0"/>
              <w:right w:val="single" w:color="auto" w:sz="4" w:space="0"/>
            </w:tcBorders>
            <w:vAlign w:val="center"/>
          </w:tcPr>
          <w:p>
            <w:pPr>
              <w:jc w:val="right"/>
            </w:pPr>
          </w:p>
        </w:tc>
        <w:tc>
          <w:tcPr>
            <w:tcW w:w="3051" w:type="dxa"/>
            <w:tcBorders>
              <w:top w:val="single" w:color="auto" w:sz="4" w:space="0"/>
              <w:left w:val="nil"/>
              <w:bottom w:val="single" w:color="auto" w:sz="4" w:space="0"/>
              <w:right w:val="single" w:color="auto" w:sz="4" w:space="0"/>
            </w:tcBorders>
            <w:vAlign w:val="center"/>
          </w:tcPr>
          <w:p>
            <w:pPr>
              <w:jc w:val="left"/>
            </w:pPr>
          </w:p>
        </w:tc>
        <w:tc>
          <w:tcPr>
            <w:tcW w:w="1890" w:type="dxa"/>
            <w:tcBorders>
              <w:top w:val="single" w:color="auto" w:sz="4" w:space="0"/>
              <w:left w:val="nil"/>
              <w:bottom w:val="single" w:color="auto" w:sz="4" w:space="0"/>
              <w:right w:val="single" w:color="auto" w:sz="4" w:space="0"/>
            </w:tcBorders>
            <w:vAlign w:val="center"/>
          </w:tcPr>
          <w:p>
            <w:pPr>
              <w:jc w:val="right"/>
            </w:pPr>
          </w:p>
        </w:tc>
      </w:tr>
      <w:tr>
        <w:tblPrEx>
          <w:tblLayout w:type="fixed"/>
          <w:tblCellMar>
            <w:top w:w="0" w:type="dxa"/>
            <w:left w:w="108" w:type="dxa"/>
            <w:bottom w:w="0" w:type="dxa"/>
            <w:right w:w="108" w:type="dxa"/>
          </w:tblCellMar>
        </w:tblPrEx>
        <w:trPr>
          <w:trHeight w:val="439" w:hRule="atLeast"/>
          <w:jc w:val="center"/>
        </w:trPr>
        <w:tc>
          <w:tcPr>
            <w:tcW w:w="275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hAnsi="宋体" w:cs="宋体"/>
              </w:rPr>
              <w:t>收入合计：</w:t>
            </w:r>
          </w:p>
        </w:tc>
        <w:tc>
          <w:tcPr>
            <w:tcW w:w="1582" w:type="dxa"/>
            <w:tcBorders>
              <w:top w:val="single" w:color="auto" w:sz="4" w:space="0"/>
              <w:left w:val="nil"/>
              <w:bottom w:val="single" w:color="auto" w:sz="4" w:space="0"/>
              <w:right w:val="single" w:color="auto" w:sz="4" w:space="0"/>
            </w:tcBorders>
            <w:vAlign w:val="center"/>
          </w:tcPr>
          <w:p>
            <w:pPr>
              <w:jc w:val="right"/>
            </w:pPr>
            <w:r>
              <w:t>410676270.4</w:t>
            </w:r>
          </w:p>
        </w:tc>
        <w:tc>
          <w:tcPr>
            <w:tcW w:w="3051" w:type="dxa"/>
            <w:tcBorders>
              <w:top w:val="single" w:color="auto" w:sz="4" w:space="0"/>
              <w:left w:val="nil"/>
              <w:bottom w:val="single" w:color="auto" w:sz="4" w:space="0"/>
              <w:right w:val="single" w:color="auto" w:sz="4" w:space="0"/>
            </w:tcBorders>
            <w:vAlign w:val="center"/>
          </w:tcPr>
          <w:p>
            <w:pPr>
              <w:jc w:val="center"/>
            </w:pPr>
            <w:r>
              <w:rPr>
                <w:rFonts w:hint="eastAsia" w:hAnsi="宋体" w:cs="宋体"/>
              </w:rPr>
              <w:t>支出合计：</w:t>
            </w:r>
          </w:p>
        </w:tc>
        <w:tc>
          <w:tcPr>
            <w:tcW w:w="1890" w:type="dxa"/>
            <w:tcBorders>
              <w:top w:val="single" w:color="auto" w:sz="4" w:space="0"/>
              <w:left w:val="nil"/>
              <w:bottom w:val="single" w:color="auto" w:sz="4" w:space="0"/>
              <w:right w:val="single" w:color="auto" w:sz="4" w:space="0"/>
            </w:tcBorders>
            <w:vAlign w:val="center"/>
          </w:tcPr>
          <w:p>
            <w:pPr>
              <w:jc w:val="right"/>
            </w:pPr>
            <w:r>
              <w:t>410676270.40</w:t>
            </w:r>
          </w:p>
        </w:tc>
      </w:tr>
    </w:tbl>
    <w:p>
      <w:pPr>
        <w:spacing w:line="590" w:lineRule="exact"/>
        <w:rPr>
          <w:rFonts w:ascii="黑体" w:hAnsi="黑体" w:eastAsia="黑体"/>
          <w:sz w:val="32"/>
          <w:szCs w:val="32"/>
        </w:rPr>
      </w:pPr>
    </w:p>
    <w:p>
      <w:pPr>
        <w:spacing w:line="590" w:lineRule="exact"/>
        <w:rPr>
          <w:rFonts w:ascii="黑体" w:hAnsi="黑体" w:eastAsia="黑体"/>
          <w:sz w:val="32"/>
          <w:szCs w:val="32"/>
        </w:rPr>
      </w:pPr>
    </w:p>
    <w:p>
      <w:pPr>
        <w:spacing w:line="590" w:lineRule="exact"/>
        <w:rPr>
          <w:rFonts w:ascii="黑体" w:hAnsi="黑体" w:eastAsia="黑体"/>
          <w:sz w:val="32"/>
          <w:szCs w:val="32"/>
        </w:rPr>
      </w:pPr>
    </w:p>
    <w:p>
      <w:pPr>
        <w:spacing w:line="590" w:lineRule="exact"/>
        <w:rPr>
          <w:rFonts w:ascii="仿宋_GB2312" w:hAnsi="黑体" w:eastAsia="仿宋_GB2312" w:cs="仿宋_GB2312"/>
          <w:sz w:val="32"/>
          <w:szCs w:val="32"/>
        </w:rPr>
      </w:pPr>
      <w:r>
        <w:rPr>
          <w:rFonts w:hint="eastAsia" w:ascii="仿宋_GB2312" w:hAnsi="黑体" w:eastAsia="仿宋_GB2312" w:cs="仿宋_GB2312"/>
          <w:sz w:val="32"/>
          <w:szCs w:val="32"/>
        </w:rPr>
        <w:t>附件</w:t>
      </w:r>
      <w:r>
        <w:rPr>
          <w:rFonts w:ascii="仿宋_GB2312" w:hAnsi="黑体" w:eastAsia="仿宋_GB2312" w:cs="仿宋_GB2312"/>
          <w:sz w:val="32"/>
          <w:szCs w:val="32"/>
        </w:rPr>
        <w:t xml:space="preserve">2   </w:t>
      </w:r>
    </w:p>
    <w:p>
      <w:pPr>
        <w:spacing w:line="590" w:lineRule="exact"/>
        <w:jc w:val="center"/>
        <w:rPr>
          <w:rFonts w:hAnsi="宋体"/>
        </w:rPr>
      </w:pPr>
      <w:r>
        <w:rPr>
          <w:rFonts w:ascii="方正小标宋简体" w:hAnsi="Arial" w:eastAsia="方正小标宋简体" w:cs="方正小标宋简体"/>
          <w:sz w:val="36"/>
          <w:szCs w:val="36"/>
        </w:rPr>
        <w:t>2021</w:t>
      </w:r>
      <w:r>
        <w:rPr>
          <w:rFonts w:hint="eastAsia" w:ascii="方正小标宋简体" w:hAnsi="Arial" w:eastAsia="方正小标宋简体" w:cs="方正小标宋简体"/>
          <w:sz w:val="36"/>
          <w:szCs w:val="36"/>
        </w:rPr>
        <w:t>年部门（单位）财政拨款收支预算总表</w:t>
      </w:r>
      <w:r>
        <w:rPr>
          <w:rFonts w:ascii="方正小标宋简体" w:hAnsi="Arial" w:eastAsia="方正小标宋简体" w:cs="方正小标宋简体"/>
          <w:sz w:val="36"/>
          <w:szCs w:val="36"/>
        </w:rPr>
        <w:t>(</w:t>
      </w:r>
      <w:r>
        <w:rPr>
          <w:rFonts w:hint="eastAsia" w:ascii="方正小标宋简体" w:hAnsi="Arial" w:eastAsia="方正小标宋简体" w:cs="方正小标宋简体"/>
          <w:sz w:val="36"/>
          <w:szCs w:val="36"/>
        </w:rPr>
        <w:t>表</w:t>
      </w:r>
      <w:r>
        <w:rPr>
          <w:rFonts w:ascii="方正小标宋简体" w:hAnsi="Arial" w:eastAsia="方正小标宋简体" w:cs="方正小标宋简体"/>
          <w:sz w:val="36"/>
          <w:szCs w:val="36"/>
        </w:rPr>
        <w:t>02)</w:t>
      </w:r>
      <w:r>
        <w:rPr>
          <w:rFonts w:hAnsi="宋体"/>
        </w:rPr>
        <w:t xml:space="preserve"> </w:t>
      </w:r>
    </w:p>
    <w:p>
      <w:pPr>
        <w:spacing w:line="590" w:lineRule="exact"/>
        <w:rPr>
          <w:rFonts w:ascii="方正小标宋简体" w:eastAsia="方正小标宋简体"/>
          <w:sz w:val="32"/>
          <w:szCs w:val="32"/>
        </w:rPr>
      </w:pPr>
      <w:r>
        <w:rPr>
          <w:rFonts w:hint="eastAsia" w:hAnsi="宋体" w:cs="宋体"/>
        </w:rPr>
        <w:t>单位：温岭市住房和城乡建设局</w:t>
      </w:r>
      <w:r>
        <w:rPr>
          <w:rFonts w:hAnsi="宋体"/>
        </w:rPr>
        <w:t xml:space="preserve">                                                 </w:t>
      </w:r>
      <w:r>
        <w:rPr>
          <w:rFonts w:hint="eastAsia" w:hAnsi="宋体" w:cs="宋体"/>
        </w:rPr>
        <w:t>单位：元</w:t>
      </w:r>
    </w:p>
    <w:tbl>
      <w:tblPr>
        <w:tblStyle w:val="7"/>
        <w:tblW w:w="9292" w:type="dxa"/>
        <w:jc w:val="center"/>
        <w:tblInd w:w="0" w:type="dxa"/>
        <w:tblLayout w:type="fixed"/>
        <w:tblCellMar>
          <w:top w:w="0" w:type="dxa"/>
          <w:left w:w="108" w:type="dxa"/>
          <w:bottom w:w="0" w:type="dxa"/>
          <w:right w:w="108" w:type="dxa"/>
        </w:tblCellMar>
      </w:tblPr>
      <w:tblGrid>
        <w:gridCol w:w="2783"/>
        <w:gridCol w:w="1599"/>
        <w:gridCol w:w="3090"/>
        <w:gridCol w:w="1820"/>
      </w:tblGrid>
      <w:tr>
        <w:tblPrEx>
          <w:tblLayout w:type="fixed"/>
          <w:tblCellMar>
            <w:top w:w="0" w:type="dxa"/>
            <w:left w:w="108" w:type="dxa"/>
            <w:bottom w:w="0" w:type="dxa"/>
            <w:right w:w="108" w:type="dxa"/>
          </w:tblCellMar>
        </w:tblPrEx>
        <w:trPr>
          <w:trHeight w:val="638" w:hRule="atLeast"/>
          <w:jc w:val="center"/>
        </w:trPr>
        <w:tc>
          <w:tcPr>
            <w:tcW w:w="4382" w:type="dxa"/>
            <w:gridSpan w:val="2"/>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hAnsi="宋体" w:cs="宋体"/>
                <w:b/>
                <w:bCs/>
              </w:rPr>
              <w:t>收</w:t>
            </w:r>
            <w:r>
              <w:rPr>
                <w:b/>
                <w:bCs/>
              </w:rPr>
              <w:t xml:space="preserve">    </w:t>
            </w:r>
            <w:r>
              <w:rPr>
                <w:rFonts w:hint="eastAsia" w:hAnsi="宋体" w:cs="宋体"/>
                <w:b/>
                <w:bCs/>
              </w:rPr>
              <w:t>入</w:t>
            </w:r>
          </w:p>
        </w:tc>
        <w:tc>
          <w:tcPr>
            <w:tcW w:w="4910" w:type="dxa"/>
            <w:gridSpan w:val="2"/>
            <w:tcBorders>
              <w:top w:val="single" w:color="auto" w:sz="4" w:space="0"/>
              <w:left w:val="nil"/>
              <w:bottom w:val="single" w:color="auto" w:sz="4" w:space="0"/>
              <w:right w:val="single" w:color="auto" w:sz="4" w:space="0"/>
            </w:tcBorders>
            <w:vAlign w:val="center"/>
          </w:tcPr>
          <w:p>
            <w:pPr>
              <w:jc w:val="center"/>
              <w:rPr>
                <w:b/>
                <w:bCs/>
              </w:rPr>
            </w:pPr>
            <w:r>
              <w:rPr>
                <w:rFonts w:hint="eastAsia" w:hAnsi="宋体" w:cs="宋体"/>
                <w:b/>
                <w:bCs/>
              </w:rPr>
              <w:t>支</w:t>
            </w:r>
            <w:r>
              <w:rPr>
                <w:b/>
                <w:bCs/>
              </w:rPr>
              <w:t xml:space="preserve">    </w:t>
            </w:r>
            <w:r>
              <w:rPr>
                <w:rFonts w:hint="eastAsia" w:hAnsi="宋体" w:cs="宋体"/>
                <w:b/>
                <w:bCs/>
              </w:rPr>
              <w:t>出</w:t>
            </w:r>
          </w:p>
        </w:tc>
      </w:tr>
      <w:tr>
        <w:tblPrEx>
          <w:tblLayout w:type="fixed"/>
          <w:tblCellMar>
            <w:top w:w="0" w:type="dxa"/>
            <w:left w:w="108" w:type="dxa"/>
            <w:bottom w:w="0" w:type="dxa"/>
            <w:right w:w="108" w:type="dxa"/>
          </w:tblCellMar>
        </w:tblPrEx>
        <w:trPr>
          <w:trHeight w:val="638" w:hRule="atLeast"/>
          <w:jc w:val="center"/>
        </w:trPr>
        <w:tc>
          <w:tcPr>
            <w:tcW w:w="2783" w:type="dxa"/>
            <w:tcBorders>
              <w:top w:val="nil"/>
              <w:left w:val="single" w:color="auto" w:sz="4" w:space="0"/>
              <w:bottom w:val="single" w:color="auto" w:sz="4" w:space="0"/>
              <w:right w:val="single" w:color="auto" w:sz="4" w:space="0"/>
            </w:tcBorders>
            <w:vAlign w:val="center"/>
          </w:tcPr>
          <w:p>
            <w:pPr>
              <w:jc w:val="center"/>
              <w:rPr>
                <w:b/>
                <w:bCs/>
              </w:rPr>
            </w:pPr>
            <w:r>
              <w:rPr>
                <w:rFonts w:hint="eastAsia" w:hAnsi="宋体" w:cs="宋体"/>
                <w:b/>
                <w:bCs/>
              </w:rPr>
              <w:t>项</w:t>
            </w:r>
            <w:r>
              <w:rPr>
                <w:b/>
                <w:bCs/>
              </w:rPr>
              <w:t xml:space="preserve">    </w:t>
            </w:r>
            <w:r>
              <w:rPr>
                <w:rFonts w:hint="eastAsia" w:hAnsi="宋体" w:cs="宋体"/>
                <w:b/>
                <w:bCs/>
              </w:rPr>
              <w:t>目</w:t>
            </w:r>
          </w:p>
        </w:tc>
        <w:tc>
          <w:tcPr>
            <w:tcW w:w="1599" w:type="dxa"/>
            <w:tcBorders>
              <w:top w:val="nil"/>
              <w:left w:val="nil"/>
              <w:bottom w:val="single" w:color="auto" w:sz="4" w:space="0"/>
              <w:right w:val="single" w:color="auto" w:sz="4" w:space="0"/>
            </w:tcBorders>
            <w:vAlign w:val="center"/>
          </w:tcPr>
          <w:p>
            <w:pPr>
              <w:jc w:val="center"/>
              <w:rPr>
                <w:b/>
                <w:bCs/>
              </w:rPr>
            </w:pPr>
            <w:r>
              <w:rPr>
                <w:rFonts w:hint="eastAsia" w:hAnsi="宋体" w:cs="宋体"/>
                <w:b/>
                <w:bCs/>
              </w:rPr>
              <w:t>年初预算</w:t>
            </w:r>
          </w:p>
        </w:tc>
        <w:tc>
          <w:tcPr>
            <w:tcW w:w="3090" w:type="dxa"/>
            <w:tcBorders>
              <w:top w:val="nil"/>
              <w:left w:val="nil"/>
              <w:bottom w:val="single" w:color="auto" w:sz="4" w:space="0"/>
              <w:right w:val="single" w:color="auto" w:sz="4" w:space="0"/>
            </w:tcBorders>
            <w:vAlign w:val="center"/>
          </w:tcPr>
          <w:p>
            <w:pPr>
              <w:jc w:val="center"/>
              <w:rPr>
                <w:b/>
                <w:bCs/>
              </w:rPr>
            </w:pPr>
            <w:r>
              <w:rPr>
                <w:rFonts w:hint="eastAsia" w:hAnsi="宋体" w:cs="宋体"/>
                <w:b/>
                <w:bCs/>
              </w:rPr>
              <w:t>项</w:t>
            </w:r>
            <w:r>
              <w:rPr>
                <w:b/>
                <w:bCs/>
              </w:rPr>
              <w:t xml:space="preserve">    </w:t>
            </w:r>
            <w:r>
              <w:rPr>
                <w:rFonts w:hint="eastAsia" w:hAnsi="宋体" w:cs="宋体"/>
                <w:b/>
                <w:bCs/>
              </w:rPr>
              <w:t>目</w:t>
            </w:r>
          </w:p>
        </w:tc>
        <w:tc>
          <w:tcPr>
            <w:tcW w:w="1820" w:type="dxa"/>
            <w:tcBorders>
              <w:top w:val="nil"/>
              <w:left w:val="nil"/>
              <w:bottom w:val="single" w:color="auto" w:sz="4" w:space="0"/>
              <w:right w:val="single" w:color="auto" w:sz="4" w:space="0"/>
            </w:tcBorders>
            <w:vAlign w:val="center"/>
          </w:tcPr>
          <w:p>
            <w:pPr>
              <w:jc w:val="center"/>
              <w:rPr>
                <w:b/>
                <w:bCs/>
              </w:rPr>
            </w:pPr>
            <w:r>
              <w:rPr>
                <w:rFonts w:hint="eastAsia" w:hAnsi="宋体" w:cs="宋体"/>
                <w:b/>
                <w:bCs/>
              </w:rPr>
              <w:t>年初预算</w:t>
            </w:r>
          </w:p>
        </w:tc>
      </w:tr>
      <w:tr>
        <w:tblPrEx>
          <w:tblLayout w:type="fixed"/>
          <w:tblCellMar>
            <w:top w:w="0" w:type="dxa"/>
            <w:left w:w="108" w:type="dxa"/>
            <w:bottom w:w="0" w:type="dxa"/>
            <w:right w:w="108" w:type="dxa"/>
          </w:tblCellMar>
        </w:tblPrEx>
        <w:trPr>
          <w:trHeight w:val="638" w:hRule="atLeast"/>
          <w:jc w:val="center"/>
        </w:trPr>
        <w:tc>
          <w:tcPr>
            <w:tcW w:w="2783" w:type="dxa"/>
            <w:tcBorders>
              <w:top w:val="nil"/>
              <w:left w:val="single" w:color="auto" w:sz="4" w:space="0"/>
              <w:bottom w:val="single" w:color="auto" w:sz="4" w:space="0"/>
              <w:right w:val="single" w:color="auto" w:sz="4" w:space="0"/>
            </w:tcBorders>
            <w:vAlign w:val="center"/>
          </w:tcPr>
          <w:p>
            <w:pPr>
              <w:jc w:val="left"/>
            </w:pPr>
            <w:r>
              <w:rPr>
                <w:rFonts w:hint="eastAsia" w:hAnsi="宋体" w:cs="宋体"/>
              </w:rPr>
              <w:t>一般公共预算拨款</w:t>
            </w:r>
          </w:p>
        </w:tc>
        <w:tc>
          <w:tcPr>
            <w:tcW w:w="1599" w:type="dxa"/>
            <w:tcBorders>
              <w:top w:val="nil"/>
              <w:left w:val="nil"/>
              <w:bottom w:val="single" w:color="auto" w:sz="4" w:space="0"/>
              <w:right w:val="single" w:color="auto" w:sz="4" w:space="0"/>
            </w:tcBorders>
            <w:vAlign w:val="center"/>
          </w:tcPr>
          <w:p>
            <w:pPr>
              <w:ind w:left="-466" w:leftChars="-222" w:firstLine="546" w:firstLineChars="260"/>
              <w:jc w:val="right"/>
            </w:pPr>
            <w:r>
              <w:t>143159628.84</w:t>
            </w:r>
          </w:p>
        </w:tc>
        <w:tc>
          <w:tcPr>
            <w:tcW w:w="3090" w:type="dxa"/>
            <w:tcBorders>
              <w:top w:val="nil"/>
              <w:left w:val="nil"/>
              <w:bottom w:val="single" w:color="auto" w:sz="4" w:space="0"/>
              <w:right w:val="single" w:color="auto" w:sz="4" w:space="0"/>
            </w:tcBorders>
            <w:vAlign w:val="center"/>
          </w:tcPr>
          <w:p>
            <w:pPr>
              <w:jc w:val="left"/>
            </w:pPr>
            <w:r>
              <w:rPr>
                <w:rFonts w:hint="eastAsia" w:hAnsi="宋体" w:cs="宋体"/>
              </w:rPr>
              <w:t>基本支出</w:t>
            </w:r>
          </w:p>
        </w:tc>
        <w:tc>
          <w:tcPr>
            <w:tcW w:w="1820" w:type="dxa"/>
            <w:tcBorders>
              <w:top w:val="nil"/>
              <w:left w:val="nil"/>
              <w:bottom w:val="single" w:color="auto" w:sz="4" w:space="0"/>
              <w:right w:val="single" w:color="auto" w:sz="4" w:space="0"/>
            </w:tcBorders>
            <w:vAlign w:val="center"/>
          </w:tcPr>
          <w:p>
            <w:pPr>
              <w:jc w:val="right"/>
            </w:pPr>
            <w:r>
              <w:t>35717461.40</w:t>
            </w:r>
          </w:p>
        </w:tc>
      </w:tr>
      <w:tr>
        <w:tblPrEx>
          <w:tblLayout w:type="fixed"/>
          <w:tblCellMar>
            <w:top w:w="0" w:type="dxa"/>
            <w:left w:w="108" w:type="dxa"/>
            <w:bottom w:w="0" w:type="dxa"/>
            <w:right w:w="108" w:type="dxa"/>
          </w:tblCellMar>
        </w:tblPrEx>
        <w:trPr>
          <w:trHeight w:val="638" w:hRule="atLeast"/>
          <w:jc w:val="center"/>
        </w:trPr>
        <w:tc>
          <w:tcPr>
            <w:tcW w:w="2783" w:type="dxa"/>
            <w:tcBorders>
              <w:top w:val="nil"/>
              <w:left w:val="single" w:color="auto" w:sz="4" w:space="0"/>
              <w:bottom w:val="single" w:color="auto" w:sz="4" w:space="0"/>
              <w:right w:val="single" w:color="auto" w:sz="4" w:space="0"/>
            </w:tcBorders>
            <w:vAlign w:val="center"/>
          </w:tcPr>
          <w:p>
            <w:pPr>
              <w:jc w:val="left"/>
            </w:pPr>
            <w:r>
              <w:rPr>
                <w:rFonts w:hint="eastAsia" w:hAnsi="宋体" w:cs="宋体"/>
              </w:rPr>
              <w:t>政府性基金预算拨款</w:t>
            </w:r>
          </w:p>
        </w:tc>
        <w:tc>
          <w:tcPr>
            <w:tcW w:w="1599" w:type="dxa"/>
            <w:tcBorders>
              <w:top w:val="nil"/>
              <w:left w:val="nil"/>
              <w:bottom w:val="single" w:color="auto" w:sz="4" w:space="0"/>
              <w:right w:val="single" w:color="auto" w:sz="4" w:space="0"/>
            </w:tcBorders>
            <w:vAlign w:val="center"/>
          </w:tcPr>
          <w:p>
            <w:pPr>
              <w:jc w:val="right"/>
            </w:pPr>
            <w:r>
              <w:t>167791900.00</w:t>
            </w:r>
          </w:p>
        </w:tc>
        <w:tc>
          <w:tcPr>
            <w:tcW w:w="3090" w:type="dxa"/>
            <w:tcBorders>
              <w:top w:val="nil"/>
              <w:left w:val="nil"/>
              <w:bottom w:val="single" w:color="auto" w:sz="4" w:space="0"/>
              <w:right w:val="single" w:color="auto" w:sz="4" w:space="0"/>
            </w:tcBorders>
            <w:vAlign w:val="center"/>
          </w:tcPr>
          <w:p>
            <w:pPr>
              <w:jc w:val="left"/>
            </w:pPr>
            <w:r>
              <w:t xml:space="preserve">  </w:t>
            </w:r>
            <w:r>
              <w:rPr>
                <w:rFonts w:hint="eastAsia" w:hAnsi="宋体" w:cs="宋体"/>
              </w:rPr>
              <w:t>工资福利支出</w:t>
            </w:r>
          </w:p>
        </w:tc>
        <w:tc>
          <w:tcPr>
            <w:tcW w:w="1820" w:type="dxa"/>
            <w:tcBorders>
              <w:top w:val="nil"/>
              <w:left w:val="nil"/>
              <w:bottom w:val="single" w:color="auto" w:sz="4" w:space="0"/>
              <w:right w:val="single" w:color="auto" w:sz="4" w:space="0"/>
            </w:tcBorders>
            <w:vAlign w:val="center"/>
          </w:tcPr>
          <w:p>
            <w:pPr>
              <w:jc w:val="right"/>
            </w:pPr>
            <w:r>
              <w:t>28731596.40</w:t>
            </w:r>
          </w:p>
        </w:tc>
      </w:tr>
      <w:tr>
        <w:tblPrEx>
          <w:tblLayout w:type="fixed"/>
          <w:tblCellMar>
            <w:top w:w="0" w:type="dxa"/>
            <w:left w:w="108" w:type="dxa"/>
            <w:bottom w:w="0" w:type="dxa"/>
            <w:right w:w="108" w:type="dxa"/>
          </w:tblCellMar>
        </w:tblPrEx>
        <w:trPr>
          <w:trHeight w:val="638" w:hRule="atLeast"/>
          <w:jc w:val="center"/>
        </w:trPr>
        <w:tc>
          <w:tcPr>
            <w:tcW w:w="2783" w:type="dxa"/>
            <w:tcBorders>
              <w:top w:val="nil"/>
              <w:left w:val="single" w:color="auto" w:sz="4" w:space="0"/>
              <w:bottom w:val="single" w:color="auto" w:sz="4" w:space="0"/>
              <w:right w:val="single" w:color="auto" w:sz="4" w:space="0"/>
            </w:tcBorders>
            <w:vAlign w:val="center"/>
          </w:tcPr>
          <w:p>
            <w:pPr>
              <w:jc w:val="left"/>
            </w:pPr>
          </w:p>
        </w:tc>
        <w:tc>
          <w:tcPr>
            <w:tcW w:w="1599" w:type="dxa"/>
            <w:tcBorders>
              <w:top w:val="nil"/>
              <w:left w:val="nil"/>
              <w:bottom w:val="single" w:color="auto" w:sz="4" w:space="0"/>
              <w:right w:val="single" w:color="auto" w:sz="4" w:space="0"/>
            </w:tcBorders>
            <w:vAlign w:val="center"/>
          </w:tcPr>
          <w:p>
            <w:pPr>
              <w:jc w:val="left"/>
            </w:pPr>
          </w:p>
        </w:tc>
        <w:tc>
          <w:tcPr>
            <w:tcW w:w="3090" w:type="dxa"/>
            <w:tcBorders>
              <w:top w:val="nil"/>
              <w:left w:val="nil"/>
              <w:bottom w:val="single" w:color="auto" w:sz="4" w:space="0"/>
              <w:right w:val="single" w:color="auto" w:sz="4" w:space="0"/>
            </w:tcBorders>
            <w:vAlign w:val="center"/>
          </w:tcPr>
          <w:p>
            <w:pPr>
              <w:jc w:val="left"/>
            </w:pPr>
            <w:r>
              <w:t xml:space="preserve">  </w:t>
            </w:r>
            <w:r>
              <w:rPr>
                <w:rFonts w:hint="eastAsia" w:hAnsi="宋体" w:cs="宋体"/>
              </w:rPr>
              <w:t>其他基本支出</w:t>
            </w:r>
          </w:p>
        </w:tc>
        <w:tc>
          <w:tcPr>
            <w:tcW w:w="1820" w:type="dxa"/>
            <w:tcBorders>
              <w:top w:val="nil"/>
              <w:left w:val="nil"/>
              <w:bottom w:val="single" w:color="auto" w:sz="4" w:space="0"/>
              <w:right w:val="single" w:color="auto" w:sz="4" w:space="0"/>
            </w:tcBorders>
            <w:vAlign w:val="center"/>
          </w:tcPr>
          <w:p>
            <w:pPr>
              <w:jc w:val="right"/>
            </w:pPr>
            <w:r>
              <w:t>5859320.00</w:t>
            </w:r>
          </w:p>
        </w:tc>
      </w:tr>
      <w:tr>
        <w:tblPrEx>
          <w:tblLayout w:type="fixed"/>
          <w:tblCellMar>
            <w:top w:w="0" w:type="dxa"/>
            <w:left w:w="108" w:type="dxa"/>
            <w:bottom w:w="0" w:type="dxa"/>
            <w:right w:w="108" w:type="dxa"/>
          </w:tblCellMar>
        </w:tblPrEx>
        <w:trPr>
          <w:trHeight w:val="638" w:hRule="atLeast"/>
          <w:jc w:val="center"/>
        </w:trPr>
        <w:tc>
          <w:tcPr>
            <w:tcW w:w="2783" w:type="dxa"/>
            <w:tcBorders>
              <w:top w:val="nil"/>
              <w:left w:val="single" w:color="auto" w:sz="4" w:space="0"/>
              <w:bottom w:val="single" w:color="auto" w:sz="4" w:space="0"/>
              <w:right w:val="single" w:color="auto" w:sz="4" w:space="0"/>
            </w:tcBorders>
            <w:vAlign w:val="center"/>
          </w:tcPr>
          <w:p>
            <w:pPr>
              <w:jc w:val="left"/>
            </w:pPr>
          </w:p>
        </w:tc>
        <w:tc>
          <w:tcPr>
            <w:tcW w:w="1599" w:type="dxa"/>
            <w:tcBorders>
              <w:top w:val="nil"/>
              <w:left w:val="nil"/>
              <w:bottom w:val="single" w:color="auto" w:sz="4" w:space="0"/>
              <w:right w:val="single" w:color="auto" w:sz="4" w:space="0"/>
            </w:tcBorders>
            <w:vAlign w:val="center"/>
          </w:tcPr>
          <w:p>
            <w:pPr>
              <w:jc w:val="left"/>
            </w:pPr>
          </w:p>
        </w:tc>
        <w:tc>
          <w:tcPr>
            <w:tcW w:w="3090" w:type="dxa"/>
            <w:tcBorders>
              <w:top w:val="nil"/>
              <w:left w:val="nil"/>
              <w:bottom w:val="single" w:color="auto" w:sz="4" w:space="0"/>
              <w:right w:val="single" w:color="auto" w:sz="4" w:space="0"/>
            </w:tcBorders>
            <w:vAlign w:val="center"/>
          </w:tcPr>
          <w:p>
            <w:pPr>
              <w:jc w:val="left"/>
            </w:pPr>
            <w:r>
              <w:t xml:space="preserve">  </w:t>
            </w:r>
            <w:r>
              <w:rPr>
                <w:rFonts w:hint="eastAsia" w:hAnsi="宋体" w:cs="宋体"/>
              </w:rPr>
              <w:t>对个人和家庭的补助支出</w:t>
            </w:r>
          </w:p>
        </w:tc>
        <w:tc>
          <w:tcPr>
            <w:tcW w:w="1820" w:type="dxa"/>
            <w:tcBorders>
              <w:top w:val="nil"/>
              <w:left w:val="nil"/>
              <w:bottom w:val="single" w:color="auto" w:sz="4" w:space="0"/>
              <w:right w:val="single" w:color="auto" w:sz="4" w:space="0"/>
            </w:tcBorders>
            <w:vAlign w:val="center"/>
          </w:tcPr>
          <w:p>
            <w:pPr>
              <w:jc w:val="right"/>
            </w:pPr>
            <w:r>
              <w:t>1126545.00</w:t>
            </w:r>
          </w:p>
        </w:tc>
      </w:tr>
      <w:tr>
        <w:tblPrEx>
          <w:tblLayout w:type="fixed"/>
          <w:tblCellMar>
            <w:top w:w="0" w:type="dxa"/>
            <w:left w:w="108" w:type="dxa"/>
            <w:bottom w:w="0" w:type="dxa"/>
            <w:right w:w="108" w:type="dxa"/>
          </w:tblCellMar>
        </w:tblPrEx>
        <w:trPr>
          <w:trHeight w:val="638" w:hRule="atLeast"/>
          <w:jc w:val="center"/>
        </w:trPr>
        <w:tc>
          <w:tcPr>
            <w:tcW w:w="2783" w:type="dxa"/>
            <w:tcBorders>
              <w:top w:val="nil"/>
              <w:left w:val="single" w:color="auto" w:sz="4" w:space="0"/>
              <w:bottom w:val="single" w:color="auto" w:sz="4" w:space="0"/>
              <w:right w:val="single" w:color="auto" w:sz="4" w:space="0"/>
            </w:tcBorders>
            <w:vAlign w:val="center"/>
          </w:tcPr>
          <w:p>
            <w:pPr>
              <w:jc w:val="left"/>
            </w:pPr>
          </w:p>
        </w:tc>
        <w:tc>
          <w:tcPr>
            <w:tcW w:w="1599" w:type="dxa"/>
            <w:tcBorders>
              <w:top w:val="nil"/>
              <w:left w:val="nil"/>
              <w:bottom w:val="single" w:color="auto" w:sz="4" w:space="0"/>
              <w:right w:val="single" w:color="auto" w:sz="4" w:space="0"/>
            </w:tcBorders>
            <w:vAlign w:val="center"/>
          </w:tcPr>
          <w:p>
            <w:pPr>
              <w:jc w:val="left"/>
            </w:pPr>
          </w:p>
        </w:tc>
        <w:tc>
          <w:tcPr>
            <w:tcW w:w="3090" w:type="dxa"/>
            <w:tcBorders>
              <w:top w:val="nil"/>
              <w:left w:val="nil"/>
              <w:bottom w:val="single" w:color="auto" w:sz="4" w:space="0"/>
              <w:right w:val="single" w:color="auto" w:sz="4" w:space="0"/>
            </w:tcBorders>
            <w:vAlign w:val="center"/>
          </w:tcPr>
          <w:p>
            <w:pPr>
              <w:jc w:val="left"/>
            </w:pPr>
            <w:r>
              <w:rPr>
                <w:rFonts w:hint="eastAsia" w:hAnsi="宋体" w:cs="宋体"/>
              </w:rPr>
              <w:t>项目支出</w:t>
            </w:r>
          </w:p>
        </w:tc>
        <w:tc>
          <w:tcPr>
            <w:tcW w:w="1820" w:type="dxa"/>
            <w:tcBorders>
              <w:top w:val="nil"/>
              <w:left w:val="nil"/>
              <w:bottom w:val="single" w:color="auto" w:sz="4" w:space="0"/>
              <w:right w:val="single" w:color="auto" w:sz="4" w:space="0"/>
            </w:tcBorders>
            <w:vAlign w:val="center"/>
          </w:tcPr>
          <w:p>
            <w:pPr>
              <w:jc w:val="right"/>
            </w:pPr>
            <w:r>
              <w:t>275234067.44</w:t>
            </w:r>
          </w:p>
        </w:tc>
      </w:tr>
      <w:tr>
        <w:tblPrEx>
          <w:tblLayout w:type="fixed"/>
          <w:tblCellMar>
            <w:top w:w="0" w:type="dxa"/>
            <w:left w:w="108" w:type="dxa"/>
            <w:bottom w:w="0" w:type="dxa"/>
            <w:right w:w="108" w:type="dxa"/>
          </w:tblCellMar>
        </w:tblPrEx>
        <w:trPr>
          <w:trHeight w:val="638" w:hRule="atLeast"/>
          <w:jc w:val="center"/>
        </w:trPr>
        <w:tc>
          <w:tcPr>
            <w:tcW w:w="2783" w:type="dxa"/>
            <w:tcBorders>
              <w:top w:val="nil"/>
              <w:left w:val="single" w:color="auto" w:sz="4" w:space="0"/>
              <w:bottom w:val="single" w:color="auto" w:sz="4" w:space="0"/>
              <w:right w:val="single" w:color="auto" w:sz="4" w:space="0"/>
            </w:tcBorders>
            <w:vAlign w:val="center"/>
          </w:tcPr>
          <w:p>
            <w:pPr>
              <w:jc w:val="left"/>
            </w:pPr>
          </w:p>
        </w:tc>
        <w:tc>
          <w:tcPr>
            <w:tcW w:w="1599" w:type="dxa"/>
            <w:tcBorders>
              <w:top w:val="nil"/>
              <w:left w:val="nil"/>
              <w:bottom w:val="single" w:color="auto" w:sz="4" w:space="0"/>
              <w:right w:val="single" w:color="auto" w:sz="4" w:space="0"/>
            </w:tcBorders>
            <w:vAlign w:val="center"/>
          </w:tcPr>
          <w:p>
            <w:pPr>
              <w:jc w:val="left"/>
            </w:pPr>
          </w:p>
        </w:tc>
        <w:tc>
          <w:tcPr>
            <w:tcW w:w="3090" w:type="dxa"/>
            <w:tcBorders>
              <w:top w:val="nil"/>
              <w:left w:val="nil"/>
              <w:bottom w:val="single" w:color="auto" w:sz="4" w:space="0"/>
              <w:right w:val="single" w:color="auto" w:sz="4" w:space="0"/>
            </w:tcBorders>
            <w:vAlign w:val="center"/>
          </w:tcPr>
          <w:p>
            <w:pPr>
              <w:jc w:val="left"/>
            </w:pPr>
            <w:r>
              <w:t xml:space="preserve">  </w:t>
            </w:r>
            <w:r>
              <w:rPr>
                <w:rFonts w:hint="eastAsia" w:hAnsi="宋体" w:cs="宋体"/>
              </w:rPr>
              <w:t>专项公用类项目支出</w:t>
            </w:r>
          </w:p>
        </w:tc>
        <w:tc>
          <w:tcPr>
            <w:tcW w:w="1820" w:type="dxa"/>
            <w:tcBorders>
              <w:top w:val="nil"/>
              <w:left w:val="nil"/>
              <w:bottom w:val="single" w:color="auto" w:sz="4" w:space="0"/>
              <w:right w:val="single" w:color="auto" w:sz="4" w:space="0"/>
            </w:tcBorders>
            <w:vAlign w:val="center"/>
          </w:tcPr>
          <w:p>
            <w:pPr>
              <w:jc w:val="right"/>
            </w:pPr>
            <w:r>
              <w:t>4176000.00</w:t>
            </w:r>
          </w:p>
        </w:tc>
      </w:tr>
      <w:tr>
        <w:tblPrEx>
          <w:tblLayout w:type="fixed"/>
          <w:tblCellMar>
            <w:top w:w="0" w:type="dxa"/>
            <w:left w:w="108" w:type="dxa"/>
            <w:bottom w:w="0" w:type="dxa"/>
            <w:right w:w="108" w:type="dxa"/>
          </w:tblCellMar>
        </w:tblPrEx>
        <w:trPr>
          <w:trHeight w:val="638" w:hRule="atLeast"/>
          <w:jc w:val="center"/>
        </w:trPr>
        <w:tc>
          <w:tcPr>
            <w:tcW w:w="2783" w:type="dxa"/>
            <w:tcBorders>
              <w:top w:val="nil"/>
              <w:left w:val="single" w:color="auto" w:sz="4" w:space="0"/>
              <w:bottom w:val="single" w:color="auto" w:sz="4" w:space="0"/>
              <w:right w:val="single" w:color="auto" w:sz="4" w:space="0"/>
            </w:tcBorders>
            <w:vAlign w:val="center"/>
          </w:tcPr>
          <w:p>
            <w:pPr>
              <w:jc w:val="left"/>
            </w:pPr>
          </w:p>
        </w:tc>
        <w:tc>
          <w:tcPr>
            <w:tcW w:w="1599" w:type="dxa"/>
            <w:tcBorders>
              <w:top w:val="nil"/>
              <w:left w:val="nil"/>
              <w:bottom w:val="single" w:color="auto" w:sz="4" w:space="0"/>
              <w:right w:val="single" w:color="auto" w:sz="4" w:space="0"/>
            </w:tcBorders>
            <w:vAlign w:val="center"/>
          </w:tcPr>
          <w:p>
            <w:pPr>
              <w:jc w:val="left"/>
            </w:pPr>
          </w:p>
        </w:tc>
        <w:tc>
          <w:tcPr>
            <w:tcW w:w="3090" w:type="dxa"/>
            <w:tcBorders>
              <w:top w:val="nil"/>
              <w:left w:val="nil"/>
              <w:bottom w:val="single" w:color="auto" w:sz="4" w:space="0"/>
              <w:right w:val="single" w:color="auto" w:sz="4" w:space="0"/>
            </w:tcBorders>
            <w:vAlign w:val="center"/>
          </w:tcPr>
          <w:p>
            <w:pPr>
              <w:jc w:val="left"/>
            </w:pPr>
            <w:r>
              <w:t xml:space="preserve">  </w:t>
            </w:r>
            <w:r>
              <w:rPr>
                <w:rFonts w:hint="eastAsia" w:hAnsi="宋体" w:cs="宋体"/>
              </w:rPr>
              <w:t>政策性项目支出</w:t>
            </w:r>
          </w:p>
        </w:tc>
        <w:tc>
          <w:tcPr>
            <w:tcW w:w="1820" w:type="dxa"/>
            <w:tcBorders>
              <w:top w:val="nil"/>
              <w:left w:val="nil"/>
              <w:bottom w:val="single" w:color="auto" w:sz="4" w:space="0"/>
              <w:right w:val="single" w:color="auto" w:sz="4" w:space="0"/>
            </w:tcBorders>
            <w:vAlign w:val="center"/>
          </w:tcPr>
          <w:p>
            <w:pPr>
              <w:jc w:val="right"/>
            </w:pPr>
            <w:r>
              <w:t>221925078.44</w:t>
            </w:r>
          </w:p>
        </w:tc>
      </w:tr>
      <w:tr>
        <w:tblPrEx>
          <w:tblLayout w:type="fixed"/>
          <w:tblCellMar>
            <w:top w:w="0" w:type="dxa"/>
            <w:left w:w="108" w:type="dxa"/>
            <w:bottom w:w="0" w:type="dxa"/>
            <w:right w:w="108" w:type="dxa"/>
          </w:tblCellMar>
        </w:tblPrEx>
        <w:trPr>
          <w:trHeight w:val="638" w:hRule="atLeast"/>
          <w:jc w:val="center"/>
        </w:trPr>
        <w:tc>
          <w:tcPr>
            <w:tcW w:w="2783" w:type="dxa"/>
            <w:tcBorders>
              <w:top w:val="nil"/>
              <w:left w:val="single" w:color="auto" w:sz="4" w:space="0"/>
              <w:bottom w:val="single" w:color="auto" w:sz="4" w:space="0"/>
              <w:right w:val="single" w:color="auto" w:sz="4" w:space="0"/>
            </w:tcBorders>
            <w:vAlign w:val="center"/>
          </w:tcPr>
          <w:p>
            <w:pPr>
              <w:jc w:val="left"/>
            </w:pPr>
          </w:p>
        </w:tc>
        <w:tc>
          <w:tcPr>
            <w:tcW w:w="1599" w:type="dxa"/>
            <w:tcBorders>
              <w:top w:val="nil"/>
              <w:left w:val="nil"/>
              <w:bottom w:val="single" w:color="auto" w:sz="4" w:space="0"/>
              <w:right w:val="single" w:color="auto" w:sz="4" w:space="0"/>
            </w:tcBorders>
            <w:vAlign w:val="center"/>
          </w:tcPr>
          <w:p>
            <w:pPr>
              <w:jc w:val="left"/>
            </w:pPr>
          </w:p>
        </w:tc>
        <w:tc>
          <w:tcPr>
            <w:tcW w:w="3090" w:type="dxa"/>
            <w:tcBorders>
              <w:top w:val="nil"/>
              <w:left w:val="nil"/>
              <w:bottom w:val="single" w:color="auto" w:sz="4" w:space="0"/>
              <w:right w:val="single" w:color="auto" w:sz="4" w:space="0"/>
            </w:tcBorders>
            <w:vAlign w:val="center"/>
          </w:tcPr>
          <w:p>
            <w:pPr>
              <w:jc w:val="left"/>
            </w:pPr>
            <w:r>
              <w:t xml:space="preserve">  </w:t>
            </w:r>
            <w:r>
              <w:rPr>
                <w:rFonts w:hint="eastAsia" w:hAnsi="宋体" w:cs="宋体"/>
              </w:rPr>
              <w:t>发展建设类项目支出</w:t>
            </w:r>
          </w:p>
        </w:tc>
        <w:tc>
          <w:tcPr>
            <w:tcW w:w="1820" w:type="dxa"/>
            <w:tcBorders>
              <w:top w:val="nil"/>
              <w:left w:val="nil"/>
              <w:bottom w:val="single" w:color="auto" w:sz="4" w:space="0"/>
              <w:right w:val="single" w:color="auto" w:sz="4" w:space="0"/>
            </w:tcBorders>
            <w:vAlign w:val="center"/>
          </w:tcPr>
          <w:p>
            <w:pPr>
              <w:jc w:val="right"/>
            </w:pPr>
            <w:r>
              <w:t>49132989.00</w:t>
            </w:r>
          </w:p>
        </w:tc>
      </w:tr>
      <w:tr>
        <w:tblPrEx>
          <w:tblLayout w:type="fixed"/>
          <w:tblCellMar>
            <w:top w:w="0" w:type="dxa"/>
            <w:left w:w="108" w:type="dxa"/>
            <w:bottom w:w="0" w:type="dxa"/>
            <w:right w:w="108" w:type="dxa"/>
          </w:tblCellMar>
        </w:tblPrEx>
        <w:trPr>
          <w:trHeight w:val="638" w:hRule="atLeast"/>
          <w:jc w:val="center"/>
        </w:trPr>
        <w:tc>
          <w:tcPr>
            <w:tcW w:w="2783" w:type="dxa"/>
            <w:tcBorders>
              <w:top w:val="nil"/>
              <w:left w:val="single" w:color="auto" w:sz="4" w:space="0"/>
              <w:bottom w:val="single" w:color="auto" w:sz="4" w:space="0"/>
              <w:right w:val="single" w:color="auto" w:sz="4" w:space="0"/>
            </w:tcBorders>
            <w:vAlign w:val="center"/>
          </w:tcPr>
          <w:p>
            <w:pPr>
              <w:jc w:val="left"/>
            </w:pPr>
          </w:p>
        </w:tc>
        <w:tc>
          <w:tcPr>
            <w:tcW w:w="1599" w:type="dxa"/>
            <w:tcBorders>
              <w:top w:val="nil"/>
              <w:left w:val="nil"/>
              <w:bottom w:val="single" w:color="auto" w:sz="4" w:space="0"/>
              <w:right w:val="single" w:color="auto" w:sz="4" w:space="0"/>
            </w:tcBorders>
            <w:vAlign w:val="center"/>
          </w:tcPr>
          <w:p>
            <w:pPr>
              <w:jc w:val="left"/>
            </w:pPr>
          </w:p>
        </w:tc>
        <w:tc>
          <w:tcPr>
            <w:tcW w:w="3090" w:type="dxa"/>
            <w:tcBorders>
              <w:top w:val="nil"/>
              <w:left w:val="nil"/>
              <w:bottom w:val="single" w:color="auto" w:sz="4" w:space="0"/>
              <w:right w:val="single" w:color="auto" w:sz="4" w:space="0"/>
            </w:tcBorders>
            <w:vAlign w:val="center"/>
          </w:tcPr>
          <w:p>
            <w:pPr>
              <w:jc w:val="left"/>
            </w:pPr>
            <w:r>
              <w:t xml:space="preserve">  </w:t>
            </w:r>
            <w:r>
              <w:rPr>
                <w:rFonts w:hint="eastAsia" w:hAnsi="宋体" w:cs="宋体"/>
              </w:rPr>
              <w:t>上缴上级支出</w:t>
            </w:r>
          </w:p>
        </w:tc>
        <w:tc>
          <w:tcPr>
            <w:tcW w:w="1820" w:type="dxa"/>
            <w:tcBorders>
              <w:top w:val="nil"/>
              <w:left w:val="nil"/>
              <w:bottom w:val="single" w:color="auto" w:sz="4" w:space="0"/>
              <w:right w:val="single" w:color="auto" w:sz="4" w:space="0"/>
            </w:tcBorders>
            <w:vAlign w:val="center"/>
          </w:tcPr>
          <w:p>
            <w:pPr>
              <w:jc w:val="right"/>
            </w:pPr>
          </w:p>
        </w:tc>
      </w:tr>
      <w:tr>
        <w:tblPrEx>
          <w:tblLayout w:type="fixed"/>
          <w:tblCellMar>
            <w:top w:w="0" w:type="dxa"/>
            <w:left w:w="108" w:type="dxa"/>
            <w:bottom w:w="0" w:type="dxa"/>
            <w:right w:w="108" w:type="dxa"/>
          </w:tblCellMar>
        </w:tblPrEx>
        <w:trPr>
          <w:trHeight w:val="638" w:hRule="atLeast"/>
          <w:jc w:val="center"/>
        </w:trPr>
        <w:tc>
          <w:tcPr>
            <w:tcW w:w="2783" w:type="dxa"/>
            <w:tcBorders>
              <w:top w:val="nil"/>
              <w:left w:val="single" w:color="auto" w:sz="4" w:space="0"/>
              <w:bottom w:val="single" w:color="auto" w:sz="4" w:space="0"/>
              <w:right w:val="single" w:color="auto" w:sz="4" w:space="0"/>
            </w:tcBorders>
            <w:vAlign w:val="center"/>
          </w:tcPr>
          <w:p>
            <w:pPr>
              <w:jc w:val="left"/>
            </w:pPr>
            <w:r>
              <w:rPr>
                <w:rFonts w:hint="eastAsia" w:hAnsi="宋体" w:cs="宋体"/>
              </w:rPr>
              <w:t>　</w:t>
            </w:r>
          </w:p>
        </w:tc>
        <w:tc>
          <w:tcPr>
            <w:tcW w:w="1599" w:type="dxa"/>
            <w:tcBorders>
              <w:top w:val="nil"/>
              <w:left w:val="nil"/>
              <w:bottom w:val="single" w:color="auto" w:sz="4" w:space="0"/>
              <w:right w:val="single" w:color="auto" w:sz="4" w:space="0"/>
            </w:tcBorders>
            <w:vAlign w:val="center"/>
          </w:tcPr>
          <w:p>
            <w:pPr>
              <w:jc w:val="left"/>
            </w:pPr>
          </w:p>
        </w:tc>
        <w:tc>
          <w:tcPr>
            <w:tcW w:w="3090" w:type="dxa"/>
            <w:tcBorders>
              <w:top w:val="nil"/>
              <w:left w:val="nil"/>
              <w:bottom w:val="single" w:color="auto" w:sz="4" w:space="0"/>
              <w:right w:val="single" w:color="auto" w:sz="4" w:space="0"/>
            </w:tcBorders>
            <w:vAlign w:val="center"/>
          </w:tcPr>
          <w:p>
            <w:pPr>
              <w:jc w:val="left"/>
            </w:pPr>
            <w:r>
              <w:t xml:space="preserve">  </w:t>
            </w:r>
            <w:r>
              <w:rPr>
                <w:rFonts w:hint="eastAsia" w:hAnsi="宋体" w:cs="宋体"/>
              </w:rPr>
              <w:t>税金</w:t>
            </w:r>
          </w:p>
        </w:tc>
        <w:tc>
          <w:tcPr>
            <w:tcW w:w="1820" w:type="dxa"/>
            <w:tcBorders>
              <w:top w:val="nil"/>
              <w:left w:val="nil"/>
              <w:bottom w:val="single" w:color="auto" w:sz="4" w:space="0"/>
              <w:right w:val="single" w:color="auto" w:sz="4" w:space="0"/>
            </w:tcBorders>
            <w:vAlign w:val="center"/>
          </w:tcPr>
          <w:p>
            <w:pPr>
              <w:jc w:val="right"/>
            </w:pPr>
            <w:r>
              <w:rPr>
                <w:rFonts w:hint="eastAsia" w:hAnsi="宋体" w:cs="宋体"/>
              </w:rPr>
              <w:t>　</w:t>
            </w:r>
          </w:p>
        </w:tc>
      </w:tr>
      <w:tr>
        <w:tblPrEx>
          <w:tblLayout w:type="fixed"/>
          <w:tblCellMar>
            <w:top w:w="0" w:type="dxa"/>
            <w:left w:w="108" w:type="dxa"/>
            <w:bottom w:w="0" w:type="dxa"/>
            <w:right w:w="108" w:type="dxa"/>
          </w:tblCellMar>
        </w:tblPrEx>
        <w:trPr>
          <w:trHeight w:val="638" w:hRule="atLeast"/>
          <w:jc w:val="center"/>
        </w:trPr>
        <w:tc>
          <w:tcPr>
            <w:tcW w:w="2783" w:type="dxa"/>
            <w:tcBorders>
              <w:top w:val="nil"/>
              <w:left w:val="single" w:color="auto" w:sz="4" w:space="0"/>
              <w:bottom w:val="single" w:color="auto" w:sz="4" w:space="0"/>
              <w:right w:val="single" w:color="auto" w:sz="4" w:space="0"/>
            </w:tcBorders>
            <w:vAlign w:val="center"/>
          </w:tcPr>
          <w:p>
            <w:pPr>
              <w:jc w:val="left"/>
            </w:pPr>
            <w:r>
              <w:rPr>
                <w:rFonts w:hint="eastAsia" w:hAnsi="宋体" w:cs="宋体"/>
              </w:rPr>
              <w:t>　</w:t>
            </w:r>
          </w:p>
        </w:tc>
        <w:tc>
          <w:tcPr>
            <w:tcW w:w="1599" w:type="dxa"/>
            <w:tcBorders>
              <w:top w:val="nil"/>
              <w:left w:val="nil"/>
              <w:bottom w:val="single" w:color="auto" w:sz="4" w:space="0"/>
              <w:right w:val="single" w:color="auto" w:sz="4" w:space="0"/>
            </w:tcBorders>
            <w:vAlign w:val="center"/>
          </w:tcPr>
          <w:p>
            <w:pPr>
              <w:jc w:val="left"/>
            </w:pPr>
          </w:p>
        </w:tc>
        <w:tc>
          <w:tcPr>
            <w:tcW w:w="3090" w:type="dxa"/>
            <w:tcBorders>
              <w:top w:val="nil"/>
              <w:left w:val="nil"/>
              <w:bottom w:val="single" w:color="auto" w:sz="4" w:space="0"/>
              <w:right w:val="single" w:color="auto" w:sz="4" w:space="0"/>
            </w:tcBorders>
            <w:vAlign w:val="center"/>
          </w:tcPr>
          <w:p>
            <w:pPr>
              <w:jc w:val="left"/>
            </w:pPr>
            <w:r>
              <w:t xml:space="preserve">  </w:t>
            </w:r>
            <w:r>
              <w:rPr>
                <w:rFonts w:hint="eastAsia" w:hAnsi="宋体" w:cs="宋体"/>
              </w:rPr>
              <w:t>事业单位经营支出</w:t>
            </w:r>
          </w:p>
        </w:tc>
        <w:tc>
          <w:tcPr>
            <w:tcW w:w="1820" w:type="dxa"/>
            <w:tcBorders>
              <w:top w:val="nil"/>
              <w:left w:val="nil"/>
              <w:bottom w:val="single" w:color="auto" w:sz="4" w:space="0"/>
              <w:right w:val="single" w:color="auto" w:sz="4" w:space="0"/>
            </w:tcBorders>
            <w:vAlign w:val="center"/>
          </w:tcPr>
          <w:p>
            <w:pPr>
              <w:jc w:val="right"/>
            </w:pPr>
            <w:r>
              <w:rPr>
                <w:rFonts w:hint="eastAsia" w:hAnsi="宋体" w:cs="宋体"/>
              </w:rPr>
              <w:t>　</w:t>
            </w:r>
          </w:p>
        </w:tc>
      </w:tr>
      <w:tr>
        <w:tblPrEx>
          <w:tblLayout w:type="fixed"/>
          <w:tblCellMar>
            <w:top w:w="0" w:type="dxa"/>
            <w:left w:w="108" w:type="dxa"/>
            <w:bottom w:w="0" w:type="dxa"/>
            <w:right w:w="108" w:type="dxa"/>
          </w:tblCellMar>
        </w:tblPrEx>
        <w:trPr>
          <w:trHeight w:val="638" w:hRule="atLeast"/>
          <w:jc w:val="center"/>
        </w:trPr>
        <w:tc>
          <w:tcPr>
            <w:tcW w:w="2783" w:type="dxa"/>
            <w:tcBorders>
              <w:top w:val="nil"/>
              <w:left w:val="single" w:color="auto" w:sz="4" w:space="0"/>
              <w:bottom w:val="single" w:color="auto" w:sz="4" w:space="0"/>
              <w:right w:val="single" w:color="auto" w:sz="4" w:space="0"/>
            </w:tcBorders>
            <w:vAlign w:val="center"/>
          </w:tcPr>
          <w:p>
            <w:pPr>
              <w:jc w:val="center"/>
            </w:pPr>
            <w:r>
              <w:rPr>
                <w:rFonts w:hint="eastAsia" w:hAnsi="宋体" w:cs="宋体"/>
              </w:rPr>
              <w:t>收入合计：</w:t>
            </w:r>
          </w:p>
        </w:tc>
        <w:tc>
          <w:tcPr>
            <w:tcW w:w="1599" w:type="dxa"/>
            <w:tcBorders>
              <w:top w:val="nil"/>
              <w:left w:val="nil"/>
              <w:bottom w:val="single" w:color="auto" w:sz="4" w:space="0"/>
              <w:right w:val="single" w:color="auto" w:sz="4" w:space="0"/>
            </w:tcBorders>
            <w:vAlign w:val="center"/>
          </w:tcPr>
          <w:p>
            <w:pPr>
              <w:jc w:val="right"/>
            </w:pPr>
            <w:r>
              <w:t>310951528.84</w:t>
            </w:r>
          </w:p>
        </w:tc>
        <w:tc>
          <w:tcPr>
            <w:tcW w:w="3090" w:type="dxa"/>
            <w:tcBorders>
              <w:top w:val="nil"/>
              <w:left w:val="nil"/>
              <w:bottom w:val="single" w:color="auto" w:sz="4" w:space="0"/>
              <w:right w:val="single" w:color="auto" w:sz="4" w:space="0"/>
            </w:tcBorders>
            <w:vAlign w:val="center"/>
          </w:tcPr>
          <w:p>
            <w:pPr>
              <w:jc w:val="center"/>
            </w:pPr>
            <w:r>
              <w:rPr>
                <w:rFonts w:hint="eastAsia" w:hAnsi="宋体" w:cs="宋体"/>
              </w:rPr>
              <w:t>支出合计：</w:t>
            </w:r>
          </w:p>
        </w:tc>
        <w:tc>
          <w:tcPr>
            <w:tcW w:w="1820" w:type="dxa"/>
            <w:tcBorders>
              <w:top w:val="nil"/>
              <w:left w:val="nil"/>
              <w:bottom w:val="single" w:color="auto" w:sz="4" w:space="0"/>
              <w:right w:val="single" w:color="auto" w:sz="4" w:space="0"/>
            </w:tcBorders>
            <w:vAlign w:val="center"/>
          </w:tcPr>
          <w:p>
            <w:pPr>
              <w:jc w:val="right"/>
            </w:pPr>
            <w:r>
              <w:t>310951528.84</w:t>
            </w:r>
          </w:p>
        </w:tc>
      </w:tr>
    </w:tbl>
    <w:p>
      <w:pPr>
        <w:spacing w:line="590" w:lineRule="exact"/>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仿宋_GB2312" w:hAnsi="黑体" w:eastAsia="仿宋_GB2312" w:cs="仿宋_GB2312"/>
          <w:sz w:val="32"/>
          <w:szCs w:val="32"/>
        </w:rPr>
      </w:pPr>
      <w:r>
        <w:rPr>
          <w:rFonts w:hint="eastAsia" w:ascii="仿宋_GB2312" w:hAnsi="黑体" w:eastAsia="仿宋_GB2312" w:cs="仿宋_GB2312"/>
          <w:sz w:val="32"/>
          <w:szCs w:val="32"/>
        </w:rPr>
        <w:t>附件</w:t>
      </w:r>
      <w:r>
        <w:rPr>
          <w:rFonts w:ascii="仿宋_GB2312" w:hAnsi="黑体" w:eastAsia="仿宋_GB2312" w:cs="仿宋_GB2312"/>
          <w:sz w:val="32"/>
          <w:szCs w:val="32"/>
        </w:rPr>
        <w:t xml:space="preserve">3    </w:t>
      </w:r>
    </w:p>
    <w:p>
      <w:pPr>
        <w:spacing w:line="590" w:lineRule="exact"/>
        <w:jc w:val="center"/>
        <w:rPr>
          <w:rFonts w:ascii="方正小标宋简体" w:hAnsi="Arial" w:eastAsia="方正小标宋简体"/>
          <w:sz w:val="36"/>
          <w:szCs w:val="36"/>
        </w:rPr>
      </w:pPr>
      <w:r>
        <w:rPr>
          <w:rFonts w:ascii="方正小标宋简体" w:hAnsi="Arial" w:eastAsia="方正小标宋简体" w:cs="方正小标宋简体"/>
          <w:sz w:val="36"/>
          <w:szCs w:val="36"/>
        </w:rPr>
        <w:t>2021</w:t>
      </w:r>
      <w:r>
        <w:rPr>
          <w:rFonts w:hint="eastAsia" w:ascii="方正小标宋简体" w:hAnsi="Arial" w:eastAsia="方正小标宋简体" w:cs="方正小标宋简体"/>
          <w:sz w:val="36"/>
          <w:szCs w:val="36"/>
        </w:rPr>
        <w:t>年部门（单位）一般公共预算支出表（表</w:t>
      </w:r>
      <w:r>
        <w:rPr>
          <w:rFonts w:ascii="方正小标宋简体" w:hAnsi="Arial" w:eastAsia="方正小标宋简体" w:cs="方正小标宋简体"/>
          <w:sz w:val="36"/>
          <w:szCs w:val="36"/>
        </w:rPr>
        <w:t>03</w:t>
      </w:r>
      <w:r>
        <w:rPr>
          <w:rFonts w:hint="eastAsia" w:ascii="方正小标宋简体" w:hAnsi="Arial" w:eastAsia="方正小标宋简体" w:cs="方正小标宋简体"/>
          <w:sz w:val="36"/>
          <w:szCs w:val="36"/>
        </w:rPr>
        <w:t>）</w:t>
      </w:r>
    </w:p>
    <w:p>
      <w:pPr>
        <w:spacing w:line="590" w:lineRule="exact"/>
        <w:jc w:val="right"/>
        <w:rPr>
          <w:rFonts w:ascii="方正小标宋简体" w:eastAsia="方正小标宋简体"/>
          <w:sz w:val="32"/>
          <w:szCs w:val="32"/>
        </w:rPr>
      </w:pPr>
      <w:r>
        <w:rPr>
          <w:rFonts w:hint="eastAsia" w:hAnsi="宋体" w:cs="宋体"/>
        </w:rPr>
        <w:t>单位：元</w:t>
      </w:r>
    </w:p>
    <w:tbl>
      <w:tblPr>
        <w:tblStyle w:val="7"/>
        <w:tblW w:w="9796" w:type="dxa"/>
        <w:jc w:val="center"/>
        <w:tblInd w:w="0" w:type="dxa"/>
        <w:tblLayout w:type="fixed"/>
        <w:tblCellMar>
          <w:top w:w="0" w:type="dxa"/>
          <w:left w:w="108" w:type="dxa"/>
          <w:bottom w:w="0" w:type="dxa"/>
          <w:right w:w="108" w:type="dxa"/>
        </w:tblCellMar>
      </w:tblPr>
      <w:tblGrid>
        <w:gridCol w:w="5233"/>
        <w:gridCol w:w="1590"/>
        <w:gridCol w:w="1530"/>
        <w:gridCol w:w="1443"/>
      </w:tblGrid>
      <w:tr>
        <w:tblPrEx>
          <w:tblLayout w:type="fixed"/>
          <w:tblCellMar>
            <w:top w:w="0" w:type="dxa"/>
            <w:left w:w="108" w:type="dxa"/>
            <w:bottom w:w="0" w:type="dxa"/>
            <w:right w:w="108" w:type="dxa"/>
          </w:tblCellMar>
        </w:tblPrEx>
        <w:trPr>
          <w:trHeight w:val="450" w:hRule="atLeast"/>
          <w:jc w:val="center"/>
        </w:trPr>
        <w:tc>
          <w:tcPr>
            <w:tcW w:w="5233"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hAnsi="宋体" w:cs="宋体"/>
                <w:b/>
                <w:bCs/>
              </w:rPr>
              <w:t>单位名称</w:t>
            </w:r>
          </w:p>
        </w:tc>
        <w:tc>
          <w:tcPr>
            <w:tcW w:w="1590" w:type="dxa"/>
            <w:tcBorders>
              <w:top w:val="single" w:color="auto" w:sz="4" w:space="0"/>
              <w:left w:val="nil"/>
              <w:bottom w:val="single" w:color="auto" w:sz="4" w:space="0"/>
              <w:right w:val="single" w:color="auto" w:sz="4" w:space="0"/>
            </w:tcBorders>
            <w:vAlign w:val="center"/>
          </w:tcPr>
          <w:p>
            <w:pPr>
              <w:jc w:val="center"/>
              <w:rPr>
                <w:b/>
                <w:bCs/>
              </w:rPr>
            </w:pPr>
            <w:r>
              <w:rPr>
                <w:rFonts w:hint="eastAsia" w:hAnsi="宋体" w:cs="宋体"/>
                <w:b/>
                <w:bCs/>
              </w:rPr>
              <w:t>总计</w:t>
            </w:r>
          </w:p>
        </w:tc>
        <w:tc>
          <w:tcPr>
            <w:tcW w:w="1530" w:type="dxa"/>
            <w:tcBorders>
              <w:top w:val="single" w:color="auto" w:sz="4" w:space="0"/>
              <w:left w:val="nil"/>
              <w:bottom w:val="single" w:color="auto" w:sz="4" w:space="0"/>
              <w:right w:val="single" w:color="auto" w:sz="4" w:space="0"/>
            </w:tcBorders>
            <w:vAlign w:val="center"/>
          </w:tcPr>
          <w:p>
            <w:pPr>
              <w:jc w:val="center"/>
              <w:rPr>
                <w:b/>
                <w:bCs/>
              </w:rPr>
            </w:pPr>
            <w:r>
              <w:rPr>
                <w:rFonts w:hint="eastAsia" w:hAnsi="宋体" w:cs="宋体"/>
                <w:b/>
                <w:bCs/>
              </w:rPr>
              <w:t>基本支出</w:t>
            </w:r>
          </w:p>
        </w:tc>
        <w:tc>
          <w:tcPr>
            <w:tcW w:w="1443" w:type="dxa"/>
            <w:tcBorders>
              <w:top w:val="single" w:color="auto" w:sz="4" w:space="0"/>
              <w:left w:val="nil"/>
              <w:bottom w:val="single" w:color="auto" w:sz="4" w:space="0"/>
              <w:right w:val="single" w:color="auto" w:sz="4" w:space="0"/>
            </w:tcBorders>
            <w:vAlign w:val="center"/>
          </w:tcPr>
          <w:p>
            <w:pPr>
              <w:jc w:val="center"/>
              <w:rPr>
                <w:b/>
                <w:bCs/>
              </w:rPr>
            </w:pPr>
            <w:r>
              <w:rPr>
                <w:rFonts w:hint="eastAsia" w:hAnsi="宋体" w:cs="宋体"/>
                <w:b/>
                <w:bCs/>
              </w:rPr>
              <w:t>项目支出</w:t>
            </w:r>
          </w:p>
        </w:tc>
      </w:tr>
      <w:tr>
        <w:tblPrEx>
          <w:tblLayout w:type="fixed"/>
          <w:tblCellMar>
            <w:top w:w="0" w:type="dxa"/>
            <w:left w:w="108" w:type="dxa"/>
            <w:bottom w:w="0" w:type="dxa"/>
            <w:right w:w="108" w:type="dxa"/>
          </w:tblCellMar>
        </w:tblPrEx>
        <w:trPr>
          <w:trHeight w:val="450" w:hRule="atLeast"/>
          <w:jc w:val="center"/>
        </w:trPr>
        <w:tc>
          <w:tcPr>
            <w:tcW w:w="5233" w:type="dxa"/>
            <w:tcBorders>
              <w:top w:val="nil"/>
              <w:left w:val="single" w:color="auto" w:sz="4" w:space="0"/>
              <w:bottom w:val="single" w:color="auto" w:sz="4" w:space="0"/>
              <w:right w:val="single" w:color="auto" w:sz="4" w:space="0"/>
            </w:tcBorders>
            <w:vAlign w:val="bottom"/>
          </w:tcPr>
          <w:p>
            <w:pPr>
              <w:widowControl/>
              <w:jc w:val="left"/>
              <w:textAlignment w:val="bottom"/>
              <w:rPr>
                <w:color w:val="000000"/>
              </w:rPr>
            </w:pPr>
            <w:r>
              <w:rPr>
                <w:color w:val="000000"/>
                <w:kern w:val="0"/>
              </w:rPr>
              <w:t>531</w:t>
            </w:r>
            <w:r>
              <w:rPr>
                <w:rFonts w:hint="eastAsia" w:hAnsi="宋体" w:cs="宋体"/>
                <w:color w:val="000000"/>
                <w:kern w:val="0"/>
              </w:rPr>
              <w:t>温岭市住房和城乡建设局</w:t>
            </w:r>
          </w:p>
        </w:tc>
        <w:tc>
          <w:tcPr>
            <w:tcW w:w="1590" w:type="dxa"/>
            <w:tcBorders>
              <w:top w:val="nil"/>
              <w:left w:val="nil"/>
              <w:bottom w:val="single" w:color="auto" w:sz="4" w:space="0"/>
              <w:right w:val="single" w:color="auto" w:sz="4" w:space="0"/>
            </w:tcBorders>
            <w:vAlign w:val="bottom"/>
          </w:tcPr>
          <w:p>
            <w:pPr>
              <w:jc w:val="right"/>
            </w:pPr>
            <w:r>
              <w:t>143159628.8</w:t>
            </w:r>
          </w:p>
        </w:tc>
        <w:tc>
          <w:tcPr>
            <w:tcW w:w="1530" w:type="dxa"/>
            <w:tcBorders>
              <w:top w:val="nil"/>
              <w:left w:val="nil"/>
              <w:bottom w:val="single" w:color="auto" w:sz="4" w:space="0"/>
              <w:right w:val="single" w:color="auto" w:sz="4" w:space="0"/>
            </w:tcBorders>
            <w:vAlign w:val="bottom"/>
          </w:tcPr>
          <w:p>
            <w:pPr>
              <w:jc w:val="right"/>
            </w:pPr>
            <w:r>
              <w:t>35717461.4</w:t>
            </w:r>
          </w:p>
        </w:tc>
        <w:tc>
          <w:tcPr>
            <w:tcW w:w="1443" w:type="dxa"/>
            <w:tcBorders>
              <w:top w:val="nil"/>
              <w:left w:val="nil"/>
              <w:bottom w:val="single" w:color="auto" w:sz="4" w:space="0"/>
              <w:right w:val="single" w:color="auto" w:sz="4" w:space="0"/>
            </w:tcBorders>
            <w:vAlign w:val="bottom"/>
          </w:tcPr>
          <w:p>
            <w:pPr>
              <w:jc w:val="right"/>
            </w:pPr>
            <w:r>
              <w:t>107442167.4</w:t>
            </w:r>
          </w:p>
        </w:tc>
      </w:tr>
      <w:tr>
        <w:tblPrEx>
          <w:tblLayout w:type="fixed"/>
          <w:tblCellMar>
            <w:top w:w="0" w:type="dxa"/>
            <w:left w:w="108" w:type="dxa"/>
            <w:bottom w:w="0" w:type="dxa"/>
            <w:right w:w="108" w:type="dxa"/>
          </w:tblCellMar>
        </w:tblPrEx>
        <w:trPr>
          <w:trHeight w:val="450" w:hRule="atLeast"/>
          <w:jc w:val="center"/>
        </w:trPr>
        <w:tc>
          <w:tcPr>
            <w:tcW w:w="5233" w:type="dxa"/>
            <w:tcBorders>
              <w:top w:val="nil"/>
              <w:left w:val="single" w:color="auto" w:sz="4" w:space="0"/>
              <w:bottom w:val="single" w:color="auto" w:sz="4" w:space="0"/>
              <w:right w:val="single" w:color="auto" w:sz="4" w:space="0"/>
            </w:tcBorders>
            <w:vAlign w:val="bottom"/>
          </w:tcPr>
          <w:p>
            <w:pPr>
              <w:widowControl/>
              <w:ind w:firstLine="210" w:firstLineChars="100"/>
              <w:jc w:val="left"/>
              <w:textAlignment w:val="bottom"/>
              <w:rPr>
                <w:color w:val="000000"/>
              </w:rPr>
            </w:pPr>
            <w:r>
              <w:rPr>
                <w:color w:val="000000"/>
                <w:kern w:val="0"/>
              </w:rPr>
              <w:t>20805</w:t>
            </w:r>
            <w:r>
              <w:rPr>
                <w:rFonts w:hint="eastAsia" w:hAnsi="宋体" w:cs="宋体"/>
                <w:color w:val="000000"/>
                <w:kern w:val="0"/>
              </w:rPr>
              <w:t>行政事业单位养老支出</w:t>
            </w:r>
          </w:p>
        </w:tc>
        <w:tc>
          <w:tcPr>
            <w:tcW w:w="1590" w:type="dxa"/>
            <w:tcBorders>
              <w:top w:val="nil"/>
              <w:left w:val="nil"/>
              <w:bottom w:val="single" w:color="auto" w:sz="4" w:space="0"/>
              <w:right w:val="single" w:color="auto" w:sz="4" w:space="0"/>
            </w:tcBorders>
            <w:vAlign w:val="bottom"/>
          </w:tcPr>
          <w:p>
            <w:pPr>
              <w:jc w:val="right"/>
            </w:pPr>
            <w:r>
              <w:t>3732050.4</w:t>
            </w:r>
          </w:p>
        </w:tc>
        <w:tc>
          <w:tcPr>
            <w:tcW w:w="1530" w:type="dxa"/>
            <w:tcBorders>
              <w:top w:val="nil"/>
              <w:left w:val="nil"/>
              <w:bottom w:val="single" w:color="auto" w:sz="4" w:space="0"/>
              <w:right w:val="single" w:color="auto" w:sz="4" w:space="0"/>
            </w:tcBorders>
            <w:vAlign w:val="center"/>
          </w:tcPr>
          <w:p>
            <w:pPr>
              <w:jc w:val="right"/>
            </w:pPr>
            <w:r>
              <w:t>3732050.4</w:t>
            </w:r>
          </w:p>
        </w:tc>
        <w:tc>
          <w:tcPr>
            <w:tcW w:w="1443" w:type="dxa"/>
            <w:tcBorders>
              <w:top w:val="nil"/>
              <w:left w:val="nil"/>
              <w:bottom w:val="single" w:color="auto" w:sz="4" w:space="0"/>
              <w:right w:val="single" w:color="auto" w:sz="4" w:space="0"/>
            </w:tcBorders>
            <w:vAlign w:val="bottom"/>
          </w:tcPr>
          <w:p>
            <w:pPr>
              <w:jc w:val="right"/>
            </w:pPr>
          </w:p>
        </w:tc>
      </w:tr>
      <w:tr>
        <w:tblPrEx>
          <w:tblLayout w:type="fixed"/>
          <w:tblCellMar>
            <w:top w:w="0" w:type="dxa"/>
            <w:left w:w="108" w:type="dxa"/>
            <w:bottom w:w="0" w:type="dxa"/>
            <w:right w:w="108" w:type="dxa"/>
          </w:tblCellMar>
        </w:tblPrEx>
        <w:trPr>
          <w:trHeight w:val="450" w:hRule="atLeast"/>
          <w:jc w:val="center"/>
        </w:trPr>
        <w:tc>
          <w:tcPr>
            <w:tcW w:w="5233" w:type="dxa"/>
            <w:tcBorders>
              <w:top w:val="nil"/>
              <w:left w:val="single" w:color="auto" w:sz="4" w:space="0"/>
              <w:bottom w:val="single" w:color="auto" w:sz="4" w:space="0"/>
              <w:right w:val="single" w:color="auto" w:sz="4" w:space="0"/>
            </w:tcBorders>
            <w:vAlign w:val="bottom"/>
          </w:tcPr>
          <w:p>
            <w:pPr>
              <w:widowControl/>
              <w:ind w:firstLine="420" w:firstLineChars="200"/>
              <w:jc w:val="left"/>
              <w:textAlignment w:val="bottom"/>
              <w:rPr>
                <w:color w:val="000000"/>
              </w:rPr>
            </w:pPr>
            <w:r>
              <w:rPr>
                <w:color w:val="000000"/>
                <w:kern w:val="0"/>
              </w:rPr>
              <w:t>2080505</w:t>
            </w:r>
            <w:r>
              <w:rPr>
                <w:rFonts w:hint="eastAsia" w:hAnsi="宋体" w:cs="宋体"/>
                <w:color w:val="000000"/>
                <w:kern w:val="0"/>
              </w:rPr>
              <w:t>机关事业单位基本养老保险缴费支出</w:t>
            </w:r>
          </w:p>
        </w:tc>
        <w:tc>
          <w:tcPr>
            <w:tcW w:w="1590" w:type="dxa"/>
            <w:tcBorders>
              <w:top w:val="nil"/>
              <w:left w:val="nil"/>
              <w:bottom w:val="single" w:color="auto" w:sz="4" w:space="0"/>
              <w:right w:val="single" w:color="auto" w:sz="4" w:space="0"/>
            </w:tcBorders>
            <w:vAlign w:val="bottom"/>
          </w:tcPr>
          <w:p>
            <w:pPr>
              <w:jc w:val="right"/>
            </w:pPr>
            <w:r>
              <w:t>2488033.6</w:t>
            </w:r>
          </w:p>
        </w:tc>
        <w:tc>
          <w:tcPr>
            <w:tcW w:w="1530" w:type="dxa"/>
            <w:tcBorders>
              <w:top w:val="nil"/>
              <w:left w:val="nil"/>
              <w:bottom w:val="single" w:color="auto" w:sz="4" w:space="0"/>
              <w:right w:val="single" w:color="auto" w:sz="4" w:space="0"/>
            </w:tcBorders>
            <w:vAlign w:val="center"/>
          </w:tcPr>
          <w:p>
            <w:pPr>
              <w:jc w:val="right"/>
            </w:pPr>
            <w:r>
              <w:t>2488033.6</w:t>
            </w:r>
          </w:p>
        </w:tc>
        <w:tc>
          <w:tcPr>
            <w:tcW w:w="1443" w:type="dxa"/>
            <w:tcBorders>
              <w:top w:val="nil"/>
              <w:left w:val="nil"/>
              <w:bottom w:val="single" w:color="auto" w:sz="4" w:space="0"/>
              <w:right w:val="single" w:color="auto" w:sz="4" w:space="0"/>
            </w:tcBorders>
            <w:vAlign w:val="bottom"/>
          </w:tcPr>
          <w:p>
            <w:pPr>
              <w:jc w:val="right"/>
            </w:pPr>
          </w:p>
        </w:tc>
      </w:tr>
      <w:tr>
        <w:tblPrEx>
          <w:tblLayout w:type="fixed"/>
          <w:tblCellMar>
            <w:top w:w="0" w:type="dxa"/>
            <w:left w:w="108" w:type="dxa"/>
            <w:bottom w:w="0" w:type="dxa"/>
            <w:right w:w="108" w:type="dxa"/>
          </w:tblCellMar>
        </w:tblPrEx>
        <w:trPr>
          <w:trHeight w:val="450" w:hRule="atLeast"/>
          <w:jc w:val="center"/>
        </w:trPr>
        <w:tc>
          <w:tcPr>
            <w:tcW w:w="5233" w:type="dxa"/>
            <w:tcBorders>
              <w:top w:val="nil"/>
              <w:left w:val="single" w:color="auto" w:sz="4" w:space="0"/>
              <w:bottom w:val="single" w:color="auto" w:sz="4" w:space="0"/>
              <w:right w:val="single" w:color="auto" w:sz="4" w:space="0"/>
            </w:tcBorders>
            <w:vAlign w:val="bottom"/>
          </w:tcPr>
          <w:p>
            <w:pPr>
              <w:widowControl/>
              <w:ind w:firstLine="420" w:firstLineChars="200"/>
              <w:jc w:val="left"/>
              <w:textAlignment w:val="bottom"/>
              <w:rPr>
                <w:color w:val="000000"/>
              </w:rPr>
            </w:pPr>
            <w:r>
              <w:rPr>
                <w:color w:val="000000"/>
                <w:kern w:val="0"/>
              </w:rPr>
              <w:t>2080506</w:t>
            </w:r>
            <w:r>
              <w:rPr>
                <w:rFonts w:hint="eastAsia" w:hAnsi="宋体" w:cs="宋体"/>
                <w:color w:val="000000"/>
                <w:kern w:val="0"/>
              </w:rPr>
              <w:t>机关事业单位职业年金缴费支出</w:t>
            </w:r>
          </w:p>
        </w:tc>
        <w:tc>
          <w:tcPr>
            <w:tcW w:w="1590" w:type="dxa"/>
            <w:tcBorders>
              <w:top w:val="nil"/>
              <w:left w:val="nil"/>
              <w:bottom w:val="single" w:color="auto" w:sz="4" w:space="0"/>
              <w:right w:val="single" w:color="auto" w:sz="4" w:space="0"/>
            </w:tcBorders>
            <w:vAlign w:val="bottom"/>
          </w:tcPr>
          <w:p>
            <w:pPr>
              <w:jc w:val="right"/>
            </w:pPr>
            <w:r>
              <w:t>1244016.8</w:t>
            </w:r>
          </w:p>
        </w:tc>
        <w:tc>
          <w:tcPr>
            <w:tcW w:w="1530" w:type="dxa"/>
            <w:tcBorders>
              <w:top w:val="nil"/>
              <w:left w:val="nil"/>
              <w:bottom w:val="single" w:color="auto" w:sz="4" w:space="0"/>
              <w:right w:val="single" w:color="auto" w:sz="4" w:space="0"/>
            </w:tcBorders>
            <w:vAlign w:val="center"/>
          </w:tcPr>
          <w:p>
            <w:pPr>
              <w:jc w:val="right"/>
            </w:pPr>
            <w:r>
              <w:t>1244016.8</w:t>
            </w:r>
          </w:p>
        </w:tc>
        <w:tc>
          <w:tcPr>
            <w:tcW w:w="1443" w:type="dxa"/>
            <w:tcBorders>
              <w:top w:val="nil"/>
              <w:left w:val="nil"/>
              <w:bottom w:val="single" w:color="auto" w:sz="4" w:space="0"/>
              <w:right w:val="single" w:color="auto" w:sz="4" w:space="0"/>
            </w:tcBorders>
            <w:vAlign w:val="bottom"/>
          </w:tcPr>
          <w:p>
            <w:pPr>
              <w:jc w:val="right"/>
            </w:pPr>
          </w:p>
        </w:tc>
      </w:tr>
      <w:tr>
        <w:tblPrEx>
          <w:tblLayout w:type="fixed"/>
          <w:tblCellMar>
            <w:top w:w="0" w:type="dxa"/>
            <w:left w:w="108" w:type="dxa"/>
            <w:bottom w:w="0" w:type="dxa"/>
            <w:right w:w="108" w:type="dxa"/>
          </w:tblCellMar>
        </w:tblPrEx>
        <w:trPr>
          <w:trHeight w:val="450" w:hRule="atLeast"/>
          <w:jc w:val="center"/>
        </w:trPr>
        <w:tc>
          <w:tcPr>
            <w:tcW w:w="5233" w:type="dxa"/>
            <w:tcBorders>
              <w:top w:val="nil"/>
              <w:left w:val="single" w:color="auto" w:sz="4" w:space="0"/>
              <w:bottom w:val="single" w:color="auto" w:sz="4" w:space="0"/>
              <w:right w:val="single" w:color="auto" w:sz="4" w:space="0"/>
            </w:tcBorders>
            <w:vAlign w:val="bottom"/>
          </w:tcPr>
          <w:p>
            <w:pPr>
              <w:widowControl/>
              <w:ind w:firstLine="210" w:firstLineChars="100"/>
              <w:jc w:val="left"/>
              <w:textAlignment w:val="bottom"/>
              <w:rPr>
                <w:color w:val="000000"/>
              </w:rPr>
            </w:pPr>
            <w:r>
              <w:rPr>
                <w:color w:val="000000"/>
                <w:kern w:val="0"/>
              </w:rPr>
              <w:t>21104</w:t>
            </w:r>
            <w:r>
              <w:rPr>
                <w:rFonts w:hint="eastAsia" w:hAnsi="宋体" w:cs="宋体"/>
                <w:color w:val="000000"/>
                <w:kern w:val="0"/>
              </w:rPr>
              <w:t>自然生态保护</w:t>
            </w:r>
          </w:p>
        </w:tc>
        <w:tc>
          <w:tcPr>
            <w:tcW w:w="1590" w:type="dxa"/>
            <w:tcBorders>
              <w:top w:val="nil"/>
              <w:left w:val="nil"/>
              <w:bottom w:val="single" w:color="auto" w:sz="4" w:space="0"/>
              <w:right w:val="single" w:color="auto" w:sz="4" w:space="0"/>
            </w:tcBorders>
            <w:vAlign w:val="bottom"/>
          </w:tcPr>
          <w:p>
            <w:pPr>
              <w:jc w:val="left"/>
            </w:pPr>
            <w:r>
              <w:t>1500000</w:t>
            </w:r>
          </w:p>
        </w:tc>
        <w:tc>
          <w:tcPr>
            <w:tcW w:w="1530" w:type="dxa"/>
            <w:tcBorders>
              <w:top w:val="nil"/>
              <w:left w:val="nil"/>
              <w:bottom w:val="single" w:color="auto" w:sz="4" w:space="0"/>
              <w:right w:val="single" w:color="auto" w:sz="4" w:space="0"/>
            </w:tcBorders>
            <w:vAlign w:val="center"/>
          </w:tcPr>
          <w:p>
            <w:pPr>
              <w:jc w:val="right"/>
            </w:pPr>
          </w:p>
        </w:tc>
        <w:tc>
          <w:tcPr>
            <w:tcW w:w="1443" w:type="dxa"/>
            <w:tcBorders>
              <w:top w:val="nil"/>
              <w:left w:val="nil"/>
              <w:bottom w:val="single" w:color="auto" w:sz="4" w:space="0"/>
              <w:right w:val="single" w:color="auto" w:sz="4" w:space="0"/>
            </w:tcBorders>
            <w:vAlign w:val="bottom"/>
          </w:tcPr>
          <w:p>
            <w:pPr>
              <w:jc w:val="right"/>
            </w:pPr>
            <w:r>
              <w:t>1500000</w:t>
            </w:r>
          </w:p>
        </w:tc>
      </w:tr>
      <w:tr>
        <w:tblPrEx>
          <w:tblLayout w:type="fixed"/>
          <w:tblCellMar>
            <w:top w:w="0" w:type="dxa"/>
            <w:left w:w="108" w:type="dxa"/>
            <w:bottom w:w="0" w:type="dxa"/>
            <w:right w:w="108" w:type="dxa"/>
          </w:tblCellMar>
        </w:tblPrEx>
        <w:trPr>
          <w:trHeight w:val="450" w:hRule="atLeast"/>
          <w:jc w:val="center"/>
        </w:trPr>
        <w:tc>
          <w:tcPr>
            <w:tcW w:w="5233" w:type="dxa"/>
            <w:tcBorders>
              <w:top w:val="nil"/>
              <w:left w:val="single" w:color="auto" w:sz="4" w:space="0"/>
              <w:bottom w:val="single" w:color="auto" w:sz="4" w:space="0"/>
              <w:right w:val="single" w:color="auto" w:sz="4" w:space="0"/>
            </w:tcBorders>
            <w:vAlign w:val="bottom"/>
          </w:tcPr>
          <w:p>
            <w:pPr>
              <w:widowControl/>
              <w:ind w:firstLine="420" w:firstLineChars="200"/>
              <w:jc w:val="left"/>
              <w:textAlignment w:val="bottom"/>
              <w:rPr>
                <w:color w:val="000000"/>
              </w:rPr>
            </w:pPr>
            <w:r>
              <w:rPr>
                <w:color w:val="000000"/>
                <w:kern w:val="0"/>
              </w:rPr>
              <w:t>2110402</w:t>
            </w:r>
            <w:r>
              <w:rPr>
                <w:rFonts w:hint="eastAsia" w:hAnsi="宋体" w:cs="宋体"/>
                <w:color w:val="000000"/>
                <w:kern w:val="0"/>
              </w:rPr>
              <w:t>农村环境保护</w:t>
            </w:r>
          </w:p>
        </w:tc>
        <w:tc>
          <w:tcPr>
            <w:tcW w:w="1590" w:type="dxa"/>
            <w:tcBorders>
              <w:top w:val="nil"/>
              <w:left w:val="nil"/>
              <w:bottom w:val="single" w:color="auto" w:sz="4" w:space="0"/>
              <w:right w:val="single" w:color="auto" w:sz="4" w:space="0"/>
            </w:tcBorders>
            <w:vAlign w:val="bottom"/>
          </w:tcPr>
          <w:p>
            <w:pPr>
              <w:jc w:val="right"/>
            </w:pPr>
            <w:r>
              <w:t>1500000</w:t>
            </w:r>
          </w:p>
        </w:tc>
        <w:tc>
          <w:tcPr>
            <w:tcW w:w="1530" w:type="dxa"/>
            <w:tcBorders>
              <w:top w:val="nil"/>
              <w:left w:val="nil"/>
              <w:bottom w:val="single" w:color="auto" w:sz="4" w:space="0"/>
              <w:right w:val="single" w:color="auto" w:sz="4" w:space="0"/>
            </w:tcBorders>
            <w:vAlign w:val="center"/>
          </w:tcPr>
          <w:p>
            <w:pPr>
              <w:jc w:val="right"/>
            </w:pPr>
          </w:p>
        </w:tc>
        <w:tc>
          <w:tcPr>
            <w:tcW w:w="1443" w:type="dxa"/>
            <w:tcBorders>
              <w:top w:val="nil"/>
              <w:left w:val="nil"/>
              <w:bottom w:val="single" w:color="auto" w:sz="4" w:space="0"/>
              <w:right w:val="single" w:color="auto" w:sz="4" w:space="0"/>
            </w:tcBorders>
            <w:vAlign w:val="bottom"/>
          </w:tcPr>
          <w:p>
            <w:pPr>
              <w:jc w:val="right"/>
            </w:pPr>
            <w:r>
              <w:t>1500000</w:t>
            </w:r>
          </w:p>
        </w:tc>
      </w:tr>
      <w:tr>
        <w:tblPrEx>
          <w:tblLayout w:type="fixed"/>
          <w:tblCellMar>
            <w:top w:w="0" w:type="dxa"/>
            <w:left w:w="108" w:type="dxa"/>
            <w:bottom w:w="0" w:type="dxa"/>
            <w:right w:w="108" w:type="dxa"/>
          </w:tblCellMar>
        </w:tblPrEx>
        <w:trPr>
          <w:trHeight w:val="450" w:hRule="atLeast"/>
          <w:jc w:val="center"/>
        </w:trPr>
        <w:tc>
          <w:tcPr>
            <w:tcW w:w="5233" w:type="dxa"/>
            <w:tcBorders>
              <w:top w:val="nil"/>
              <w:left w:val="single" w:color="auto" w:sz="4" w:space="0"/>
              <w:bottom w:val="single" w:color="auto" w:sz="4" w:space="0"/>
              <w:right w:val="single" w:color="auto" w:sz="4" w:space="0"/>
            </w:tcBorders>
            <w:vAlign w:val="bottom"/>
          </w:tcPr>
          <w:p>
            <w:pPr>
              <w:widowControl/>
              <w:ind w:firstLine="210" w:firstLineChars="100"/>
              <w:jc w:val="left"/>
              <w:textAlignment w:val="bottom"/>
              <w:rPr>
                <w:color w:val="000000"/>
              </w:rPr>
            </w:pPr>
            <w:r>
              <w:rPr>
                <w:color w:val="000000"/>
                <w:kern w:val="0"/>
              </w:rPr>
              <w:t>21201</w:t>
            </w:r>
            <w:r>
              <w:rPr>
                <w:rFonts w:hint="eastAsia" w:hAnsi="宋体" w:cs="宋体"/>
                <w:color w:val="000000"/>
                <w:kern w:val="0"/>
              </w:rPr>
              <w:t>城乡社区管理事务</w:t>
            </w:r>
          </w:p>
        </w:tc>
        <w:tc>
          <w:tcPr>
            <w:tcW w:w="1590" w:type="dxa"/>
            <w:tcBorders>
              <w:top w:val="nil"/>
              <w:left w:val="nil"/>
              <w:bottom w:val="single" w:color="auto" w:sz="4" w:space="0"/>
              <w:right w:val="single" w:color="auto" w:sz="4" w:space="0"/>
            </w:tcBorders>
            <w:vAlign w:val="bottom"/>
          </w:tcPr>
          <w:p>
            <w:pPr>
              <w:jc w:val="left"/>
            </w:pPr>
            <w:r>
              <w:t>50262189.44</w:t>
            </w:r>
          </w:p>
        </w:tc>
        <w:tc>
          <w:tcPr>
            <w:tcW w:w="1530" w:type="dxa"/>
            <w:tcBorders>
              <w:top w:val="nil"/>
              <w:left w:val="nil"/>
              <w:bottom w:val="single" w:color="auto" w:sz="4" w:space="0"/>
              <w:right w:val="single" w:color="auto" w:sz="4" w:space="0"/>
            </w:tcBorders>
            <w:vAlign w:val="center"/>
          </w:tcPr>
          <w:p>
            <w:pPr>
              <w:jc w:val="right"/>
            </w:pPr>
            <w:r>
              <w:t>3198541</w:t>
            </w:r>
          </w:p>
        </w:tc>
        <w:tc>
          <w:tcPr>
            <w:tcW w:w="1443" w:type="dxa"/>
            <w:tcBorders>
              <w:top w:val="nil"/>
              <w:left w:val="nil"/>
              <w:bottom w:val="single" w:color="auto" w:sz="4" w:space="0"/>
              <w:right w:val="single" w:color="auto" w:sz="4" w:space="0"/>
            </w:tcBorders>
            <w:vAlign w:val="bottom"/>
          </w:tcPr>
          <w:p>
            <w:pPr>
              <w:jc w:val="right"/>
            </w:pPr>
            <w:r>
              <w:t>18276778.44</w:t>
            </w:r>
          </w:p>
        </w:tc>
      </w:tr>
      <w:tr>
        <w:tblPrEx>
          <w:tblLayout w:type="fixed"/>
          <w:tblCellMar>
            <w:top w:w="0" w:type="dxa"/>
            <w:left w:w="108" w:type="dxa"/>
            <w:bottom w:w="0" w:type="dxa"/>
            <w:right w:w="108" w:type="dxa"/>
          </w:tblCellMar>
        </w:tblPrEx>
        <w:trPr>
          <w:trHeight w:val="450" w:hRule="atLeast"/>
          <w:jc w:val="center"/>
        </w:trPr>
        <w:tc>
          <w:tcPr>
            <w:tcW w:w="5233" w:type="dxa"/>
            <w:tcBorders>
              <w:top w:val="nil"/>
              <w:left w:val="single" w:color="auto" w:sz="4" w:space="0"/>
              <w:bottom w:val="single" w:color="auto" w:sz="4" w:space="0"/>
              <w:right w:val="single" w:color="auto" w:sz="4" w:space="0"/>
            </w:tcBorders>
            <w:vAlign w:val="bottom"/>
          </w:tcPr>
          <w:p>
            <w:pPr>
              <w:widowControl/>
              <w:ind w:firstLine="420" w:firstLineChars="200"/>
              <w:jc w:val="left"/>
              <w:textAlignment w:val="bottom"/>
              <w:rPr>
                <w:color w:val="000000"/>
              </w:rPr>
            </w:pPr>
            <w:r>
              <w:rPr>
                <w:color w:val="000000"/>
                <w:kern w:val="0"/>
              </w:rPr>
              <w:t>2120101</w:t>
            </w:r>
            <w:r>
              <w:rPr>
                <w:rFonts w:hint="eastAsia" w:hAnsi="宋体" w:cs="宋体"/>
                <w:color w:val="000000"/>
                <w:kern w:val="0"/>
              </w:rPr>
              <w:t>行政运行</w:t>
            </w:r>
          </w:p>
        </w:tc>
        <w:tc>
          <w:tcPr>
            <w:tcW w:w="1590" w:type="dxa"/>
            <w:tcBorders>
              <w:top w:val="nil"/>
              <w:left w:val="nil"/>
              <w:bottom w:val="single" w:color="auto" w:sz="4" w:space="0"/>
              <w:right w:val="single" w:color="auto" w:sz="4" w:space="0"/>
            </w:tcBorders>
            <w:vAlign w:val="bottom"/>
          </w:tcPr>
          <w:p>
            <w:pPr>
              <w:jc w:val="right"/>
            </w:pPr>
            <w:r>
              <w:t>10800807</w:t>
            </w:r>
          </w:p>
        </w:tc>
        <w:tc>
          <w:tcPr>
            <w:tcW w:w="1530" w:type="dxa"/>
            <w:tcBorders>
              <w:top w:val="nil"/>
              <w:left w:val="nil"/>
              <w:bottom w:val="single" w:color="auto" w:sz="4" w:space="0"/>
              <w:right w:val="single" w:color="auto" w:sz="4" w:space="0"/>
            </w:tcBorders>
            <w:vAlign w:val="center"/>
          </w:tcPr>
          <w:p>
            <w:pPr>
              <w:jc w:val="right"/>
            </w:pPr>
            <w:r>
              <w:t>10800807</w:t>
            </w:r>
          </w:p>
        </w:tc>
        <w:tc>
          <w:tcPr>
            <w:tcW w:w="1443" w:type="dxa"/>
            <w:tcBorders>
              <w:top w:val="nil"/>
              <w:left w:val="nil"/>
              <w:bottom w:val="single" w:color="auto" w:sz="4" w:space="0"/>
              <w:right w:val="single" w:color="auto" w:sz="4" w:space="0"/>
            </w:tcBorders>
            <w:vAlign w:val="bottom"/>
          </w:tcPr>
          <w:p>
            <w:pPr>
              <w:jc w:val="right"/>
            </w:pPr>
          </w:p>
        </w:tc>
      </w:tr>
      <w:tr>
        <w:tblPrEx>
          <w:tblLayout w:type="fixed"/>
          <w:tblCellMar>
            <w:top w:w="0" w:type="dxa"/>
            <w:left w:w="108" w:type="dxa"/>
            <w:bottom w:w="0" w:type="dxa"/>
            <w:right w:w="108" w:type="dxa"/>
          </w:tblCellMar>
        </w:tblPrEx>
        <w:trPr>
          <w:trHeight w:val="450" w:hRule="atLeast"/>
          <w:jc w:val="center"/>
        </w:trPr>
        <w:tc>
          <w:tcPr>
            <w:tcW w:w="5233" w:type="dxa"/>
            <w:tcBorders>
              <w:top w:val="nil"/>
              <w:left w:val="single" w:color="auto" w:sz="4" w:space="0"/>
              <w:bottom w:val="single" w:color="auto" w:sz="4" w:space="0"/>
              <w:right w:val="single" w:color="auto" w:sz="4" w:space="0"/>
            </w:tcBorders>
            <w:vAlign w:val="bottom"/>
          </w:tcPr>
          <w:p>
            <w:pPr>
              <w:widowControl/>
              <w:ind w:firstLine="420" w:firstLineChars="200"/>
              <w:jc w:val="left"/>
              <w:textAlignment w:val="bottom"/>
              <w:rPr>
                <w:color w:val="000000"/>
              </w:rPr>
            </w:pPr>
            <w:r>
              <w:rPr>
                <w:color w:val="000000"/>
                <w:kern w:val="0"/>
              </w:rPr>
              <w:t>2120199</w:t>
            </w:r>
            <w:r>
              <w:rPr>
                <w:rFonts w:hint="eastAsia" w:hAnsi="宋体" w:cs="宋体"/>
                <w:color w:val="000000"/>
                <w:kern w:val="0"/>
              </w:rPr>
              <w:t>其他城乡社区管理事务支出</w:t>
            </w:r>
          </w:p>
        </w:tc>
        <w:tc>
          <w:tcPr>
            <w:tcW w:w="1590" w:type="dxa"/>
            <w:tcBorders>
              <w:top w:val="nil"/>
              <w:left w:val="nil"/>
              <w:bottom w:val="single" w:color="auto" w:sz="4" w:space="0"/>
              <w:right w:val="single" w:color="auto" w:sz="4" w:space="0"/>
            </w:tcBorders>
            <w:vAlign w:val="bottom"/>
          </w:tcPr>
          <w:p>
            <w:pPr>
              <w:jc w:val="right"/>
            </w:pPr>
            <w:r>
              <w:t>39461382.44</w:t>
            </w:r>
          </w:p>
        </w:tc>
        <w:tc>
          <w:tcPr>
            <w:tcW w:w="1530" w:type="dxa"/>
            <w:tcBorders>
              <w:top w:val="nil"/>
              <w:left w:val="nil"/>
              <w:bottom w:val="single" w:color="auto" w:sz="4" w:space="0"/>
              <w:right w:val="single" w:color="auto" w:sz="4" w:space="0"/>
            </w:tcBorders>
            <w:vAlign w:val="center"/>
          </w:tcPr>
          <w:p>
            <w:pPr>
              <w:jc w:val="right"/>
            </w:pPr>
            <w:r>
              <w:t>21184604</w:t>
            </w:r>
          </w:p>
        </w:tc>
        <w:tc>
          <w:tcPr>
            <w:tcW w:w="1443" w:type="dxa"/>
            <w:tcBorders>
              <w:top w:val="nil"/>
              <w:left w:val="nil"/>
              <w:bottom w:val="single" w:color="auto" w:sz="4" w:space="0"/>
              <w:right w:val="single" w:color="auto" w:sz="4" w:space="0"/>
            </w:tcBorders>
            <w:vAlign w:val="bottom"/>
          </w:tcPr>
          <w:p>
            <w:pPr>
              <w:jc w:val="right"/>
            </w:pPr>
            <w:r>
              <w:t>18276778.44</w:t>
            </w:r>
          </w:p>
        </w:tc>
      </w:tr>
      <w:tr>
        <w:tblPrEx>
          <w:tblLayout w:type="fixed"/>
          <w:tblCellMar>
            <w:top w:w="0" w:type="dxa"/>
            <w:left w:w="108" w:type="dxa"/>
            <w:bottom w:w="0" w:type="dxa"/>
            <w:right w:w="108" w:type="dxa"/>
          </w:tblCellMar>
        </w:tblPrEx>
        <w:trPr>
          <w:trHeight w:val="450" w:hRule="atLeast"/>
          <w:jc w:val="center"/>
        </w:trPr>
        <w:tc>
          <w:tcPr>
            <w:tcW w:w="5233" w:type="dxa"/>
            <w:tcBorders>
              <w:top w:val="nil"/>
              <w:left w:val="single" w:color="auto" w:sz="4" w:space="0"/>
              <w:bottom w:val="single" w:color="auto" w:sz="4" w:space="0"/>
              <w:right w:val="single" w:color="auto" w:sz="4" w:space="0"/>
            </w:tcBorders>
            <w:vAlign w:val="bottom"/>
          </w:tcPr>
          <w:p>
            <w:pPr>
              <w:widowControl/>
              <w:ind w:firstLine="210" w:firstLineChars="100"/>
              <w:jc w:val="left"/>
              <w:textAlignment w:val="bottom"/>
              <w:rPr>
                <w:color w:val="000000"/>
              </w:rPr>
            </w:pPr>
            <w:r>
              <w:rPr>
                <w:color w:val="000000"/>
                <w:kern w:val="0"/>
              </w:rPr>
              <w:t>21202</w:t>
            </w:r>
            <w:r>
              <w:rPr>
                <w:rFonts w:hint="eastAsia" w:hAnsi="宋体" w:cs="宋体"/>
                <w:color w:val="000000"/>
                <w:kern w:val="0"/>
              </w:rPr>
              <w:t>城乡社区规划与管理</w:t>
            </w:r>
          </w:p>
        </w:tc>
        <w:tc>
          <w:tcPr>
            <w:tcW w:w="1590" w:type="dxa"/>
            <w:tcBorders>
              <w:top w:val="nil"/>
              <w:left w:val="nil"/>
              <w:bottom w:val="single" w:color="auto" w:sz="4" w:space="0"/>
              <w:right w:val="single" w:color="auto" w:sz="4" w:space="0"/>
            </w:tcBorders>
            <w:vAlign w:val="bottom"/>
          </w:tcPr>
          <w:p>
            <w:pPr>
              <w:jc w:val="right"/>
            </w:pPr>
            <w:r>
              <w:t>2885000</w:t>
            </w:r>
          </w:p>
        </w:tc>
        <w:tc>
          <w:tcPr>
            <w:tcW w:w="1530" w:type="dxa"/>
            <w:tcBorders>
              <w:top w:val="nil"/>
              <w:left w:val="nil"/>
              <w:bottom w:val="single" w:color="auto" w:sz="4" w:space="0"/>
              <w:right w:val="single" w:color="auto" w:sz="4" w:space="0"/>
            </w:tcBorders>
            <w:vAlign w:val="center"/>
          </w:tcPr>
          <w:p>
            <w:pPr>
              <w:jc w:val="right"/>
            </w:pPr>
          </w:p>
        </w:tc>
        <w:tc>
          <w:tcPr>
            <w:tcW w:w="1443" w:type="dxa"/>
            <w:tcBorders>
              <w:top w:val="nil"/>
              <w:left w:val="nil"/>
              <w:bottom w:val="single" w:color="auto" w:sz="4" w:space="0"/>
              <w:right w:val="single" w:color="auto" w:sz="4" w:space="0"/>
            </w:tcBorders>
            <w:vAlign w:val="bottom"/>
          </w:tcPr>
          <w:p>
            <w:pPr>
              <w:jc w:val="right"/>
            </w:pPr>
            <w:r>
              <w:t>2885000</w:t>
            </w:r>
          </w:p>
        </w:tc>
      </w:tr>
      <w:tr>
        <w:tblPrEx>
          <w:tblLayout w:type="fixed"/>
          <w:tblCellMar>
            <w:top w:w="0" w:type="dxa"/>
            <w:left w:w="108" w:type="dxa"/>
            <w:bottom w:w="0" w:type="dxa"/>
            <w:right w:w="108" w:type="dxa"/>
          </w:tblCellMar>
        </w:tblPrEx>
        <w:trPr>
          <w:trHeight w:val="450" w:hRule="atLeast"/>
          <w:jc w:val="center"/>
        </w:trPr>
        <w:tc>
          <w:tcPr>
            <w:tcW w:w="5233" w:type="dxa"/>
            <w:tcBorders>
              <w:top w:val="nil"/>
              <w:left w:val="single" w:color="auto" w:sz="4" w:space="0"/>
              <w:bottom w:val="single" w:color="auto" w:sz="4" w:space="0"/>
              <w:right w:val="single" w:color="auto" w:sz="4" w:space="0"/>
            </w:tcBorders>
            <w:vAlign w:val="bottom"/>
          </w:tcPr>
          <w:p>
            <w:pPr>
              <w:widowControl/>
              <w:ind w:firstLine="420" w:firstLineChars="200"/>
              <w:jc w:val="left"/>
              <w:textAlignment w:val="bottom"/>
              <w:rPr>
                <w:color w:val="000000"/>
              </w:rPr>
            </w:pPr>
            <w:r>
              <w:rPr>
                <w:color w:val="000000"/>
                <w:kern w:val="0"/>
              </w:rPr>
              <w:t>2120201</w:t>
            </w:r>
            <w:r>
              <w:rPr>
                <w:rFonts w:hint="eastAsia" w:hAnsi="宋体" w:cs="宋体"/>
                <w:color w:val="000000"/>
                <w:kern w:val="0"/>
              </w:rPr>
              <w:t>城乡社区规划与管理</w:t>
            </w:r>
          </w:p>
        </w:tc>
        <w:tc>
          <w:tcPr>
            <w:tcW w:w="1590" w:type="dxa"/>
            <w:tcBorders>
              <w:top w:val="nil"/>
              <w:left w:val="nil"/>
              <w:bottom w:val="single" w:color="auto" w:sz="4" w:space="0"/>
              <w:right w:val="single" w:color="auto" w:sz="4" w:space="0"/>
            </w:tcBorders>
            <w:vAlign w:val="bottom"/>
          </w:tcPr>
          <w:p>
            <w:pPr>
              <w:jc w:val="right"/>
            </w:pPr>
            <w:r>
              <w:t>2885000</w:t>
            </w:r>
          </w:p>
        </w:tc>
        <w:tc>
          <w:tcPr>
            <w:tcW w:w="1530" w:type="dxa"/>
            <w:tcBorders>
              <w:top w:val="nil"/>
              <w:left w:val="nil"/>
              <w:bottom w:val="single" w:color="auto" w:sz="4" w:space="0"/>
              <w:right w:val="single" w:color="auto" w:sz="4" w:space="0"/>
            </w:tcBorders>
            <w:vAlign w:val="bottom"/>
          </w:tcPr>
          <w:p>
            <w:pPr>
              <w:jc w:val="left"/>
            </w:pPr>
          </w:p>
        </w:tc>
        <w:tc>
          <w:tcPr>
            <w:tcW w:w="1443" w:type="dxa"/>
            <w:tcBorders>
              <w:top w:val="nil"/>
              <w:left w:val="nil"/>
              <w:bottom w:val="single" w:color="auto" w:sz="4" w:space="0"/>
              <w:right w:val="single" w:color="auto" w:sz="4" w:space="0"/>
            </w:tcBorders>
            <w:vAlign w:val="bottom"/>
          </w:tcPr>
          <w:p>
            <w:pPr>
              <w:jc w:val="right"/>
            </w:pPr>
            <w:r>
              <w:t>2885000</w:t>
            </w:r>
          </w:p>
        </w:tc>
      </w:tr>
      <w:tr>
        <w:tblPrEx>
          <w:tblLayout w:type="fixed"/>
          <w:tblCellMar>
            <w:top w:w="0" w:type="dxa"/>
            <w:left w:w="108" w:type="dxa"/>
            <w:bottom w:w="0" w:type="dxa"/>
            <w:right w:w="108" w:type="dxa"/>
          </w:tblCellMar>
        </w:tblPrEx>
        <w:trPr>
          <w:trHeight w:val="450" w:hRule="atLeast"/>
          <w:jc w:val="center"/>
        </w:trPr>
        <w:tc>
          <w:tcPr>
            <w:tcW w:w="5233" w:type="dxa"/>
            <w:tcBorders>
              <w:top w:val="nil"/>
              <w:left w:val="single" w:color="auto" w:sz="4" w:space="0"/>
              <w:bottom w:val="single" w:color="auto" w:sz="4" w:space="0"/>
              <w:right w:val="single" w:color="auto" w:sz="4" w:space="0"/>
            </w:tcBorders>
            <w:vAlign w:val="bottom"/>
          </w:tcPr>
          <w:p>
            <w:pPr>
              <w:widowControl/>
              <w:ind w:firstLine="210" w:firstLineChars="100"/>
              <w:jc w:val="left"/>
              <w:textAlignment w:val="bottom"/>
              <w:rPr>
                <w:color w:val="000000"/>
              </w:rPr>
            </w:pPr>
            <w:r>
              <w:rPr>
                <w:color w:val="000000"/>
                <w:kern w:val="0"/>
              </w:rPr>
              <w:t>21203</w:t>
            </w:r>
            <w:r>
              <w:rPr>
                <w:rFonts w:hint="eastAsia" w:hAnsi="宋体" w:cs="宋体"/>
                <w:color w:val="000000"/>
                <w:kern w:val="0"/>
              </w:rPr>
              <w:t>城乡社区公共设施</w:t>
            </w:r>
          </w:p>
        </w:tc>
        <w:tc>
          <w:tcPr>
            <w:tcW w:w="1590" w:type="dxa"/>
            <w:tcBorders>
              <w:top w:val="nil"/>
              <w:left w:val="nil"/>
              <w:bottom w:val="single" w:color="auto" w:sz="4" w:space="0"/>
              <w:right w:val="single" w:color="auto" w:sz="4" w:space="0"/>
            </w:tcBorders>
            <w:vAlign w:val="bottom"/>
          </w:tcPr>
          <w:p>
            <w:pPr>
              <w:jc w:val="right"/>
            </w:pPr>
            <w:r>
              <w:t>72953189</w:t>
            </w:r>
          </w:p>
        </w:tc>
        <w:tc>
          <w:tcPr>
            <w:tcW w:w="1530" w:type="dxa"/>
            <w:tcBorders>
              <w:top w:val="nil"/>
              <w:left w:val="nil"/>
              <w:bottom w:val="single" w:color="auto" w:sz="4" w:space="0"/>
              <w:right w:val="single" w:color="auto" w:sz="4" w:space="0"/>
            </w:tcBorders>
            <w:vAlign w:val="bottom"/>
          </w:tcPr>
          <w:p>
            <w:pPr>
              <w:jc w:val="left"/>
            </w:pPr>
          </w:p>
        </w:tc>
        <w:tc>
          <w:tcPr>
            <w:tcW w:w="1443" w:type="dxa"/>
            <w:tcBorders>
              <w:top w:val="nil"/>
              <w:left w:val="nil"/>
              <w:bottom w:val="single" w:color="auto" w:sz="4" w:space="0"/>
              <w:right w:val="single" w:color="auto" w:sz="4" w:space="0"/>
            </w:tcBorders>
            <w:vAlign w:val="bottom"/>
          </w:tcPr>
          <w:p>
            <w:pPr>
              <w:jc w:val="right"/>
            </w:pPr>
            <w:r>
              <w:t>72953189</w:t>
            </w:r>
          </w:p>
        </w:tc>
      </w:tr>
      <w:tr>
        <w:tblPrEx>
          <w:tblLayout w:type="fixed"/>
          <w:tblCellMar>
            <w:top w:w="0" w:type="dxa"/>
            <w:left w:w="108" w:type="dxa"/>
            <w:bottom w:w="0" w:type="dxa"/>
            <w:right w:w="108" w:type="dxa"/>
          </w:tblCellMar>
        </w:tblPrEx>
        <w:trPr>
          <w:trHeight w:val="435" w:hRule="atLeast"/>
          <w:jc w:val="center"/>
        </w:trPr>
        <w:tc>
          <w:tcPr>
            <w:tcW w:w="5233" w:type="dxa"/>
            <w:tcBorders>
              <w:top w:val="nil"/>
              <w:left w:val="single" w:color="auto" w:sz="4" w:space="0"/>
              <w:bottom w:val="single" w:color="auto" w:sz="4" w:space="0"/>
              <w:right w:val="single" w:color="auto" w:sz="4" w:space="0"/>
            </w:tcBorders>
            <w:vAlign w:val="bottom"/>
          </w:tcPr>
          <w:p>
            <w:pPr>
              <w:widowControl/>
              <w:ind w:firstLine="420" w:firstLineChars="200"/>
              <w:jc w:val="left"/>
              <w:textAlignment w:val="bottom"/>
              <w:rPr>
                <w:color w:val="000000"/>
              </w:rPr>
            </w:pPr>
            <w:r>
              <w:rPr>
                <w:color w:val="000000"/>
                <w:kern w:val="0"/>
              </w:rPr>
              <w:t>2120399</w:t>
            </w:r>
            <w:r>
              <w:rPr>
                <w:rFonts w:hint="eastAsia" w:hAnsi="宋体" w:cs="宋体"/>
                <w:color w:val="000000"/>
                <w:kern w:val="0"/>
              </w:rPr>
              <w:t>其他城乡社区公共设施支出</w:t>
            </w:r>
          </w:p>
        </w:tc>
        <w:tc>
          <w:tcPr>
            <w:tcW w:w="1590" w:type="dxa"/>
            <w:tcBorders>
              <w:top w:val="nil"/>
              <w:left w:val="nil"/>
              <w:bottom w:val="single" w:color="auto" w:sz="4" w:space="0"/>
              <w:right w:val="single" w:color="auto" w:sz="4" w:space="0"/>
            </w:tcBorders>
            <w:vAlign w:val="bottom"/>
          </w:tcPr>
          <w:p>
            <w:pPr>
              <w:jc w:val="right"/>
            </w:pPr>
            <w:r>
              <w:t>72953189</w:t>
            </w:r>
          </w:p>
        </w:tc>
        <w:tc>
          <w:tcPr>
            <w:tcW w:w="1530" w:type="dxa"/>
            <w:tcBorders>
              <w:top w:val="nil"/>
              <w:left w:val="nil"/>
              <w:bottom w:val="single" w:color="auto" w:sz="4" w:space="0"/>
              <w:right w:val="single" w:color="auto" w:sz="4" w:space="0"/>
            </w:tcBorders>
            <w:vAlign w:val="bottom"/>
          </w:tcPr>
          <w:p>
            <w:pPr>
              <w:jc w:val="left"/>
            </w:pPr>
          </w:p>
        </w:tc>
        <w:tc>
          <w:tcPr>
            <w:tcW w:w="1443" w:type="dxa"/>
            <w:tcBorders>
              <w:top w:val="nil"/>
              <w:left w:val="nil"/>
              <w:bottom w:val="single" w:color="auto" w:sz="4" w:space="0"/>
              <w:right w:val="single" w:color="auto" w:sz="4" w:space="0"/>
            </w:tcBorders>
            <w:vAlign w:val="bottom"/>
          </w:tcPr>
          <w:p>
            <w:pPr>
              <w:jc w:val="right"/>
            </w:pPr>
            <w:r>
              <w:t>72953189</w:t>
            </w:r>
          </w:p>
        </w:tc>
      </w:tr>
      <w:tr>
        <w:tblPrEx>
          <w:tblLayout w:type="fixed"/>
          <w:tblCellMar>
            <w:top w:w="0" w:type="dxa"/>
            <w:left w:w="108" w:type="dxa"/>
            <w:bottom w:w="0" w:type="dxa"/>
            <w:right w:w="108" w:type="dxa"/>
          </w:tblCellMar>
        </w:tblPrEx>
        <w:trPr>
          <w:trHeight w:val="450" w:hRule="atLeast"/>
          <w:jc w:val="center"/>
        </w:trPr>
        <w:tc>
          <w:tcPr>
            <w:tcW w:w="5233" w:type="dxa"/>
            <w:tcBorders>
              <w:top w:val="nil"/>
              <w:left w:val="single" w:color="auto" w:sz="4" w:space="0"/>
              <w:bottom w:val="single" w:color="auto" w:sz="4" w:space="0"/>
              <w:right w:val="single" w:color="auto" w:sz="4" w:space="0"/>
            </w:tcBorders>
            <w:vAlign w:val="bottom"/>
          </w:tcPr>
          <w:p>
            <w:pPr>
              <w:widowControl/>
              <w:ind w:firstLine="210" w:firstLineChars="100"/>
              <w:jc w:val="left"/>
              <w:textAlignment w:val="bottom"/>
              <w:rPr>
                <w:color w:val="000000"/>
              </w:rPr>
            </w:pPr>
            <w:r>
              <w:rPr>
                <w:color w:val="000000"/>
                <w:kern w:val="0"/>
              </w:rPr>
              <w:t>21205</w:t>
            </w:r>
            <w:r>
              <w:rPr>
                <w:rFonts w:hint="eastAsia" w:hAnsi="宋体" w:cs="宋体"/>
                <w:color w:val="000000"/>
                <w:kern w:val="0"/>
              </w:rPr>
              <w:t>城乡社区环境卫生</w:t>
            </w:r>
          </w:p>
        </w:tc>
        <w:tc>
          <w:tcPr>
            <w:tcW w:w="1590" w:type="dxa"/>
            <w:tcBorders>
              <w:top w:val="nil"/>
              <w:left w:val="nil"/>
              <w:bottom w:val="single" w:color="auto" w:sz="4" w:space="0"/>
              <w:right w:val="single" w:color="auto" w:sz="4" w:space="0"/>
            </w:tcBorders>
            <w:vAlign w:val="bottom"/>
          </w:tcPr>
          <w:p>
            <w:pPr>
              <w:jc w:val="right"/>
            </w:pPr>
            <w:r>
              <w:t>1000000</w:t>
            </w:r>
          </w:p>
        </w:tc>
        <w:tc>
          <w:tcPr>
            <w:tcW w:w="1530" w:type="dxa"/>
            <w:tcBorders>
              <w:top w:val="nil"/>
              <w:left w:val="nil"/>
              <w:bottom w:val="single" w:color="auto" w:sz="4" w:space="0"/>
              <w:right w:val="single" w:color="auto" w:sz="4" w:space="0"/>
            </w:tcBorders>
            <w:vAlign w:val="bottom"/>
          </w:tcPr>
          <w:p>
            <w:pPr>
              <w:jc w:val="left"/>
            </w:pPr>
          </w:p>
        </w:tc>
        <w:tc>
          <w:tcPr>
            <w:tcW w:w="1443" w:type="dxa"/>
            <w:tcBorders>
              <w:top w:val="nil"/>
              <w:left w:val="nil"/>
              <w:bottom w:val="single" w:color="auto" w:sz="4" w:space="0"/>
              <w:right w:val="single" w:color="auto" w:sz="4" w:space="0"/>
            </w:tcBorders>
            <w:vAlign w:val="bottom"/>
          </w:tcPr>
          <w:p>
            <w:pPr>
              <w:jc w:val="right"/>
            </w:pPr>
            <w:r>
              <w:t>1000000</w:t>
            </w:r>
          </w:p>
        </w:tc>
      </w:tr>
      <w:tr>
        <w:tblPrEx>
          <w:tblLayout w:type="fixed"/>
          <w:tblCellMar>
            <w:top w:w="0" w:type="dxa"/>
            <w:left w:w="108" w:type="dxa"/>
            <w:bottom w:w="0" w:type="dxa"/>
            <w:right w:w="108" w:type="dxa"/>
          </w:tblCellMar>
        </w:tblPrEx>
        <w:trPr>
          <w:trHeight w:val="450" w:hRule="atLeast"/>
          <w:jc w:val="center"/>
        </w:trPr>
        <w:tc>
          <w:tcPr>
            <w:tcW w:w="5233" w:type="dxa"/>
            <w:tcBorders>
              <w:top w:val="nil"/>
              <w:left w:val="single" w:color="auto" w:sz="4" w:space="0"/>
              <w:bottom w:val="single" w:color="auto" w:sz="4" w:space="0"/>
              <w:right w:val="single" w:color="auto" w:sz="4" w:space="0"/>
            </w:tcBorders>
            <w:vAlign w:val="bottom"/>
          </w:tcPr>
          <w:p>
            <w:pPr>
              <w:widowControl/>
              <w:ind w:firstLine="420" w:firstLineChars="200"/>
              <w:jc w:val="left"/>
              <w:textAlignment w:val="bottom"/>
              <w:rPr>
                <w:color w:val="000000"/>
              </w:rPr>
            </w:pPr>
            <w:r>
              <w:rPr>
                <w:color w:val="000000"/>
                <w:kern w:val="0"/>
              </w:rPr>
              <w:t>2120501</w:t>
            </w:r>
            <w:r>
              <w:rPr>
                <w:rFonts w:hint="eastAsia" w:hAnsi="宋体" w:cs="宋体"/>
                <w:color w:val="000000"/>
                <w:kern w:val="0"/>
              </w:rPr>
              <w:t>城乡社区环境卫生</w:t>
            </w:r>
          </w:p>
        </w:tc>
        <w:tc>
          <w:tcPr>
            <w:tcW w:w="1590" w:type="dxa"/>
            <w:tcBorders>
              <w:top w:val="nil"/>
              <w:left w:val="nil"/>
              <w:bottom w:val="single" w:color="auto" w:sz="4" w:space="0"/>
              <w:right w:val="single" w:color="auto" w:sz="4" w:space="0"/>
            </w:tcBorders>
            <w:vAlign w:val="bottom"/>
          </w:tcPr>
          <w:p>
            <w:pPr>
              <w:jc w:val="right"/>
            </w:pPr>
            <w:r>
              <w:t>1000000</w:t>
            </w:r>
          </w:p>
        </w:tc>
        <w:tc>
          <w:tcPr>
            <w:tcW w:w="1530" w:type="dxa"/>
            <w:tcBorders>
              <w:top w:val="nil"/>
              <w:left w:val="nil"/>
              <w:bottom w:val="single" w:color="auto" w:sz="4" w:space="0"/>
              <w:right w:val="single" w:color="auto" w:sz="4" w:space="0"/>
            </w:tcBorders>
            <w:vAlign w:val="bottom"/>
          </w:tcPr>
          <w:p>
            <w:pPr>
              <w:jc w:val="left"/>
            </w:pPr>
          </w:p>
        </w:tc>
        <w:tc>
          <w:tcPr>
            <w:tcW w:w="1443" w:type="dxa"/>
            <w:tcBorders>
              <w:top w:val="nil"/>
              <w:left w:val="nil"/>
              <w:bottom w:val="single" w:color="auto" w:sz="4" w:space="0"/>
              <w:right w:val="single" w:color="auto" w:sz="4" w:space="0"/>
            </w:tcBorders>
            <w:vAlign w:val="bottom"/>
          </w:tcPr>
          <w:p>
            <w:pPr>
              <w:jc w:val="right"/>
            </w:pPr>
            <w:r>
              <w:t>1000000</w:t>
            </w:r>
          </w:p>
        </w:tc>
      </w:tr>
      <w:tr>
        <w:tblPrEx>
          <w:tblLayout w:type="fixed"/>
          <w:tblCellMar>
            <w:top w:w="0" w:type="dxa"/>
            <w:left w:w="108" w:type="dxa"/>
            <w:bottom w:w="0" w:type="dxa"/>
            <w:right w:w="108" w:type="dxa"/>
          </w:tblCellMar>
        </w:tblPrEx>
        <w:trPr>
          <w:trHeight w:val="450" w:hRule="atLeast"/>
          <w:jc w:val="center"/>
        </w:trPr>
        <w:tc>
          <w:tcPr>
            <w:tcW w:w="5233" w:type="dxa"/>
            <w:tcBorders>
              <w:top w:val="nil"/>
              <w:left w:val="single" w:color="auto" w:sz="4" w:space="0"/>
              <w:bottom w:val="single" w:color="auto" w:sz="4" w:space="0"/>
              <w:right w:val="single" w:color="auto" w:sz="4" w:space="0"/>
            </w:tcBorders>
            <w:vAlign w:val="bottom"/>
          </w:tcPr>
          <w:p>
            <w:pPr>
              <w:widowControl/>
              <w:ind w:firstLine="210" w:firstLineChars="100"/>
              <w:jc w:val="left"/>
              <w:textAlignment w:val="bottom"/>
              <w:rPr>
                <w:color w:val="000000"/>
              </w:rPr>
            </w:pPr>
            <w:r>
              <w:rPr>
                <w:color w:val="000000"/>
                <w:kern w:val="0"/>
              </w:rPr>
              <w:t>21206</w:t>
            </w:r>
            <w:r>
              <w:rPr>
                <w:rFonts w:hint="eastAsia" w:hAnsi="宋体" w:cs="宋体"/>
                <w:color w:val="000000"/>
                <w:kern w:val="0"/>
              </w:rPr>
              <w:t>建设市场管理与监督</w:t>
            </w:r>
          </w:p>
        </w:tc>
        <w:tc>
          <w:tcPr>
            <w:tcW w:w="1590" w:type="dxa"/>
            <w:tcBorders>
              <w:top w:val="nil"/>
              <w:left w:val="nil"/>
              <w:bottom w:val="single" w:color="auto" w:sz="4" w:space="0"/>
              <w:right w:val="single" w:color="auto" w:sz="4" w:space="0"/>
            </w:tcBorders>
            <w:vAlign w:val="bottom"/>
          </w:tcPr>
          <w:p>
            <w:pPr>
              <w:jc w:val="right"/>
            </w:pPr>
            <w:r>
              <w:t>9560000</w:t>
            </w:r>
          </w:p>
        </w:tc>
        <w:tc>
          <w:tcPr>
            <w:tcW w:w="1530" w:type="dxa"/>
            <w:tcBorders>
              <w:top w:val="nil"/>
              <w:left w:val="nil"/>
              <w:bottom w:val="single" w:color="auto" w:sz="4" w:space="0"/>
              <w:right w:val="single" w:color="auto" w:sz="4" w:space="0"/>
            </w:tcBorders>
            <w:vAlign w:val="bottom"/>
          </w:tcPr>
          <w:p>
            <w:pPr>
              <w:jc w:val="left"/>
            </w:pPr>
          </w:p>
        </w:tc>
        <w:tc>
          <w:tcPr>
            <w:tcW w:w="1443" w:type="dxa"/>
            <w:tcBorders>
              <w:top w:val="nil"/>
              <w:left w:val="nil"/>
              <w:bottom w:val="single" w:color="auto" w:sz="4" w:space="0"/>
              <w:right w:val="single" w:color="auto" w:sz="4" w:space="0"/>
            </w:tcBorders>
            <w:vAlign w:val="bottom"/>
          </w:tcPr>
          <w:p>
            <w:pPr>
              <w:jc w:val="right"/>
            </w:pPr>
            <w:r>
              <w:t>9560000</w:t>
            </w:r>
          </w:p>
        </w:tc>
      </w:tr>
      <w:tr>
        <w:tblPrEx>
          <w:tblLayout w:type="fixed"/>
          <w:tblCellMar>
            <w:top w:w="0" w:type="dxa"/>
            <w:left w:w="108" w:type="dxa"/>
            <w:bottom w:w="0" w:type="dxa"/>
            <w:right w:w="108" w:type="dxa"/>
          </w:tblCellMar>
        </w:tblPrEx>
        <w:trPr>
          <w:trHeight w:val="450" w:hRule="atLeast"/>
          <w:jc w:val="center"/>
        </w:trPr>
        <w:tc>
          <w:tcPr>
            <w:tcW w:w="5233" w:type="dxa"/>
            <w:tcBorders>
              <w:top w:val="nil"/>
              <w:left w:val="single" w:color="auto" w:sz="4" w:space="0"/>
              <w:bottom w:val="single" w:color="auto" w:sz="4" w:space="0"/>
              <w:right w:val="single" w:color="auto" w:sz="4" w:space="0"/>
            </w:tcBorders>
            <w:vAlign w:val="bottom"/>
          </w:tcPr>
          <w:p>
            <w:pPr>
              <w:widowControl/>
              <w:ind w:firstLine="420" w:firstLineChars="200"/>
              <w:jc w:val="left"/>
              <w:textAlignment w:val="bottom"/>
              <w:rPr>
                <w:color w:val="000000"/>
              </w:rPr>
            </w:pPr>
            <w:r>
              <w:rPr>
                <w:color w:val="000000"/>
                <w:kern w:val="0"/>
              </w:rPr>
              <w:t>2120601</w:t>
            </w:r>
            <w:r>
              <w:rPr>
                <w:rFonts w:hint="eastAsia" w:hAnsi="宋体" w:cs="宋体"/>
                <w:color w:val="000000"/>
                <w:kern w:val="0"/>
              </w:rPr>
              <w:t>建设市场管理与监督</w:t>
            </w:r>
          </w:p>
        </w:tc>
        <w:tc>
          <w:tcPr>
            <w:tcW w:w="1590" w:type="dxa"/>
            <w:tcBorders>
              <w:top w:val="nil"/>
              <w:left w:val="nil"/>
              <w:bottom w:val="single" w:color="auto" w:sz="4" w:space="0"/>
              <w:right w:val="single" w:color="auto" w:sz="4" w:space="0"/>
            </w:tcBorders>
            <w:vAlign w:val="bottom"/>
          </w:tcPr>
          <w:p>
            <w:pPr>
              <w:jc w:val="right"/>
            </w:pPr>
            <w:r>
              <w:t>9560000</w:t>
            </w:r>
          </w:p>
        </w:tc>
        <w:tc>
          <w:tcPr>
            <w:tcW w:w="1530" w:type="dxa"/>
            <w:tcBorders>
              <w:top w:val="nil"/>
              <w:left w:val="nil"/>
              <w:bottom w:val="single" w:color="auto" w:sz="4" w:space="0"/>
              <w:right w:val="single" w:color="auto" w:sz="4" w:space="0"/>
            </w:tcBorders>
            <w:vAlign w:val="bottom"/>
          </w:tcPr>
          <w:p>
            <w:pPr>
              <w:jc w:val="left"/>
            </w:pPr>
          </w:p>
        </w:tc>
        <w:tc>
          <w:tcPr>
            <w:tcW w:w="1443" w:type="dxa"/>
            <w:tcBorders>
              <w:top w:val="nil"/>
              <w:left w:val="nil"/>
              <w:bottom w:val="single" w:color="auto" w:sz="4" w:space="0"/>
              <w:right w:val="single" w:color="auto" w:sz="4" w:space="0"/>
            </w:tcBorders>
            <w:vAlign w:val="bottom"/>
          </w:tcPr>
          <w:p>
            <w:pPr>
              <w:jc w:val="right"/>
            </w:pPr>
            <w:r>
              <w:t>9560000</w:t>
            </w:r>
          </w:p>
        </w:tc>
      </w:tr>
      <w:tr>
        <w:tblPrEx>
          <w:tblLayout w:type="fixed"/>
          <w:tblCellMar>
            <w:top w:w="0" w:type="dxa"/>
            <w:left w:w="108" w:type="dxa"/>
            <w:bottom w:w="0" w:type="dxa"/>
            <w:right w:w="108" w:type="dxa"/>
          </w:tblCellMar>
        </w:tblPrEx>
        <w:trPr>
          <w:trHeight w:val="450" w:hRule="atLeast"/>
          <w:jc w:val="center"/>
        </w:trPr>
        <w:tc>
          <w:tcPr>
            <w:tcW w:w="5233" w:type="dxa"/>
            <w:tcBorders>
              <w:top w:val="nil"/>
              <w:left w:val="single" w:color="auto" w:sz="4" w:space="0"/>
              <w:bottom w:val="single" w:color="auto" w:sz="4" w:space="0"/>
              <w:right w:val="single" w:color="auto" w:sz="4" w:space="0"/>
            </w:tcBorders>
            <w:vAlign w:val="bottom"/>
          </w:tcPr>
          <w:p>
            <w:pPr>
              <w:widowControl/>
              <w:ind w:firstLine="210" w:firstLineChars="100"/>
              <w:jc w:val="left"/>
              <w:textAlignment w:val="bottom"/>
              <w:rPr>
                <w:color w:val="000000"/>
              </w:rPr>
            </w:pPr>
            <w:r>
              <w:rPr>
                <w:color w:val="000000"/>
                <w:kern w:val="0"/>
              </w:rPr>
              <w:t>21299</w:t>
            </w:r>
            <w:r>
              <w:rPr>
                <w:rFonts w:hint="eastAsia" w:hAnsi="宋体" w:cs="宋体"/>
                <w:color w:val="000000"/>
                <w:kern w:val="0"/>
              </w:rPr>
              <w:t>其他城乡社区支出</w:t>
            </w:r>
          </w:p>
        </w:tc>
        <w:tc>
          <w:tcPr>
            <w:tcW w:w="1590" w:type="dxa"/>
            <w:tcBorders>
              <w:top w:val="nil"/>
              <w:left w:val="nil"/>
              <w:bottom w:val="single" w:color="auto" w:sz="4" w:space="0"/>
              <w:right w:val="single" w:color="auto" w:sz="4" w:space="0"/>
            </w:tcBorders>
            <w:vAlign w:val="bottom"/>
          </w:tcPr>
          <w:p>
            <w:pPr>
              <w:jc w:val="right"/>
            </w:pPr>
            <w:r>
              <w:t>1267200</w:t>
            </w:r>
          </w:p>
        </w:tc>
        <w:tc>
          <w:tcPr>
            <w:tcW w:w="1530" w:type="dxa"/>
            <w:tcBorders>
              <w:top w:val="nil"/>
              <w:left w:val="nil"/>
              <w:bottom w:val="single" w:color="auto" w:sz="4" w:space="0"/>
              <w:right w:val="single" w:color="auto" w:sz="4" w:space="0"/>
            </w:tcBorders>
            <w:vAlign w:val="bottom"/>
          </w:tcPr>
          <w:p>
            <w:pPr>
              <w:jc w:val="left"/>
            </w:pPr>
          </w:p>
        </w:tc>
        <w:tc>
          <w:tcPr>
            <w:tcW w:w="1443" w:type="dxa"/>
            <w:tcBorders>
              <w:top w:val="nil"/>
              <w:left w:val="nil"/>
              <w:bottom w:val="single" w:color="auto" w:sz="4" w:space="0"/>
              <w:right w:val="single" w:color="auto" w:sz="4" w:space="0"/>
            </w:tcBorders>
            <w:vAlign w:val="bottom"/>
          </w:tcPr>
          <w:p>
            <w:pPr>
              <w:jc w:val="right"/>
            </w:pPr>
            <w:r>
              <w:t>1267200</w:t>
            </w:r>
          </w:p>
        </w:tc>
      </w:tr>
      <w:tr>
        <w:tblPrEx>
          <w:tblLayout w:type="fixed"/>
          <w:tblCellMar>
            <w:top w:w="0" w:type="dxa"/>
            <w:left w:w="108" w:type="dxa"/>
            <w:bottom w:w="0" w:type="dxa"/>
            <w:right w:w="108" w:type="dxa"/>
          </w:tblCellMar>
        </w:tblPrEx>
        <w:trPr>
          <w:trHeight w:val="450" w:hRule="atLeast"/>
          <w:jc w:val="center"/>
        </w:trPr>
        <w:tc>
          <w:tcPr>
            <w:tcW w:w="5233" w:type="dxa"/>
            <w:tcBorders>
              <w:top w:val="nil"/>
              <w:left w:val="single" w:color="auto" w:sz="4" w:space="0"/>
              <w:bottom w:val="single" w:color="auto" w:sz="4" w:space="0"/>
              <w:right w:val="single" w:color="auto" w:sz="4" w:space="0"/>
            </w:tcBorders>
            <w:vAlign w:val="bottom"/>
          </w:tcPr>
          <w:p>
            <w:pPr>
              <w:widowControl/>
              <w:ind w:firstLine="420" w:firstLineChars="200"/>
              <w:jc w:val="left"/>
              <w:textAlignment w:val="bottom"/>
              <w:rPr>
                <w:color w:val="000000"/>
              </w:rPr>
            </w:pPr>
            <w:r>
              <w:rPr>
                <w:color w:val="000000"/>
                <w:kern w:val="0"/>
              </w:rPr>
              <w:t>2129999</w:t>
            </w:r>
            <w:r>
              <w:rPr>
                <w:rFonts w:hint="eastAsia" w:hAnsi="宋体" w:cs="宋体"/>
                <w:color w:val="000000"/>
                <w:kern w:val="0"/>
              </w:rPr>
              <w:t>其他城乡社区支出</w:t>
            </w:r>
          </w:p>
        </w:tc>
        <w:tc>
          <w:tcPr>
            <w:tcW w:w="1590" w:type="dxa"/>
            <w:tcBorders>
              <w:top w:val="nil"/>
              <w:left w:val="nil"/>
              <w:bottom w:val="single" w:color="auto" w:sz="4" w:space="0"/>
              <w:right w:val="single" w:color="auto" w:sz="4" w:space="0"/>
            </w:tcBorders>
            <w:vAlign w:val="bottom"/>
          </w:tcPr>
          <w:p>
            <w:pPr>
              <w:jc w:val="right"/>
            </w:pPr>
            <w:r>
              <w:t>1267200</w:t>
            </w:r>
          </w:p>
        </w:tc>
        <w:tc>
          <w:tcPr>
            <w:tcW w:w="1530" w:type="dxa"/>
            <w:tcBorders>
              <w:top w:val="nil"/>
              <w:left w:val="nil"/>
              <w:bottom w:val="single" w:color="auto" w:sz="4" w:space="0"/>
              <w:right w:val="single" w:color="auto" w:sz="4" w:space="0"/>
            </w:tcBorders>
            <w:vAlign w:val="bottom"/>
          </w:tcPr>
          <w:p>
            <w:pPr>
              <w:jc w:val="left"/>
            </w:pPr>
          </w:p>
        </w:tc>
        <w:tc>
          <w:tcPr>
            <w:tcW w:w="1443" w:type="dxa"/>
            <w:tcBorders>
              <w:top w:val="nil"/>
              <w:left w:val="nil"/>
              <w:bottom w:val="single" w:color="auto" w:sz="4" w:space="0"/>
              <w:right w:val="single" w:color="auto" w:sz="4" w:space="0"/>
            </w:tcBorders>
            <w:vAlign w:val="bottom"/>
          </w:tcPr>
          <w:p>
            <w:pPr>
              <w:jc w:val="right"/>
            </w:pPr>
            <w:r>
              <w:t>1267200</w:t>
            </w:r>
          </w:p>
        </w:tc>
      </w:tr>
    </w:tbl>
    <w:p>
      <w:pPr>
        <w:rPr>
          <w:rFonts w:ascii="仿宋_GB2312" w:eastAsia="仿宋_GB2312"/>
          <w:sz w:val="32"/>
          <w:szCs w:val="32"/>
        </w:rPr>
      </w:pPr>
      <w:r>
        <w:rPr>
          <w:rFonts w:ascii="仿宋_GB2312" w:hAnsi="仿宋" w:eastAsia="仿宋_GB2312"/>
          <w:sz w:val="32"/>
          <w:szCs w:val="32"/>
        </w:rPr>
        <w:br w:type="page"/>
      </w:r>
      <w:r>
        <w:rPr>
          <w:rFonts w:hint="eastAsia" w:ascii="仿宋_GB2312" w:hAnsi="黑体" w:eastAsia="仿宋_GB2312" w:cs="仿宋_GB2312"/>
          <w:sz w:val="32"/>
          <w:szCs w:val="32"/>
        </w:rPr>
        <w:t>附件</w:t>
      </w:r>
      <w:r>
        <w:rPr>
          <w:rFonts w:ascii="仿宋_GB2312" w:hAnsi="黑体" w:eastAsia="仿宋_GB2312" w:cs="仿宋_GB2312"/>
          <w:sz w:val="32"/>
          <w:szCs w:val="32"/>
        </w:rPr>
        <w:t xml:space="preserve">4   </w:t>
      </w:r>
    </w:p>
    <w:p>
      <w:pPr>
        <w:spacing w:line="580" w:lineRule="exact"/>
        <w:jc w:val="center"/>
        <w:rPr>
          <w:rFonts w:ascii="方正小标宋简体" w:hAnsi="Arial" w:eastAsia="方正小标宋简体"/>
          <w:sz w:val="36"/>
          <w:szCs w:val="36"/>
        </w:rPr>
      </w:pPr>
      <w:r>
        <w:rPr>
          <w:rFonts w:ascii="方正小标宋简体" w:hAnsi="Arial" w:eastAsia="方正小标宋简体" w:cs="方正小标宋简体"/>
          <w:sz w:val="36"/>
          <w:szCs w:val="36"/>
        </w:rPr>
        <w:t>2021</w:t>
      </w:r>
      <w:r>
        <w:rPr>
          <w:rFonts w:hint="eastAsia" w:ascii="方正小标宋简体" w:hAnsi="Arial" w:eastAsia="方正小标宋简体" w:cs="方正小标宋简体"/>
          <w:sz w:val="36"/>
          <w:szCs w:val="36"/>
        </w:rPr>
        <w:t>年部门（单位）政府性基金预算支出表（表</w:t>
      </w:r>
      <w:r>
        <w:rPr>
          <w:rFonts w:ascii="方正小标宋简体" w:hAnsi="Arial" w:eastAsia="方正小标宋简体" w:cs="方正小标宋简体"/>
          <w:sz w:val="36"/>
          <w:szCs w:val="36"/>
        </w:rPr>
        <w:t>04</w:t>
      </w:r>
      <w:r>
        <w:rPr>
          <w:rFonts w:hint="eastAsia" w:ascii="方正小标宋简体" w:hAnsi="Arial" w:eastAsia="方正小标宋简体" w:cs="方正小标宋简体"/>
          <w:sz w:val="36"/>
          <w:szCs w:val="36"/>
        </w:rPr>
        <w:t>）</w:t>
      </w:r>
    </w:p>
    <w:p>
      <w:pPr>
        <w:spacing w:line="580" w:lineRule="exact"/>
        <w:jc w:val="right"/>
        <w:rPr>
          <w:rFonts w:ascii="方正小标宋简体" w:hAnsi="仿宋" w:eastAsia="方正小标宋简体"/>
          <w:sz w:val="32"/>
          <w:szCs w:val="32"/>
        </w:rPr>
      </w:pPr>
      <w:r>
        <w:rPr>
          <w:rFonts w:hint="eastAsia" w:hAnsi="宋体" w:cs="宋体"/>
        </w:rPr>
        <w:t>单位：元</w:t>
      </w:r>
    </w:p>
    <w:tbl>
      <w:tblPr>
        <w:tblStyle w:val="7"/>
        <w:tblW w:w="9061" w:type="dxa"/>
        <w:jc w:val="center"/>
        <w:tblInd w:w="0" w:type="dxa"/>
        <w:tblLayout w:type="fixed"/>
        <w:tblCellMar>
          <w:top w:w="0" w:type="dxa"/>
          <w:left w:w="108" w:type="dxa"/>
          <w:bottom w:w="0" w:type="dxa"/>
          <w:right w:w="108" w:type="dxa"/>
        </w:tblCellMar>
      </w:tblPr>
      <w:tblGrid>
        <w:gridCol w:w="5162"/>
        <w:gridCol w:w="1512"/>
        <w:gridCol w:w="1126"/>
        <w:gridCol w:w="1261"/>
      </w:tblGrid>
      <w:tr>
        <w:tblPrEx>
          <w:tblLayout w:type="fixed"/>
          <w:tblCellMar>
            <w:top w:w="0" w:type="dxa"/>
            <w:left w:w="108" w:type="dxa"/>
            <w:bottom w:w="0" w:type="dxa"/>
            <w:right w:w="108" w:type="dxa"/>
          </w:tblCellMar>
        </w:tblPrEx>
        <w:trPr>
          <w:trHeight w:val="450" w:hRule="atLeast"/>
          <w:jc w:val="center"/>
        </w:trPr>
        <w:tc>
          <w:tcPr>
            <w:tcW w:w="5162"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hAnsi="宋体" w:cs="宋体"/>
                <w:b/>
                <w:bCs/>
              </w:rPr>
              <w:t>单位名称</w:t>
            </w:r>
          </w:p>
        </w:tc>
        <w:tc>
          <w:tcPr>
            <w:tcW w:w="1512" w:type="dxa"/>
            <w:tcBorders>
              <w:top w:val="single" w:color="auto" w:sz="4" w:space="0"/>
              <w:left w:val="nil"/>
              <w:bottom w:val="single" w:color="auto" w:sz="4" w:space="0"/>
              <w:right w:val="single" w:color="auto" w:sz="4" w:space="0"/>
            </w:tcBorders>
            <w:vAlign w:val="center"/>
          </w:tcPr>
          <w:p>
            <w:pPr>
              <w:jc w:val="center"/>
              <w:rPr>
                <w:b/>
                <w:bCs/>
              </w:rPr>
            </w:pPr>
            <w:r>
              <w:rPr>
                <w:rFonts w:hint="eastAsia" w:hAnsi="宋体" w:cs="宋体"/>
                <w:b/>
                <w:bCs/>
              </w:rPr>
              <w:t>总计</w:t>
            </w:r>
          </w:p>
        </w:tc>
        <w:tc>
          <w:tcPr>
            <w:tcW w:w="1126" w:type="dxa"/>
            <w:tcBorders>
              <w:top w:val="single" w:color="auto" w:sz="4" w:space="0"/>
              <w:left w:val="nil"/>
              <w:bottom w:val="single" w:color="auto" w:sz="4" w:space="0"/>
              <w:right w:val="single" w:color="auto" w:sz="4" w:space="0"/>
            </w:tcBorders>
            <w:vAlign w:val="center"/>
          </w:tcPr>
          <w:p>
            <w:pPr>
              <w:jc w:val="center"/>
              <w:rPr>
                <w:b/>
                <w:bCs/>
              </w:rPr>
            </w:pPr>
            <w:r>
              <w:rPr>
                <w:rFonts w:hint="eastAsia" w:hAnsi="宋体" w:cs="宋体"/>
                <w:b/>
                <w:bCs/>
              </w:rPr>
              <w:t>基本支出</w:t>
            </w:r>
          </w:p>
        </w:tc>
        <w:tc>
          <w:tcPr>
            <w:tcW w:w="1261" w:type="dxa"/>
            <w:tcBorders>
              <w:top w:val="single" w:color="auto" w:sz="4" w:space="0"/>
              <w:left w:val="nil"/>
              <w:bottom w:val="single" w:color="auto" w:sz="4" w:space="0"/>
              <w:right w:val="single" w:color="auto" w:sz="4" w:space="0"/>
            </w:tcBorders>
            <w:vAlign w:val="center"/>
          </w:tcPr>
          <w:p>
            <w:pPr>
              <w:jc w:val="center"/>
              <w:rPr>
                <w:b/>
                <w:bCs/>
              </w:rPr>
            </w:pPr>
            <w:r>
              <w:rPr>
                <w:rFonts w:hint="eastAsia" w:hAnsi="宋体" w:cs="宋体"/>
                <w:b/>
                <w:bCs/>
              </w:rPr>
              <w:t>项目支出</w:t>
            </w:r>
          </w:p>
        </w:tc>
      </w:tr>
      <w:tr>
        <w:tblPrEx>
          <w:tblLayout w:type="fixed"/>
          <w:tblCellMar>
            <w:top w:w="0" w:type="dxa"/>
            <w:left w:w="108" w:type="dxa"/>
            <w:bottom w:w="0" w:type="dxa"/>
            <w:right w:w="108" w:type="dxa"/>
          </w:tblCellMar>
        </w:tblPrEx>
        <w:trPr>
          <w:trHeight w:val="540" w:hRule="atLeast"/>
          <w:jc w:val="center"/>
        </w:trPr>
        <w:tc>
          <w:tcPr>
            <w:tcW w:w="5162" w:type="dxa"/>
            <w:tcBorders>
              <w:top w:val="nil"/>
              <w:left w:val="single" w:color="auto" w:sz="4" w:space="0"/>
              <w:bottom w:val="single" w:color="auto" w:sz="4" w:space="0"/>
              <w:right w:val="single" w:color="auto" w:sz="4" w:space="0"/>
            </w:tcBorders>
            <w:vAlign w:val="center"/>
          </w:tcPr>
          <w:p>
            <w:pPr>
              <w:widowControl/>
              <w:textAlignment w:val="bottom"/>
              <w:rPr>
                <w:color w:val="000000"/>
              </w:rPr>
            </w:pPr>
            <w:r>
              <w:rPr>
                <w:color w:val="000000"/>
                <w:kern w:val="0"/>
              </w:rPr>
              <w:t>531</w:t>
            </w:r>
            <w:r>
              <w:rPr>
                <w:rFonts w:hint="eastAsia" w:cs="宋体"/>
                <w:color w:val="000000"/>
                <w:kern w:val="0"/>
              </w:rPr>
              <w:t>温岭市住房和城乡建设局</w:t>
            </w:r>
          </w:p>
        </w:tc>
        <w:tc>
          <w:tcPr>
            <w:tcW w:w="1512" w:type="dxa"/>
            <w:tcBorders>
              <w:top w:val="nil"/>
              <w:left w:val="nil"/>
              <w:bottom w:val="single" w:color="auto" w:sz="4" w:space="0"/>
              <w:right w:val="single" w:color="auto" w:sz="4" w:space="0"/>
            </w:tcBorders>
            <w:vAlign w:val="center"/>
          </w:tcPr>
          <w:p>
            <w:pPr>
              <w:jc w:val="center"/>
            </w:pPr>
            <w:r>
              <w:t>167791900</w:t>
            </w:r>
          </w:p>
        </w:tc>
        <w:tc>
          <w:tcPr>
            <w:tcW w:w="1126" w:type="dxa"/>
            <w:tcBorders>
              <w:top w:val="nil"/>
              <w:left w:val="nil"/>
              <w:bottom w:val="single" w:color="auto" w:sz="4" w:space="0"/>
              <w:right w:val="single" w:color="auto" w:sz="4" w:space="0"/>
            </w:tcBorders>
            <w:vAlign w:val="center"/>
          </w:tcPr>
          <w:p>
            <w:pPr>
              <w:jc w:val="center"/>
            </w:pPr>
          </w:p>
        </w:tc>
        <w:tc>
          <w:tcPr>
            <w:tcW w:w="1261" w:type="dxa"/>
            <w:tcBorders>
              <w:top w:val="nil"/>
              <w:left w:val="nil"/>
              <w:bottom w:val="single" w:color="auto" w:sz="4" w:space="0"/>
              <w:right w:val="single" w:color="auto" w:sz="4" w:space="0"/>
            </w:tcBorders>
            <w:vAlign w:val="center"/>
          </w:tcPr>
          <w:p>
            <w:pPr>
              <w:jc w:val="center"/>
            </w:pPr>
            <w:r>
              <w:t>167791900</w:t>
            </w:r>
          </w:p>
        </w:tc>
      </w:tr>
      <w:tr>
        <w:tblPrEx>
          <w:tblLayout w:type="fixed"/>
          <w:tblCellMar>
            <w:top w:w="0" w:type="dxa"/>
            <w:left w:w="108" w:type="dxa"/>
            <w:bottom w:w="0" w:type="dxa"/>
            <w:right w:w="108" w:type="dxa"/>
          </w:tblCellMar>
        </w:tblPrEx>
        <w:trPr>
          <w:trHeight w:val="510" w:hRule="atLeast"/>
          <w:jc w:val="center"/>
        </w:trPr>
        <w:tc>
          <w:tcPr>
            <w:tcW w:w="5162" w:type="dxa"/>
            <w:tcBorders>
              <w:top w:val="nil"/>
              <w:left w:val="single" w:color="auto" w:sz="4" w:space="0"/>
              <w:bottom w:val="single" w:color="auto" w:sz="4" w:space="0"/>
              <w:right w:val="single" w:color="auto" w:sz="4" w:space="0"/>
            </w:tcBorders>
            <w:vAlign w:val="center"/>
          </w:tcPr>
          <w:p>
            <w:pPr>
              <w:widowControl/>
              <w:ind w:firstLine="210" w:firstLineChars="100"/>
              <w:textAlignment w:val="bottom"/>
              <w:rPr>
                <w:color w:val="000000"/>
              </w:rPr>
            </w:pPr>
            <w:r>
              <w:rPr>
                <w:color w:val="000000"/>
                <w:kern w:val="0"/>
              </w:rPr>
              <w:t>212</w:t>
            </w:r>
            <w:r>
              <w:rPr>
                <w:rFonts w:hint="eastAsia" w:cs="宋体"/>
                <w:color w:val="000000"/>
                <w:kern w:val="0"/>
              </w:rPr>
              <w:t>城乡社区支出</w:t>
            </w:r>
          </w:p>
        </w:tc>
        <w:tc>
          <w:tcPr>
            <w:tcW w:w="1512" w:type="dxa"/>
            <w:tcBorders>
              <w:top w:val="nil"/>
              <w:left w:val="nil"/>
              <w:bottom w:val="single" w:color="auto" w:sz="4" w:space="0"/>
              <w:right w:val="single" w:color="auto" w:sz="4" w:space="0"/>
            </w:tcBorders>
            <w:vAlign w:val="center"/>
          </w:tcPr>
          <w:p>
            <w:pPr>
              <w:jc w:val="center"/>
            </w:pPr>
            <w:r>
              <w:t>167791900</w:t>
            </w:r>
          </w:p>
        </w:tc>
        <w:tc>
          <w:tcPr>
            <w:tcW w:w="1126" w:type="dxa"/>
            <w:tcBorders>
              <w:top w:val="nil"/>
              <w:left w:val="nil"/>
              <w:bottom w:val="single" w:color="auto" w:sz="4" w:space="0"/>
              <w:right w:val="single" w:color="auto" w:sz="4" w:space="0"/>
            </w:tcBorders>
            <w:vAlign w:val="center"/>
          </w:tcPr>
          <w:p>
            <w:pPr>
              <w:jc w:val="center"/>
            </w:pPr>
          </w:p>
        </w:tc>
        <w:tc>
          <w:tcPr>
            <w:tcW w:w="1261" w:type="dxa"/>
            <w:tcBorders>
              <w:top w:val="nil"/>
              <w:left w:val="nil"/>
              <w:bottom w:val="single" w:color="auto" w:sz="4" w:space="0"/>
              <w:right w:val="single" w:color="auto" w:sz="4" w:space="0"/>
            </w:tcBorders>
            <w:vAlign w:val="center"/>
          </w:tcPr>
          <w:p>
            <w:pPr>
              <w:jc w:val="center"/>
            </w:pPr>
            <w:r>
              <w:t>167791900</w:t>
            </w:r>
          </w:p>
        </w:tc>
      </w:tr>
      <w:tr>
        <w:tblPrEx>
          <w:tblLayout w:type="fixed"/>
          <w:tblCellMar>
            <w:top w:w="0" w:type="dxa"/>
            <w:left w:w="108" w:type="dxa"/>
            <w:bottom w:w="0" w:type="dxa"/>
            <w:right w:w="108" w:type="dxa"/>
          </w:tblCellMar>
        </w:tblPrEx>
        <w:trPr>
          <w:trHeight w:val="585" w:hRule="atLeast"/>
          <w:jc w:val="center"/>
        </w:trPr>
        <w:tc>
          <w:tcPr>
            <w:tcW w:w="5162" w:type="dxa"/>
            <w:tcBorders>
              <w:top w:val="nil"/>
              <w:left w:val="single" w:color="auto" w:sz="4" w:space="0"/>
              <w:bottom w:val="single" w:color="auto" w:sz="4" w:space="0"/>
              <w:right w:val="single" w:color="auto" w:sz="4" w:space="0"/>
            </w:tcBorders>
            <w:vAlign w:val="center"/>
          </w:tcPr>
          <w:p>
            <w:pPr>
              <w:widowControl/>
              <w:ind w:firstLine="420" w:firstLineChars="200"/>
              <w:textAlignment w:val="bottom"/>
              <w:rPr>
                <w:color w:val="000000"/>
              </w:rPr>
            </w:pPr>
            <w:r>
              <w:rPr>
                <w:color w:val="000000"/>
                <w:kern w:val="0"/>
              </w:rPr>
              <w:t>21208</w:t>
            </w:r>
            <w:r>
              <w:rPr>
                <w:rFonts w:hint="eastAsia" w:cs="宋体"/>
                <w:color w:val="000000"/>
                <w:kern w:val="0"/>
              </w:rPr>
              <w:t>国有土地使用权出让收入安排的支出</w:t>
            </w:r>
          </w:p>
        </w:tc>
        <w:tc>
          <w:tcPr>
            <w:tcW w:w="1512" w:type="dxa"/>
            <w:tcBorders>
              <w:top w:val="nil"/>
              <w:left w:val="nil"/>
              <w:bottom w:val="single" w:color="auto" w:sz="4" w:space="0"/>
              <w:right w:val="single" w:color="auto" w:sz="4" w:space="0"/>
            </w:tcBorders>
            <w:vAlign w:val="center"/>
          </w:tcPr>
          <w:p>
            <w:pPr>
              <w:jc w:val="center"/>
            </w:pPr>
            <w:r>
              <w:t>105291900</w:t>
            </w:r>
          </w:p>
        </w:tc>
        <w:tc>
          <w:tcPr>
            <w:tcW w:w="1126" w:type="dxa"/>
            <w:tcBorders>
              <w:top w:val="nil"/>
              <w:left w:val="nil"/>
              <w:bottom w:val="single" w:color="auto" w:sz="4" w:space="0"/>
              <w:right w:val="single" w:color="auto" w:sz="4" w:space="0"/>
            </w:tcBorders>
            <w:vAlign w:val="center"/>
          </w:tcPr>
          <w:p>
            <w:pPr>
              <w:jc w:val="center"/>
            </w:pPr>
          </w:p>
        </w:tc>
        <w:tc>
          <w:tcPr>
            <w:tcW w:w="1261" w:type="dxa"/>
            <w:tcBorders>
              <w:top w:val="nil"/>
              <w:left w:val="nil"/>
              <w:bottom w:val="single" w:color="auto" w:sz="4" w:space="0"/>
              <w:right w:val="single" w:color="auto" w:sz="4" w:space="0"/>
            </w:tcBorders>
            <w:vAlign w:val="center"/>
          </w:tcPr>
          <w:p>
            <w:pPr>
              <w:jc w:val="center"/>
            </w:pPr>
            <w:r>
              <w:t>105291900</w:t>
            </w:r>
          </w:p>
        </w:tc>
      </w:tr>
      <w:tr>
        <w:tblPrEx>
          <w:tblLayout w:type="fixed"/>
          <w:tblCellMar>
            <w:top w:w="0" w:type="dxa"/>
            <w:left w:w="108" w:type="dxa"/>
            <w:bottom w:w="0" w:type="dxa"/>
            <w:right w:w="108" w:type="dxa"/>
          </w:tblCellMar>
        </w:tblPrEx>
        <w:trPr>
          <w:trHeight w:val="561" w:hRule="atLeast"/>
          <w:jc w:val="center"/>
        </w:trPr>
        <w:tc>
          <w:tcPr>
            <w:tcW w:w="5162" w:type="dxa"/>
            <w:tcBorders>
              <w:top w:val="nil"/>
              <w:left w:val="single" w:color="auto" w:sz="4" w:space="0"/>
              <w:bottom w:val="single" w:color="auto" w:sz="4" w:space="0"/>
              <w:right w:val="single" w:color="auto" w:sz="4" w:space="0"/>
            </w:tcBorders>
            <w:vAlign w:val="center"/>
          </w:tcPr>
          <w:p>
            <w:pPr>
              <w:widowControl/>
              <w:ind w:firstLine="630" w:firstLineChars="300"/>
              <w:textAlignment w:val="bottom"/>
              <w:rPr>
                <w:color w:val="000000"/>
              </w:rPr>
            </w:pPr>
            <w:r>
              <w:rPr>
                <w:color w:val="000000"/>
                <w:kern w:val="0"/>
              </w:rPr>
              <w:t>2120807</w:t>
            </w:r>
            <w:r>
              <w:rPr>
                <w:rFonts w:hint="eastAsia" w:cs="宋体"/>
                <w:color w:val="000000"/>
                <w:kern w:val="0"/>
              </w:rPr>
              <w:t>廉租住房支出</w:t>
            </w:r>
          </w:p>
        </w:tc>
        <w:tc>
          <w:tcPr>
            <w:tcW w:w="1512" w:type="dxa"/>
            <w:tcBorders>
              <w:top w:val="nil"/>
              <w:left w:val="nil"/>
              <w:bottom w:val="single" w:color="auto" w:sz="4" w:space="0"/>
              <w:right w:val="single" w:color="auto" w:sz="4" w:space="0"/>
            </w:tcBorders>
            <w:vAlign w:val="center"/>
          </w:tcPr>
          <w:p>
            <w:pPr>
              <w:jc w:val="center"/>
            </w:pPr>
            <w:r>
              <w:t>8000000</w:t>
            </w:r>
          </w:p>
        </w:tc>
        <w:tc>
          <w:tcPr>
            <w:tcW w:w="1126" w:type="dxa"/>
            <w:tcBorders>
              <w:top w:val="nil"/>
              <w:left w:val="nil"/>
              <w:bottom w:val="single" w:color="auto" w:sz="4" w:space="0"/>
              <w:right w:val="single" w:color="auto" w:sz="4" w:space="0"/>
            </w:tcBorders>
            <w:vAlign w:val="center"/>
          </w:tcPr>
          <w:p>
            <w:pPr>
              <w:jc w:val="center"/>
            </w:pPr>
          </w:p>
        </w:tc>
        <w:tc>
          <w:tcPr>
            <w:tcW w:w="1261" w:type="dxa"/>
            <w:tcBorders>
              <w:top w:val="nil"/>
              <w:left w:val="nil"/>
              <w:bottom w:val="single" w:color="auto" w:sz="4" w:space="0"/>
              <w:right w:val="single" w:color="auto" w:sz="4" w:space="0"/>
            </w:tcBorders>
            <w:vAlign w:val="center"/>
          </w:tcPr>
          <w:p>
            <w:pPr>
              <w:jc w:val="center"/>
            </w:pPr>
            <w:r>
              <w:t>8000000</w:t>
            </w:r>
          </w:p>
        </w:tc>
      </w:tr>
      <w:tr>
        <w:tblPrEx>
          <w:tblLayout w:type="fixed"/>
          <w:tblCellMar>
            <w:top w:w="0" w:type="dxa"/>
            <w:left w:w="108" w:type="dxa"/>
            <w:bottom w:w="0" w:type="dxa"/>
            <w:right w:w="108" w:type="dxa"/>
          </w:tblCellMar>
        </w:tblPrEx>
        <w:trPr>
          <w:trHeight w:val="591" w:hRule="atLeast"/>
          <w:jc w:val="center"/>
        </w:trPr>
        <w:tc>
          <w:tcPr>
            <w:tcW w:w="5162" w:type="dxa"/>
            <w:tcBorders>
              <w:top w:val="nil"/>
              <w:left w:val="single" w:color="auto" w:sz="4" w:space="0"/>
              <w:bottom w:val="single" w:color="auto" w:sz="4" w:space="0"/>
              <w:right w:val="single" w:color="auto" w:sz="4" w:space="0"/>
            </w:tcBorders>
            <w:vAlign w:val="center"/>
          </w:tcPr>
          <w:p>
            <w:pPr>
              <w:widowControl/>
              <w:ind w:firstLine="630" w:firstLineChars="300"/>
              <w:textAlignment w:val="bottom"/>
              <w:rPr>
                <w:color w:val="000000"/>
              </w:rPr>
            </w:pPr>
            <w:r>
              <w:rPr>
                <w:color w:val="000000"/>
                <w:kern w:val="0"/>
              </w:rPr>
              <w:t>2120899</w:t>
            </w:r>
            <w:r>
              <w:rPr>
                <w:rFonts w:hint="eastAsia" w:cs="宋体"/>
                <w:color w:val="000000"/>
                <w:kern w:val="0"/>
              </w:rPr>
              <w:t>其他国有土地使用权出让收入安排的支出</w:t>
            </w:r>
          </w:p>
        </w:tc>
        <w:tc>
          <w:tcPr>
            <w:tcW w:w="1512" w:type="dxa"/>
            <w:tcBorders>
              <w:top w:val="nil"/>
              <w:left w:val="nil"/>
              <w:bottom w:val="single" w:color="auto" w:sz="4" w:space="0"/>
              <w:right w:val="single" w:color="auto" w:sz="4" w:space="0"/>
            </w:tcBorders>
            <w:vAlign w:val="center"/>
          </w:tcPr>
          <w:p>
            <w:pPr>
              <w:jc w:val="center"/>
            </w:pPr>
            <w:r>
              <w:t>92791900</w:t>
            </w:r>
          </w:p>
        </w:tc>
        <w:tc>
          <w:tcPr>
            <w:tcW w:w="1126" w:type="dxa"/>
            <w:tcBorders>
              <w:top w:val="nil"/>
              <w:left w:val="nil"/>
              <w:bottom w:val="single" w:color="auto" w:sz="4" w:space="0"/>
              <w:right w:val="single" w:color="auto" w:sz="4" w:space="0"/>
            </w:tcBorders>
            <w:vAlign w:val="center"/>
          </w:tcPr>
          <w:p>
            <w:pPr>
              <w:jc w:val="center"/>
            </w:pPr>
          </w:p>
        </w:tc>
        <w:tc>
          <w:tcPr>
            <w:tcW w:w="1261" w:type="dxa"/>
            <w:tcBorders>
              <w:top w:val="nil"/>
              <w:left w:val="nil"/>
              <w:bottom w:val="single" w:color="auto" w:sz="4" w:space="0"/>
              <w:right w:val="single" w:color="auto" w:sz="4" w:space="0"/>
            </w:tcBorders>
            <w:vAlign w:val="center"/>
          </w:tcPr>
          <w:p>
            <w:pPr>
              <w:jc w:val="center"/>
            </w:pPr>
            <w:r>
              <w:t>97291900</w:t>
            </w:r>
          </w:p>
        </w:tc>
      </w:tr>
      <w:tr>
        <w:tblPrEx>
          <w:tblLayout w:type="fixed"/>
          <w:tblCellMar>
            <w:top w:w="0" w:type="dxa"/>
            <w:left w:w="108" w:type="dxa"/>
            <w:bottom w:w="0" w:type="dxa"/>
            <w:right w:w="108" w:type="dxa"/>
          </w:tblCellMar>
        </w:tblPrEx>
        <w:trPr>
          <w:trHeight w:val="516" w:hRule="atLeast"/>
          <w:jc w:val="center"/>
        </w:trPr>
        <w:tc>
          <w:tcPr>
            <w:tcW w:w="5162" w:type="dxa"/>
            <w:tcBorders>
              <w:top w:val="nil"/>
              <w:left w:val="single" w:color="auto" w:sz="4" w:space="0"/>
              <w:bottom w:val="single" w:color="auto" w:sz="4" w:space="0"/>
              <w:right w:val="single" w:color="auto" w:sz="4" w:space="0"/>
            </w:tcBorders>
            <w:vAlign w:val="center"/>
          </w:tcPr>
          <w:p>
            <w:pPr>
              <w:widowControl/>
              <w:ind w:firstLine="420" w:firstLineChars="200"/>
              <w:textAlignment w:val="bottom"/>
              <w:rPr>
                <w:color w:val="000000"/>
              </w:rPr>
            </w:pPr>
            <w:r>
              <w:rPr>
                <w:color w:val="000000"/>
                <w:kern w:val="0"/>
              </w:rPr>
              <w:t>21213</w:t>
            </w:r>
            <w:r>
              <w:rPr>
                <w:rFonts w:hint="eastAsia" w:cs="宋体"/>
                <w:color w:val="000000"/>
                <w:kern w:val="0"/>
              </w:rPr>
              <w:t>城市基础设施配套费安排的支出</w:t>
            </w:r>
          </w:p>
        </w:tc>
        <w:tc>
          <w:tcPr>
            <w:tcW w:w="1512" w:type="dxa"/>
            <w:tcBorders>
              <w:top w:val="nil"/>
              <w:left w:val="nil"/>
              <w:bottom w:val="single" w:color="auto" w:sz="4" w:space="0"/>
              <w:right w:val="single" w:color="auto" w:sz="4" w:space="0"/>
            </w:tcBorders>
            <w:vAlign w:val="center"/>
          </w:tcPr>
          <w:p>
            <w:pPr>
              <w:jc w:val="center"/>
            </w:pPr>
            <w:r>
              <w:t>62500000</w:t>
            </w:r>
          </w:p>
        </w:tc>
        <w:tc>
          <w:tcPr>
            <w:tcW w:w="1126" w:type="dxa"/>
            <w:tcBorders>
              <w:top w:val="nil"/>
              <w:left w:val="nil"/>
              <w:bottom w:val="single" w:color="auto" w:sz="4" w:space="0"/>
              <w:right w:val="single" w:color="auto" w:sz="4" w:space="0"/>
            </w:tcBorders>
            <w:vAlign w:val="center"/>
          </w:tcPr>
          <w:p>
            <w:pPr>
              <w:jc w:val="center"/>
            </w:pPr>
          </w:p>
        </w:tc>
        <w:tc>
          <w:tcPr>
            <w:tcW w:w="1261" w:type="dxa"/>
            <w:tcBorders>
              <w:top w:val="nil"/>
              <w:left w:val="nil"/>
              <w:bottom w:val="single" w:color="auto" w:sz="4" w:space="0"/>
              <w:right w:val="single" w:color="auto" w:sz="4" w:space="0"/>
            </w:tcBorders>
            <w:vAlign w:val="center"/>
          </w:tcPr>
          <w:p>
            <w:pPr>
              <w:jc w:val="center"/>
            </w:pPr>
            <w:r>
              <w:t>62500000</w:t>
            </w:r>
          </w:p>
        </w:tc>
      </w:tr>
      <w:tr>
        <w:tblPrEx>
          <w:tblLayout w:type="fixed"/>
          <w:tblCellMar>
            <w:top w:w="0" w:type="dxa"/>
            <w:left w:w="108" w:type="dxa"/>
            <w:bottom w:w="0" w:type="dxa"/>
            <w:right w:w="108" w:type="dxa"/>
          </w:tblCellMar>
        </w:tblPrEx>
        <w:trPr>
          <w:trHeight w:val="530" w:hRule="atLeast"/>
          <w:jc w:val="center"/>
        </w:trPr>
        <w:tc>
          <w:tcPr>
            <w:tcW w:w="5162" w:type="dxa"/>
            <w:tcBorders>
              <w:top w:val="nil"/>
              <w:left w:val="single" w:color="auto" w:sz="4" w:space="0"/>
              <w:bottom w:val="single" w:color="auto" w:sz="4" w:space="0"/>
              <w:right w:val="single" w:color="auto" w:sz="4" w:space="0"/>
            </w:tcBorders>
            <w:vAlign w:val="center"/>
          </w:tcPr>
          <w:p>
            <w:pPr>
              <w:widowControl/>
              <w:ind w:firstLine="630" w:firstLineChars="300"/>
              <w:textAlignment w:val="bottom"/>
              <w:rPr>
                <w:color w:val="000000"/>
              </w:rPr>
            </w:pPr>
            <w:r>
              <w:rPr>
                <w:color w:val="000000"/>
                <w:kern w:val="0"/>
              </w:rPr>
              <w:t>2121399</w:t>
            </w:r>
            <w:r>
              <w:rPr>
                <w:rFonts w:hint="eastAsia" w:cs="宋体"/>
                <w:color w:val="000000"/>
                <w:kern w:val="0"/>
              </w:rPr>
              <w:t>其他城市基础设施配套费安排的支出</w:t>
            </w:r>
          </w:p>
        </w:tc>
        <w:tc>
          <w:tcPr>
            <w:tcW w:w="1512" w:type="dxa"/>
            <w:tcBorders>
              <w:top w:val="nil"/>
              <w:left w:val="nil"/>
              <w:bottom w:val="single" w:color="auto" w:sz="4" w:space="0"/>
              <w:right w:val="single" w:color="auto" w:sz="4" w:space="0"/>
            </w:tcBorders>
            <w:vAlign w:val="center"/>
          </w:tcPr>
          <w:p>
            <w:pPr>
              <w:jc w:val="center"/>
            </w:pPr>
            <w:r>
              <w:t>62500000</w:t>
            </w:r>
          </w:p>
        </w:tc>
        <w:tc>
          <w:tcPr>
            <w:tcW w:w="1126" w:type="dxa"/>
            <w:tcBorders>
              <w:top w:val="nil"/>
              <w:left w:val="nil"/>
              <w:bottom w:val="single" w:color="auto" w:sz="4" w:space="0"/>
              <w:right w:val="single" w:color="auto" w:sz="4" w:space="0"/>
            </w:tcBorders>
            <w:vAlign w:val="center"/>
          </w:tcPr>
          <w:p>
            <w:pPr>
              <w:jc w:val="center"/>
            </w:pPr>
          </w:p>
        </w:tc>
        <w:tc>
          <w:tcPr>
            <w:tcW w:w="1261" w:type="dxa"/>
            <w:tcBorders>
              <w:top w:val="nil"/>
              <w:left w:val="nil"/>
              <w:bottom w:val="single" w:color="auto" w:sz="4" w:space="0"/>
              <w:right w:val="single" w:color="auto" w:sz="4" w:space="0"/>
            </w:tcBorders>
            <w:vAlign w:val="center"/>
          </w:tcPr>
          <w:p>
            <w:pPr>
              <w:jc w:val="center"/>
            </w:pPr>
            <w:r>
              <w:t>62500000</w:t>
            </w:r>
          </w:p>
        </w:tc>
      </w:tr>
    </w:tbl>
    <w:p>
      <w:pPr>
        <w:spacing w:line="580" w:lineRule="exact"/>
        <w:ind w:firstLine="640" w:firstLineChars="200"/>
        <w:rPr>
          <w:rFonts w:ascii="仿宋_GB2312" w:hAnsi="仿宋" w:eastAsia="仿宋_GB2312"/>
          <w:sz w:val="32"/>
          <w:szCs w:val="32"/>
        </w:rPr>
      </w:pPr>
    </w:p>
    <w:p>
      <w:pPr>
        <w:rPr>
          <w:rFonts w:ascii="仿宋_GB2312" w:hAnsi="黑体" w:eastAsia="仿宋_GB2312" w:cs="仿宋_GB2312"/>
          <w:sz w:val="32"/>
          <w:szCs w:val="32"/>
        </w:rPr>
      </w:pPr>
      <w:r>
        <w:rPr>
          <w:rFonts w:ascii="仿宋_GB2312" w:hAnsi="仿宋" w:eastAsia="仿宋_GB2312"/>
          <w:sz w:val="32"/>
          <w:szCs w:val="32"/>
        </w:rPr>
        <w:br w:type="page"/>
      </w:r>
      <w:r>
        <w:rPr>
          <w:rFonts w:hint="eastAsia" w:ascii="仿宋_GB2312" w:hAnsi="黑体" w:eastAsia="仿宋_GB2312" w:cs="仿宋_GB2312"/>
          <w:sz w:val="32"/>
          <w:szCs w:val="32"/>
        </w:rPr>
        <w:t>附件</w:t>
      </w:r>
      <w:r>
        <w:rPr>
          <w:rFonts w:ascii="仿宋_GB2312" w:hAnsi="黑体" w:eastAsia="仿宋_GB2312" w:cs="仿宋_GB2312"/>
          <w:sz w:val="32"/>
          <w:szCs w:val="32"/>
        </w:rPr>
        <w:t xml:space="preserve">5  </w:t>
      </w:r>
    </w:p>
    <w:p>
      <w:pPr>
        <w:spacing w:line="590" w:lineRule="exact"/>
        <w:rPr>
          <w:rFonts w:ascii="黑体" w:hAnsi="Arial" w:eastAsia="黑体"/>
          <w:sz w:val="36"/>
          <w:szCs w:val="36"/>
        </w:rPr>
      </w:pPr>
    </w:p>
    <w:p>
      <w:pPr>
        <w:spacing w:line="590" w:lineRule="exact"/>
        <w:jc w:val="center"/>
        <w:rPr>
          <w:rFonts w:ascii="方正小标宋简体" w:hAnsi="Arial" w:eastAsia="方正小标宋简体"/>
          <w:sz w:val="36"/>
          <w:szCs w:val="36"/>
        </w:rPr>
      </w:pPr>
      <w:r>
        <w:rPr>
          <w:rFonts w:ascii="方正小标宋简体" w:hAnsi="Arial" w:eastAsia="方正小标宋简体" w:cs="方正小标宋简体"/>
          <w:sz w:val="36"/>
          <w:szCs w:val="36"/>
        </w:rPr>
        <w:t>2021</w:t>
      </w:r>
      <w:r>
        <w:rPr>
          <w:rFonts w:hint="eastAsia" w:ascii="方正小标宋简体" w:hAnsi="黑体" w:eastAsia="方正小标宋简体" w:cs="方正小标宋简体"/>
          <w:sz w:val="36"/>
          <w:szCs w:val="36"/>
        </w:rPr>
        <w:t>年一般公共预算基本支出表</w:t>
      </w:r>
      <w:r>
        <w:rPr>
          <w:rFonts w:ascii="方正小标宋简体" w:hAnsi="Arial" w:eastAsia="方正小标宋简体" w:cs="方正小标宋简体"/>
          <w:sz w:val="36"/>
          <w:szCs w:val="36"/>
        </w:rPr>
        <w:t>(</w:t>
      </w:r>
      <w:r>
        <w:rPr>
          <w:rFonts w:hint="eastAsia" w:ascii="方正小标宋简体" w:hAnsi="黑体" w:eastAsia="方正小标宋简体" w:cs="方正小标宋简体"/>
          <w:sz w:val="36"/>
          <w:szCs w:val="36"/>
        </w:rPr>
        <w:t>表</w:t>
      </w:r>
      <w:r>
        <w:rPr>
          <w:rFonts w:ascii="方正小标宋简体" w:hAnsi="Arial" w:eastAsia="方正小标宋简体" w:cs="方正小标宋简体"/>
          <w:sz w:val="36"/>
          <w:szCs w:val="36"/>
        </w:rPr>
        <w:t>05</w:t>
      </w:r>
      <w:r>
        <w:rPr>
          <w:rFonts w:hint="eastAsia" w:ascii="方正小标宋简体" w:hAnsi="黑体" w:eastAsia="方正小标宋简体" w:cs="方正小标宋简体"/>
          <w:sz w:val="36"/>
          <w:szCs w:val="36"/>
        </w:rPr>
        <w:t>）</w:t>
      </w:r>
    </w:p>
    <w:p>
      <w:pPr>
        <w:spacing w:line="590" w:lineRule="exact"/>
        <w:rPr>
          <w:rFonts w:eastAsia="黑体"/>
        </w:rPr>
      </w:pPr>
      <w:r>
        <w:rPr>
          <w:rFonts w:hint="eastAsia" w:hAnsi="宋体" w:cs="宋体"/>
        </w:rPr>
        <w:t>单位：温岭市住房和城乡建设局</w:t>
      </w:r>
      <w:r>
        <w:t xml:space="preserve">                                                </w:t>
      </w:r>
      <w:r>
        <w:rPr>
          <w:rFonts w:hint="eastAsia" w:hAnsi="宋体" w:cs="宋体"/>
        </w:rPr>
        <w:t>单位：元</w:t>
      </w:r>
    </w:p>
    <w:tbl>
      <w:tblPr>
        <w:tblStyle w:val="7"/>
        <w:tblW w:w="9024" w:type="dxa"/>
        <w:tblInd w:w="-106" w:type="dxa"/>
        <w:tblLayout w:type="fixed"/>
        <w:tblCellMar>
          <w:top w:w="0" w:type="dxa"/>
          <w:left w:w="108" w:type="dxa"/>
          <w:bottom w:w="0" w:type="dxa"/>
          <w:right w:w="108" w:type="dxa"/>
        </w:tblCellMar>
      </w:tblPr>
      <w:tblGrid>
        <w:gridCol w:w="5764"/>
        <w:gridCol w:w="3260"/>
      </w:tblGrid>
      <w:tr>
        <w:tblPrEx>
          <w:tblLayout w:type="fixed"/>
          <w:tblCellMar>
            <w:top w:w="0" w:type="dxa"/>
            <w:left w:w="108" w:type="dxa"/>
            <w:bottom w:w="0" w:type="dxa"/>
            <w:right w:w="108" w:type="dxa"/>
          </w:tblCellMar>
        </w:tblPrEx>
        <w:trPr>
          <w:trHeight w:val="454" w:hRule="atLeast"/>
          <w:tblHeader/>
        </w:trPr>
        <w:tc>
          <w:tcPr>
            <w:tcW w:w="5764"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hAnsi="宋体" w:cs="宋体"/>
                <w:b/>
                <w:bCs/>
              </w:rPr>
              <w:t>项</w:t>
            </w:r>
            <w:r>
              <w:rPr>
                <w:b/>
                <w:bCs/>
              </w:rPr>
              <w:t xml:space="preserve">  </w:t>
            </w:r>
            <w:r>
              <w:rPr>
                <w:rFonts w:hint="eastAsia" w:hAnsi="宋体" w:cs="宋体"/>
                <w:b/>
                <w:bCs/>
              </w:rPr>
              <w:t>目</w:t>
            </w:r>
          </w:p>
        </w:tc>
        <w:tc>
          <w:tcPr>
            <w:tcW w:w="3260" w:type="dxa"/>
            <w:tcBorders>
              <w:top w:val="single" w:color="auto" w:sz="4" w:space="0"/>
              <w:left w:val="nil"/>
              <w:bottom w:val="single" w:color="auto" w:sz="4" w:space="0"/>
              <w:right w:val="single" w:color="auto" w:sz="4" w:space="0"/>
            </w:tcBorders>
            <w:vAlign w:val="center"/>
          </w:tcPr>
          <w:p>
            <w:pPr>
              <w:jc w:val="center"/>
              <w:rPr>
                <w:b/>
                <w:bCs/>
              </w:rPr>
            </w:pPr>
            <w:r>
              <w:rPr>
                <w:rFonts w:hint="eastAsia" w:hAnsi="宋体" w:cs="宋体"/>
                <w:b/>
                <w:bCs/>
              </w:rPr>
              <w:t>金额</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jc w:val="left"/>
            </w:pPr>
            <w:r>
              <w:rPr>
                <w:rFonts w:hint="eastAsia" w:hAnsi="宋体" w:cs="宋体"/>
              </w:rPr>
              <w:t>一、工资福利支出</w:t>
            </w:r>
          </w:p>
        </w:tc>
        <w:tc>
          <w:tcPr>
            <w:tcW w:w="3260" w:type="dxa"/>
            <w:tcBorders>
              <w:top w:val="nil"/>
              <w:left w:val="nil"/>
              <w:bottom w:val="single" w:color="auto" w:sz="4" w:space="0"/>
              <w:right w:val="single" w:color="auto" w:sz="4" w:space="0"/>
            </w:tcBorders>
            <w:vAlign w:val="center"/>
          </w:tcPr>
          <w:p>
            <w:pPr>
              <w:jc w:val="center"/>
            </w:pPr>
            <w:r>
              <w:t>28731596.40</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hAnsi="Arial" w:cs="宋体"/>
              </w:rPr>
              <w:t>基本工资</w:t>
            </w:r>
          </w:p>
        </w:tc>
        <w:tc>
          <w:tcPr>
            <w:tcW w:w="3260" w:type="dxa"/>
            <w:tcBorders>
              <w:top w:val="nil"/>
              <w:left w:val="nil"/>
              <w:bottom w:val="single" w:color="auto" w:sz="4" w:space="0"/>
              <w:right w:val="single" w:color="auto" w:sz="4" w:space="0"/>
            </w:tcBorders>
            <w:vAlign w:val="center"/>
          </w:tcPr>
          <w:p>
            <w:pPr>
              <w:jc w:val="center"/>
            </w:pPr>
            <w:r>
              <w:rPr>
                <w:rFonts w:hint="eastAsia" w:hAnsi="Arial" w:cs="宋体"/>
              </w:rPr>
              <w:t>　</w:t>
            </w:r>
            <w:r>
              <w:t>5071068.00</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hAnsi="Arial" w:cs="宋体"/>
              </w:rPr>
              <w:t>津贴补贴</w:t>
            </w:r>
          </w:p>
        </w:tc>
        <w:tc>
          <w:tcPr>
            <w:tcW w:w="3260" w:type="dxa"/>
            <w:tcBorders>
              <w:top w:val="nil"/>
              <w:left w:val="nil"/>
              <w:bottom w:val="single" w:color="auto" w:sz="4" w:space="0"/>
              <w:right w:val="single" w:color="auto" w:sz="4" w:space="0"/>
            </w:tcBorders>
            <w:vAlign w:val="center"/>
          </w:tcPr>
          <w:p>
            <w:pPr>
              <w:jc w:val="center"/>
            </w:pPr>
            <w:r>
              <w:rPr>
                <w:rFonts w:hint="eastAsia" w:hAnsi="Arial" w:cs="宋体"/>
              </w:rPr>
              <w:t>　</w:t>
            </w:r>
            <w:r>
              <w:t>2172996.00</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hAnsi="Arial" w:cs="宋体"/>
              </w:rPr>
              <w:t>奖金</w:t>
            </w:r>
          </w:p>
        </w:tc>
        <w:tc>
          <w:tcPr>
            <w:tcW w:w="3260" w:type="dxa"/>
            <w:tcBorders>
              <w:top w:val="nil"/>
              <w:left w:val="nil"/>
              <w:bottom w:val="single" w:color="auto" w:sz="4" w:space="0"/>
              <w:right w:val="single" w:color="auto" w:sz="4" w:space="0"/>
            </w:tcBorders>
            <w:vAlign w:val="center"/>
          </w:tcPr>
          <w:p>
            <w:pPr>
              <w:jc w:val="center"/>
            </w:pPr>
            <w:r>
              <w:rPr>
                <w:rFonts w:hint="eastAsia" w:hAnsi="Arial" w:cs="宋体"/>
              </w:rPr>
              <w:t>　</w:t>
            </w:r>
            <w:r>
              <w:t>6206391.00</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hAnsi="Arial" w:cs="宋体"/>
              </w:rPr>
              <w:t>其他社会保障缴费</w:t>
            </w:r>
          </w:p>
        </w:tc>
        <w:tc>
          <w:tcPr>
            <w:tcW w:w="3260" w:type="dxa"/>
            <w:tcBorders>
              <w:top w:val="nil"/>
              <w:left w:val="nil"/>
              <w:bottom w:val="single" w:color="auto" w:sz="4" w:space="0"/>
              <w:right w:val="single" w:color="auto" w:sz="4" w:space="0"/>
            </w:tcBorders>
            <w:vAlign w:val="center"/>
          </w:tcPr>
          <w:p>
            <w:pPr>
              <w:jc w:val="center"/>
            </w:pPr>
            <w:r>
              <w:t>103040.00</w:t>
            </w:r>
            <w:r>
              <w:rPr>
                <w:rFonts w:hint="eastAsia" w:hAnsi="Arial" w:cs="宋体"/>
              </w:rPr>
              <w:t>　</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hAnsi="Arial" w:cs="宋体"/>
              </w:rPr>
              <w:t>绩效工资</w:t>
            </w:r>
          </w:p>
        </w:tc>
        <w:tc>
          <w:tcPr>
            <w:tcW w:w="3260" w:type="dxa"/>
            <w:tcBorders>
              <w:top w:val="nil"/>
              <w:left w:val="nil"/>
              <w:bottom w:val="single" w:color="auto" w:sz="4" w:space="0"/>
              <w:right w:val="single" w:color="auto" w:sz="4" w:space="0"/>
            </w:tcBorders>
            <w:vAlign w:val="center"/>
          </w:tcPr>
          <w:p>
            <w:pPr>
              <w:jc w:val="center"/>
            </w:pPr>
            <w:r>
              <w:t>5472660.00</w:t>
            </w:r>
            <w:r>
              <w:rPr>
                <w:rFonts w:hint="eastAsia" w:hAnsi="Arial" w:cs="宋体"/>
              </w:rPr>
              <w:t>　</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hAnsi="Arial" w:cs="宋体"/>
              </w:rPr>
              <w:t>机关事业单位单位基本养老保险缴费</w:t>
            </w:r>
          </w:p>
        </w:tc>
        <w:tc>
          <w:tcPr>
            <w:tcW w:w="3260" w:type="dxa"/>
            <w:tcBorders>
              <w:top w:val="nil"/>
              <w:left w:val="nil"/>
              <w:bottom w:val="single" w:color="auto" w:sz="4" w:space="0"/>
              <w:right w:val="single" w:color="auto" w:sz="4" w:space="0"/>
            </w:tcBorders>
            <w:vAlign w:val="center"/>
          </w:tcPr>
          <w:p>
            <w:pPr>
              <w:jc w:val="center"/>
            </w:pPr>
            <w:r>
              <w:t>2488033.60</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hAnsi="Arial" w:cs="宋体"/>
              </w:rPr>
              <w:t>职业年金缴费</w:t>
            </w:r>
          </w:p>
        </w:tc>
        <w:tc>
          <w:tcPr>
            <w:tcW w:w="3260" w:type="dxa"/>
            <w:tcBorders>
              <w:top w:val="nil"/>
              <w:left w:val="nil"/>
              <w:bottom w:val="single" w:color="auto" w:sz="4" w:space="0"/>
              <w:right w:val="single" w:color="auto" w:sz="4" w:space="0"/>
            </w:tcBorders>
            <w:vAlign w:val="center"/>
          </w:tcPr>
          <w:p>
            <w:pPr>
              <w:jc w:val="center"/>
            </w:pPr>
            <w:r>
              <w:t>1244016.8</w:t>
            </w:r>
            <w:r>
              <w:rPr>
                <w:rFonts w:hint="eastAsia" w:hAnsi="Arial" w:cs="宋体"/>
              </w:rPr>
              <w:t>　</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hAnsi="Arial" w:cs="宋体"/>
              </w:rPr>
              <w:t>住房公积金</w:t>
            </w:r>
          </w:p>
        </w:tc>
        <w:tc>
          <w:tcPr>
            <w:tcW w:w="3260" w:type="dxa"/>
            <w:tcBorders>
              <w:top w:val="nil"/>
              <w:left w:val="nil"/>
              <w:bottom w:val="single" w:color="auto" w:sz="4" w:space="0"/>
              <w:right w:val="single" w:color="auto" w:sz="4" w:space="0"/>
            </w:tcBorders>
            <w:vAlign w:val="center"/>
          </w:tcPr>
          <w:p>
            <w:pPr>
              <w:jc w:val="center"/>
            </w:pPr>
            <w:r>
              <w:t>2773476.00</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hAnsi="Arial" w:cs="宋体"/>
              </w:rPr>
              <w:t>职工基本医疗保险缴费</w:t>
            </w:r>
          </w:p>
        </w:tc>
        <w:tc>
          <w:tcPr>
            <w:tcW w:w="3260" w:type="dxa"/>
            <w:tcBorders>
              <w:top w:val="nil"/>
              <w:left w:val="nil"/>
              <w:bottom w:val="single" w:color="auto" w:sz="4" w:space="0"/>
              <w:right w:val="single" w:color="auto" w:sz="4" w:space="0"/>
            </w:tcBorders>
            <w:vAlign w:val="center"/>
          </w:tcPr>
          <w:p>
            <w:pPr>
              <w:jc w:val="center"/>
            </w:pPr>
            <w:r>
              <w:t>788190.00</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hAnsi="Arial" w:cs="宋体"/>
              </w:rPr>
              <w:t>公务员医疗补助缴费</w:t>
            </w:r>
          </w:p>
        </w:tc>
        <w:tc>
          <w:tcPr>
            <w:tcW w:w="3260" w:type="dxa"/>
            <w:tcBorders>
              <w:top w:val="nil"/>
              <w:left w:val="nil"/>
              <w:bottom w:val="single" w:color="auto" w:sz="4" w:space="0"/>
              <w:right w:val="single" w:color="auto" w:sz="4" w:space="0"/>
            </w:tcBorders>
            <w:vAlign w:val="center"/>
          </w:tcPr>
          <w:p>
            <w:pPr>
              <w:jc w:val="center"/>
            </w:pPr>
            <w:r>
              <w:t>841065.00</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hAnsi="Arial" w:cs="宋体"/>
              </w:rPr>
              <w:t>医疗费</w:t>
            </w:r>
          </w:p>
        </w:tc>
        <w:tc>
          <w:tcPr>
            <w:tcW w:w="3260" w:type="dxa"/>
            <w:tcBorders>
              <w:top w:val="nil"/>
              <w:left w:val="nil"/>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hAnsi="Arial" w:cs="宋体"/>
              </w:rPr>
              <w:t>其他工资福利支出</w:t>
            </w:r>
          </w:p>
        </w:tc>
        <w:tc>
          <w:tcPr>
            <w:tcW w:w="3260" w:type="dxa"/>
            <w:tcBorders>
              <w:top w:val="nil"/>
              <w:left w:val="nil"/>
              <w:bottom w:val="single" w:color="auto" w:sz="4" w:space="0"/>
              <w:right w:val="single" w:color="auto" w:sz="4" w:space="0"/>
            </w:tcBorders>
            <w:vAlign w:val="center"/>
          </w:tcPr>
          <w:p>
            <w:pPr>
              <w:jc w:val="center"/>
            </w:pPr>
            <w:r>
              <w:t>1570660.00</w:t>
            </w:r>
            <w:r>
              <w:rPr>
                <w:rFonts w:hint="eastAsia" w:hAnsi="Arial" w:cs="宋体"/>
              </w:rPr>
              <w:t>　</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jc w:val="left"/>
            </w:pPr>
            <w:r>
              <w:rPr>
                <w:rFonts w:hint="eastAsia" w:hAnsi="宋体" w:cs="宋体"/>
              </w:rPr>
              <w:t>二、商品和服务支出</w:t>
            </w:r>
          </w:p>
        </w:tc>
        <w:tc>
          <w:tcPr>
            <w:tcW w:w="3260" w:type="dxa"/>
            <w:tcBorders>
              <w:top w:val="nil"/>
              <w:left w:val="nil"/>
              <w:bottom w:val="single" w:color="auto" w:sz="4" w:space="0"/>
              <w:right w:val="single" w:color="auto" w:sz="4" w:space="0"/>
            </w:tcBorders>
            <w:vAlign w:val="center"/>
          </w:tcPr>
          <w:p>
            <w:pPr>
              <w:jc w:val="center"/>
            </w:pPr>
            <w:r>
              <w:rPr>
                <w:rFonts w:hint="eastAsia" w:hAnsi="Arial" w:cs="宋体"/>
              </w:rPr>
              <w:t>　</w:t>
            </w:r>
            <w:r>
              <w:t>5859320.00</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hAnsi="Arial" w:cs="宋体"/>
              </w:rPr>
              <w:t>办公费</w:t>
            </w:r>
          </w:p>
        </w:tc>
        <w:tc>
          <w:tcPr>
            <w:tcW w:w="3260" w:type="dxa"/>
            <w:tcBorders>
              <w:top w:val="nil"/>
              <w:left w:val="nil"/>
              <w:bottom w:val="single" w:color="auto" w:sz="4" w:space="0"/>
              <w:right w:val="single" w:color="auto" w:sz="4" w:space="0"/>
            </w:tcBorders>
            <w:vAlign w:val="center"/>
          </w:tcPr>
          <w:p>
            <w:pPr>
              <w:jc w:val="center"/>
            </w:pPr>
            <w:r>
              <w:rPr>
                <w:rFonts w:hint="eastAsia" w:hAnsi="Arial" w:cs="宋体"/>
              </w:rPr>
              <w:t>　</w:t>
            </w:r>
            <w:r>
              <w:t>25000</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hAnsi="Arial" w:cs="宋体"/>
              </w:rPr>
              <w:t>印刷费</w:t>
            </w:r>
          </w:p>
        </w:tc>
        <w:tc>
          <w:tcPr>
            <w:tcW w:w="3260" w:type="dxa"/>
            <w:tcBorders>
              <w:top w:val="nil"/>
              <w:left w:val="nil"/>
              <w:bottom w:val="single" w:color="auto" w:sz="4" w:space="0"/>
              <w:right w:val="single" w:color="auto" w:sz="4" w:space="0"/>
            </w:tcBorders>
            <w:vAlign w:val="center"/>
          </w:tcPr>
          <w:p>
            <w:pPr>
              <w:jc w:val="center"/>
            </w:pPr>
            <w:r>
              <w:rPr>
                <w:rFonts w:hint="eastAsia" w:hAnsi="Arial" w:cs="宋体"/>
              </w:rPr>
              <w:t>　</w:t>
            </w:r>
            <w:r>
              <w:t>0.00</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hAnsi="Arial" w:cs="宋体"/>
              </w:rPr>
              <w:t>咨询费</w:t>
            </w:r>
          </w:p>
        </w:tc>
        <w:tc>
          <w:tcPr>
            <w:tcW w:w="3260" w:type="dxa"/>
            <w:tcBorders>
              <w:top w:val="nil"/>
              <w:left w:val="nil"/>
              <w:bottom w:val="single" w:color="auto" w:sz="4" w:space="0"/>
              <w:right w:val="single" w:color="auto" w:sz="4" w:space="0"/>
            </w:tcBorders>
            <w:vAlign w:val="center"/>
          </w:tcPr>
          <w:p>
            <w:pPr>
              <w:jc w:val="center"/>
            </w:pPr>
            <w:r>
              <w:rPr>
                <w:rFonts w:hint="eastAsia" w:hAnsi="Arial" w:cs="宋体"/>
              </w:rPr>
              <w:t>　</w:t>
            </w:r>
            <w:r>
              <w:t>0.00</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hAnsi="Arial" w:cs="宋体"/>
              </w:rPr>
              <w:t>手续费</w:t>
            </w:r>
          </w:p>
        </w:tc>
        <w:tc>
          <w:tcPr>
            <w:tcW w:w="3260" w:type="dxa"/>
            <w:tcBorders>
              <w:top w:val="nil"/>
              <w:left w:val="nil"/>
              <w:bottom w:val="single" w:color="auto" w:sz="4" w:space="0"/>
              <w:right w:val="single" w:color="auto" w:sz="4" w:space="0"/>
            </w:tcBorders>
            <w:vAlign w:val="center"/>
          </w:tcPr>
          <w:p>
            <w:pPr>
              <w:jc w:val="center"/>
            </w:pPr>
            <w:r>
              <w:rPr>
                <w:rFonts w:hint="eastAsia" w:hAnsi="Arial" w:cs="宋体"/>
              </w:rPr>
              <w:t>　</w:t>
            </w:r>
            <w:r>
              <w:t>1000.00</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hAnsi="Arial" w:cs="宋体"/>
              </w:rPr>
              <w:t>水费</w:t>
            </w:r>
          </w:p>
        </w:tc>
        <w:tc>
          <w:tcPr>
            <w:tcW w:w="3260" w:type="dxa"/>
            <w:tcBorders>
              <w:top w:val="nil"/>
              <w:left w:val="nil"/>
              <w:bottom w:val="single" w:color="auto" w:sz="4" w:space="0"/>
              <w:right w:val="single" w:color="auto" w:sz="4" w:space="0"/>
            </w:tcBorders>
            <w:vAlign w:val="center"/>
          </w:tcPr>
          <w:p>
            <w:pPr>
              <w:jc w:val="center"/>
            </w:pPr>
            <w:r>
              <w:t>60000.00</w:t>
            </w:r>
            <w:r>
              <w:rPr>
                <w:rFonts w:hint="eastAsia" w:hAnsi="Arial" w:cs="宋体"/>
              </w:rPr>
              <w:t>　</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hAnsi="Arial" w:cs="宋体"/>
              </w:rPr>
              <w:t>电费</w:t>
            </w:r>
          </w:p>
        </w:tc>
        <w:tc>
          <w:tcPr>
            <w:tcW w:w="3260" w:type="dxa"/>
            <w:tcBorders>
              <w:top w:val="nil"/>
              <w:left w:val="nil"/>
              <w:bottom w:val="single" w:color="auto" w:sz="4" w:space="0"/>
              <w:right w:val="single" w:color="auto" w:sz="4" w:space="0"/>
            </w:tcBorders>
            <w:vAlign w:val="center"/>
          </w:tcPr>
          <w:p>
            <w:pPr>
              <w:jc w:val="center"/>
            </w:pPr>
            <w:r>
              <w:rPr>
                <w:rFonts w:hint="eastAsia" w:hAnsi="Arial" w:cs="宋体"/>
              </w:rPr>
              <w:t>　</w:t>
            </w:r>
            <w:r>
              <w:t>206000.00</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hAnsi="Arial" w:cs="宋体"/>
              </w:rPr>
              <w:t>邮电费</w:t>
            </w:r>
          </w:p>
        </w:tc>
        <w:tc>
          <w:tcPr>
            <w:tcW w:w="3260" w:type="dxa"/>
            <w:tcBorders>
              <w:top w:val="nil"/>
              <w:left w:val="nil"/>
              <w:bottom w:val="single" w:color="auto" w:sz="4" w:space="0"/>
              <w:right w:val="single" w:color="auto" w:sz="4" w:space="0"/>
            </w:tcBorders>
            <w:vAlign w:val="center"/>
          </w:tcPr>
          <w:p>
            <w:pPr>
              <w:jc w:val="center"/>
            </w:pPr>
            <w:r>
              <w:t>20000.00</w:t>
            </w:r>
            <w:r>
              <w:rPr>
                <w:rFonts w:hint="eastAsia" w:hAnsi="Arial" w:cs="宋体"/>
              </w:rPr>
              <w:t>　</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hAnsi="Arial" w:cs="宋体"/>
              </w:rPr>
              <w:t>物业管理费</w:t>
            </w:r>
          </w:p>
        </w:tc>
        <w:tc>
          <w:tcPr>
            <w:tcW w:w="3260" w:type="dxa"/>
            <w:tcBorders>
              <w:top w:val="nil"/>
              <w:left w:val="nil"/>
              <w:bottom w:val="single" w:color="auto" w:sz="4" w:space="0"/>
              <w:right w:val="single" w:color="auto" w:sz="4" w:space="0"/>
            </w:tcBorders>
            <w:vAlign w:val="center"/>
          </w:tcPr>
          <w:p>
            <w:pPr>
              <w:jc w:val="center"/>
            </w:pPr>
            <w:r>
              <w:t>0.00</w:t>
            </w:r>
            <w:r>
              <w:rPr>
                <w:rFonts w:hint="eastAsia" w:hAnsi="Arial" w:cs="宋体"/>
              </w:rPr>
              <w:t>　</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hAnsi="Arial" w:cs="宋体"/>
              </w:rPr>
              <w:t>差旅费</w:t>
            </w:r>
          </w:p>
        </w:tc>
        <w:tc>
          <w:tcPr>
            <w:tcW w:w="3260" w:type="dxa"/>
            <w:tcBorders>
              <w:top w:val="nil"/>
              <w:left w:val="nil"/>
              <w:bottom w:val="single" w:color="auto" w:sz="4" w:space="0"/>
              <w:right w:val="single" w:color="auto" w:sz="4" w:space="0"/>
            </w:tcBorders>
            <w:vAlign w:val="center"/>
          </w:tcPr>
          <w:p>
            <w:pPr>
              <w:jc w:val="center"/>
            </w:pPr>
            <w:r>
              <w:t>40000.00</w:t>
            </w:r>
            <w:r>
              <w:rPr>
                <w:rFonts w:hint="eastAsia" w:hAnsi="Arial" w:cs="宋体"/>
              </w:rPr>
              <w:t>　</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hAnsi="Arial" w:cs="宋体"/>
              </w:rPr>
              <w:t>维修（护）费</w:t>
            </w:r>
          </w:p>
        </w:tc>
        <w:tc>
          <w:tcPr>
            <w:tcW w:w="3260" w:type="dxa"/>
            <w:tcBorders>
              <w:top w:val="nil"/>
              <w:left w:val="nil"/>
              <w:bottom w:val="single" w:color="auto" w:sz="4" w:space="0"/>
              <w:right w:val="single" w:color="auto" w:sz="4" w:space="0"/>
            </w:tcBorders>
            <w:vAlign w:val="center"/>
          </w:tcPr>
          <w:p>
            <w:pPr>
              <w:jc w:val="center"/>
            </w:pPr>
            <w:r>
              <w:t>10000.00</w:t>
            </w:r>
            <w:r>
              <w:rPr>
                <w:rFonts w:hint="eastAsia" w:hAnsi="Arial" w:cs="宋体"/>
              </w:rPr>
              <w:t>　</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hAnsi="Arial" w:cs="宋体"/>
              </w:rPr>
              <w:t>租赁费</w:t>
            </w:r>
          </w:p>
        </w:tc>
        <w:tc>
          <w:tcPr>
            <w:tcW w:w="3260" w:type="dxa"/>
            <w:tcBorders>
              <w:top w:val="nil"/>
              <w:left w:val="nil"/>
              <w:bottom w:val="single" w:color="auto" w:sz="4" w:space="0"/>
              <w:right w:val="single" w:color="auto" w:sz="4" w:space="0"/>
            </w:tcBorders>
            <w:vAlign w:val="center"/>
          </w:tcPr>
          <w:p>
            <w:pPr>
              <w:jc w:val="center"/>
            </w:pPr>
            <w:r>
              <w:t>0.00</w:t>
            </w:r>
            <w:r>
              <w:rPr>
                <w:rFonts w:hint="eastAsia" w:hAnsi="Arial" w:cs="宋体"/>
              </w:rPr>
              <w:t>　</w:t>
            </w:r>
          </w:p>
        </w:tc>
      </w:tr>
      <w:tr>
        <w:tblPrEx>
          <w:tblLayout w:type="fixed"/>
          <w:tblCellMar>
            <w:top w:w="0" w:type="dxa"/>
            <w:left w:w="108" w:type="dxa"/>
            <w:bottom w:w="0" w:type="dxa"/>
            <w:right w:w="108" w:type="dxa"/>
          </w:tblCellMar>
        </w:tblPrEx>
        <w:trPr>
          <w:trHeight w:val="486"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hAnsi="Arial" w:cs="宋体"/>
              </w:rPr>
              <w:t>会议费</w:t>
            </w:r>
          </w:p>
        </w:tc>
        <w:tc>
          <w:tcPr>
            <w:tcW w:w="3260" w:type="dxa"/>
            <w:tcBorders>
              <w:top w:val="nil"/>
              <w:left w:val="nil"/>
              <w:bottom w:val="single" w:color="auto" w:sz="4" w:space="0"/>
              <w:right w:val="single" w:color="auto" w:sz="4" w:space="0"/>
            </w:tcBorders>
            <w:vAlign w:val="center"/>
          </w:tcPr>
          <w:p>
            <w:pPr>
              <w:jc w:val="center"/>
            </w:pPr>
            <w:r>
              <w:rPr>
                <w:rFonts w:hint="eastAsia" w:hAnsi="Arial" w:cs="宋体"/>
              </w:rPr>
              <w:t>　</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hAnsi="Arial" w:cs="宋体"/>
              </w:rPr>
              <w:t>培训费</w:t>
            </w:r>
          </w:p>
        </w:tc>
        <w:tc>
          <w:tcPr>
            <w:tcW w:w="3260" w:type="dxa"/>
            <w:tcBorders>
              <w:top w:val="nil"/>
              <w:left w:val="nil"/>
              <w:bottom w:val="single" w:color="auto" w:sz="4" w:space="0"/>
              <w:right w:val="single" w:color="auto" w:sz="4" w:space="0"/>
            </w:tcBorders>
            <w:vAlign w:val="center"/>
          </w:tcPr>
          <w:p>
            <w:pPr>
              <w:jc w:val="center"/>
            </w:pPr>
            <w:r>
              <w:t>20000.00</w:t>
            </w:r>
            <w:r>
              <w:rPr>
                <w:rFonts w:hint="eastAsia" w:hAnsi="Arial" w:cs="宋体"/>
              </w:rPr>
              <w:t>　</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hAnsi="Arial" w:cs="宋体"/>
              </w:rPr>
              <w:t>公务接待费</w:t>
            </w:r>
          </w:p>
        </w:tc>
        <w:tc>
          <w:tcPr>
            <w:tcW w:w="3260" w:type="dxa"/>
            <w:tcBorders>
              <w:top w:val="nil"/>
              <w:left w:val="nil"/>
              <w:bottom w:val="single" w:color="auto" w:sz="4" w:space="0"/>
              <w:right w:val="single" w:color="auto" w:sz="4" w:space="0"/>
            </w:tcBorders>
            <w:vAlign w:val="center"/>
          </w:tcPr>
          <w:p>
            <w:pPr>
              <w:jc w:val="center"/>
            </w:pPr>
            <w:r>
              <w:t>10000.00</w:t>
            </w:r>
            <w:r>
              <w:rPr>
                <w:rFonts w:hint="eastAsia" w:hAnsi="Arial" w:cs="宋体"/>
              </w:rPr>
              <w:t>　</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hAnsi="Arial" w:cs="宋体"/>
              </w:rPr>
              <w:t>专用材料费</w:t>
            </w:r>
          </w:p>
        </w:tc>
        <w:tc>
          <w:tcPr>
            <w:tcW w:w="3260" w:type="dxa"/>
            <w:tcBorders>
              <w:top w:val="nil"/>
              <w:left w:val="nil"/>
              <w:bottom w:val="single" w:color="auto" w:sz="4" w:space="0"/>
              <w:right w:val="single" w:color="auto" w:sz="4" w:space="0"/>
            </w:tcBorders>
            <w:vAlign w:val="center"/>
          </w:tcPr>
          <w:p>
            <w:pPr>
              <w:jc w:val="center"/>
            </w:pPr>
            <w:r>
              <w:rPr>
                <w:rFonts w:hint="eastAsia" w:hAnsi="Arial" w:cs="宋体"/>
              </w:rPr>
              <w:t>　</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hAnsi="Arial" w:cs="宋体"/>
              </w:rPr>
              <w:t>被装购置费</w:t>
            </w:r>
          </w:p>
        </w:tc>
        <w:tc>
          <w:tcPr>
            <w:tcW w:w="3260" w:type="dxa"/>
            <w:tcBorders>
              <w:top w:val="nil"/>
              <w:left w:val="nil"/>
              <w:bottom w:val="single" w:color="auto" w:sz="4" w:space="0"/>
              <w:right w:val="single" w:color="auto" w:sz="4" w:space="0"/>
            </w:tcBorders>
            <w:vAlign w:val="center"/>
          </w:tcPr>
          <w:p>
            <w:pPr>
              <w:jc w:val="center"/>
            </w:pPr>
            <w:r>
              <w:rPr>
                <w:rFonts w:hint="eastAsia" w:hAnsi="Arial" w:cs="宋体"/>
              </w:rPr>
              <w:t>　</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hAnsi="Arial" w:cs="宋体"/>
              </w:rPr>
              <w:t>劳务费</w:t>
            </w:r>
          </w:p>
        </w:tc>
        <w:tc>
          <w:tcPr>
            <w:tcW w:w="3260" w:type="dxa"/>
            <w:tcBorders>
              <w:top w:val="nil"/>
              <w:left w:val="nil"/>
              <w:bottom w:val="single" w:color="auto" w:sz="4" w:space="0"/>
              <w:right w:val="single" w:color="auto" w:sz="4" w:space="0"/>
            </w:tcBorders>
            <w:vAlign w:val="center"/>
          </w:tcPr>
          <w:p>
            <w:pPr>
              <w:jc w:val="center"/>
            </w:pPr>
            <w:r>
              <w:t>1160000.00</w:t>
            </w:r>
            <w:r>
              <w:rPr>
                <w:rFonts w:hint="eastAsia" w:hAnsi="Arial" w:cs="宋体"/>
              </w:rPr>
              <w:t>　</w:t>
            </w:r>
          </w:p>
        </w:tc>
      </w:tr>
      <w:tr>
        <w:tblPrEx>
          <w:tblLayout w:type="fixed"/>
          <w:tblCellMar>
            <w:top w:w="0" w:type="dxa"/>
            <w:left w:w="108" w:type="dxa"/>
            <w:bottom w:w="0" w:type="dxa"/>
            <w:right w:w="108" w:type="dxa"/>
          </w:tblCellMar>
        </w:tblPrEx>
        <w:trPr>
          <w:trHeight w:val="382"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hAnsi="Arial" w:cs="宋体"/>
              </w:rPr>
              <w:t>委托业务费</w:t>
            </w:r>
          </w:p>
        </w:tc>
        <w:tc>
          <w:tcPr>
            <w:tcW w:w="3260" w:type="dxa"/>
            <w:tcBorders>
              <w:top w:val="nil"/>
              <w:left w:val="nil"/>
              <w:bottom w:val="single" w:color="auto" w:sz="4" w:space="0"/>
              <w:right w:val="single" w:color="auto" w:sz="4" w:space="0"/>
            </w:tcBorders>
            <w:vAlign w:val="center"/>
          </w:tcPr>
          <w:p>
            <w:pPr>
              <w:jc w:val="center"/>
            </w:pPr>
            <w:r>
              <w:t>24000.00</w:t>
            </w:r>
            <w:r>
              <w:rPr>
                <w:rFonts w:hint="eastAsia" w:hAnsi="Arial" w:cs="宋体"/>
              </w:rPr>
              <w:t>　</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hAnsi="Arial" w:cs="宋体"/>
              </w:rPr>
              <w:t>工会经费</w:t>
            </w:r>
          </w:p>
        </w:tc>
        <w:tc>
          <w:tcPr>
            <w:tcW w:w="3260" w:type="dxa"/>
            <w:tcBorders>
              <w:top w:val="nil"/>
              <w:left w:val="nil"/>
              <w:bottom w:val="single" w:color="auto" w:sz="4" w:space="0"/>
              <w:right w:val="single" w:color="auto" w:sz="4" w:space="0"/>
            </w:tcBorders>
            <w:vAlign w:val="center"/>
          </w:tcPr>
          <w:p>
            <w:pPr>
              <w:jc w:val="center"/>
            </w:pPr>
            <w:r>
              <w:rPr>
                <w:rFonts w:hint="eastAsia" w:hAnsi="Arial" w:cs="宋体"/>
              </w:rPr>
              <w:t>　</w:t>
            </w:r>
            <w:r>
              <w:t>366600.00</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hAnsi="Arial" w:cs="宋体"/>
              </w:rPr>
              <w:t>福利费</w:t>
            </w:r>
          </w:p>
        </w:tc>
        <w:tc>
          <w:tcPr>
            <w:tcW w:w="3260" w:type="dxa"/>
            <w:tcBorders>
              <w:top w:val="nil"/>
              <w:left w:val="nil"/>
              <w:bottom w:val="single" w:color="auto" w:sz="4" w:space="0"/>
              <w:right w:val="single" w:color="auto" w:sz="4" w:space="0"/>
            </w:tcBorders>
            <w:vAlign w:val="center"/>
          </w:tcPr>
          <w:p>
            <w:pPr>
              <w:jc w:val="center"/>
            </w:pPr>
            <w:r>
              <w:rPr>
                <w:rFonts w:hint="eastAsia" w:hAnsi="Arial" w:cs="宋体"/>
              </w:rPr>
              <w:t>　</w:t>
            </w:r>
            <w:r>
              <w:t>1185000.00</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hAnsi="Arial" w:cs="宋体"/>
              </w:rPr>
              <w:t>公务用车运行维护费</w:t>
            </w:r>
          </w:p>
        </w:tc>
        <w:tc>
          <w:tcPr>
            <w:tcW w:w="3260" w:type="dxa"/>
            <w:tcBorders>
              <w:top w:val="nil"/>
              <w:left w:val="nil"/>
              <w:bottom w:val="single" w:color="auto" w:sz="4" w:space="0"/>
              <w:right w:val="single" w:color="auto" w:sz="4" w:space="0"/>
            </w:tcBorders>
            <w:vAlign w:val="center"/>
          </w:tcPr>
          <w:p>
            <w:pPr>
              <w:jc w:val="center"/>
            </w:pPr>
            <w:r>
              <w:rPr>
                <w:rFonts w:hint="eastAsia" w:hAnsi="Arial" w:cs="宋体"/>
              </w:rPr>
              <w:t>　</w:t>
            </w:r>
            <w:r>
              <w:t>974500.00</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hAnsi="Arial" w:cs="宋体"/>
              </w:rPr>
              <w:t>其他交通费用</w:t>
            </w:r>
          </w:p>
        </w:tc>
        <w:tc>
          <w:tcPr>
            <w:tcW w:w="3260" w:type="dxa"/>
            <w:tcBorders>
              <w:top w:val="nil"/>
              <w:left w:val="nil"/>
              <w:bottom w:val="single" w:color="auto" w:sz="4" w:space="0"/>
              <w:right w:val="single" w:color="auto" w:sz="4" w:space="0"/>
            </w:tcBorders>
            <w:vAlign w:val="center"/>
          </w:tcPr>
          <w:p>
            <w:pPr>
              <w:jc w:val="center"/>
            </w:pPr>
            <w:r>
              <w:t>546020.00</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hAnsi="Arial" w:cs="宋体"/>
              </w:rPr>
              <w:t>其他商品和服务支出</w:t>
            </w:r>
          </w:p>
        </w:tc>
        <w:tc>
          <w:tcPr>
            <w:tcW w:w="3260" w:type="dxa"/>
            <w:tcBorders>
              <w:top w:val="nil"/>
              <w:left w:val="nil"/>
              <w:bottom w:val="single" w:color="auto" w:sz="4" w:space="0"/>
              <w:right w:val="single" w:color="auto" w:sz="4" w:space="0"/>
            </w:tcBorders>
            <w:vAlign w:val="center"/>
          </w:tcPr>
          <w:p>
            <w:pPr>
              <w:jc w:val="center"/>
            </w:pPr>
            <w:r>
              <w:rPr>
                <w:rFonts w:hint="eastAsia" w:hAnsi="Arial" w:cs="宋体"/>
              </w:rPr>
              <w:t>　</w:t>
            </w:r>
            <w:r>
              <w:t>1311200.00</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jc w:val="left"/>
            </w:pPr>
            <w:r>
              <w:rPr>
                <w:rFonts w:hint="eastAsia" w:hAnsi="宋体" w:cs="宋体"/>
              </w:rPr>
              <w:t>三、对个人和家庭的补助</w:t>
            </w:r>
          </w:p>
        </w:tc>
        <w:tc>
          <w:tcPr>
            <w:tcW w:w="3260" w:type="dxa"/>
            <w:tcBorders>
              <w:top w:val="nil"/>
              <w:left w:val="nil"/>
              <w:bottom w:val="single" w:color="auto" w:sz="4" w:space="0"/>
              <w:right w:val="single" w:color="auto" w:sz="4" w:space="0"/>
            </w:tcBorders>
            <w:vAlign w:val="center"/>
          </w:tcPr>
          <w:p>
            <w:pPr>
              <w:jc w:val="center"/>
            </w:pPr>
            <w:r>
              <w:t>1126545.00</w:t>
            </w:r>
            <w:r>
              <w:rPr>
                <w:rFonts w:hint="eastAsia" w:hAnsi="Arial" w:cs="宋体"/>
              </w:rPr>
              <w:t>　</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hAnsi="Arial" w:cs="宋体"/>
              </w:rPr>
              <w:t>离休费</w:t>
            </w:r>
          </w:p>
        </w:tc>
        <w:tc>
          <w:tcPr>
            <w:tcW w:w="3260" w:type="dxa"/>
            <w:tcBorders>
              <w:top w:val="nil"/>
              <w:left w:val="nil"/>
              <w:bottom w:val="single" w:color="auto" w:sz="4" w:space="0"/>
              <w:right w:val="single" w:color="auto" w:sz="4" w:space="0"/>
            </w:tcBorders>
            <w:vAlign w:val="center"/>
          </w:tcPr>
          <w:p>
            <w:pPr>
              <w:jc w:val="center"/>
            </w:pPr>
            <w:r>
              <w:rPr>
                <w:rFonts w:hint="eastAsia" w:hAnsi="Arial" w:cs="宋体"/>
              </w:rPr>
              <w:t>　</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hAnsi="Arial" w:cs="宋体"/>
              </w:rPr>
              <w:t>退休费</w:t>
            </w:r>
          </w:p>
        </w:tc>
        <w:tc>
          <w:tcPr>
            <w:tcW w:w="3260" w:type="dxa"/>
            <w:tcBorders>
              <w:top w:val="nil"/>
              <w:left w:val="nil"/>
              <w:bottom w:val="single" w:color="auto" w:sz="4" w:space="0"/>
              <w:right w:val="single" w:color="auto" w:sz="4" w:space="0"/>
            </w:tcBorders>
            <w:vAlign w:val="center"/>
          </w:tcPr>
          <w:p>
            <w:pPr>
              <w:jc w:val="center"/>
            </w:pPr>
            <w:r>
              <w:rPr>
                <w:rFonts w:hint="eastAsia" w:hAnsi="Arial" w:cs="宋体"/>
              </w:rPr>
              <w:t>　</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hAnsi="Arial" w:cs="宋体"/>
              </w:rPr>
              <w:t>退职（役）费</w:t>
            </w:r>
          </w:p>
        </w:tc>
        <w:tc>
          <w:tcPr>
            <w:tcW w:w="3260" w:type="dxa"/>
            <w:tcBorders>
              <w:top w:val="nil"/>
              <w:left w:val="nil"/>
              <w:bottom w:val="single" w:color="auto" w:sz="4" w:space="0"/>
              <w:right w:val="single" w:color="auto" w:sz="4" w:space="0"/>
            </w:tcBorders>
            <w:vAlign w:val="center"/>
          </w:tcPr>
          <w:p>
            <w:pPr>
              <w:jc w:val="center"/>
            </w:pPr>
            <w:r>
              <w:rPr>
                <w:rFonts w:hint="eastAsia" w:hAnsi="Arial" w:cs="宋体"/>
              </w:rPr>
              <w:t>　</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hAnsi="Arial" w:cs="宋体"/>
              </w:rPr>
              <w:t>抚恤金</w:t>
            </w:r>
          </w:p>
        </w:tc>
        <w:tc>
          <w:tcPr>
            <w:tcW w:w="3260" w:type="dxa"/>
            <w:tcBorders>
              <w:top w:val="nil"/>
              <w:left w:val="nil"/>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hAnsi="Arial" w:cs="宋体"/>
              </w:rPr>
              <w:t>生活补助</w:t>
            </w:r>
          </w:p>
        </w:tc>
        <w:tc>
          <w:tcPr>
            <w:tcW w:w="3260" w:type="dxa"/>
            <w:tcBorders>
              <w:top w:val="nil"/>
              <w:left w:val="nil"/>
              <w:bottom w:val="single" w:color="auto" w:sz="4" w:space="0"/>
              <w:right w:val="single" w:color="auto" w:sz="4" w:space="0"/>
            </w:tcBorders>
            <w:vAlign w:val="center"/>
          </w:tcPr>
          <w:p>
            <w:pPr>
              <w:jc w:val="center"/>
            </w:pPr>
            <w:r>
              <w:t>17760.00</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hAnsi="Arial" w:cs="宋体"/>
              </w:rPr>
              <w:t>医疗费补助</w:t>
            </w:r>
          </w:p>
        </w:tc>
        <w:tc>
          <w:tcPr>
            <w:tcW w:w="3260" w:type="dxa"/>
            <w:tcBorders>
              <w:top w:val="nil"/>
              <w:left w:val="nil"/>
              <w:bottom w:val="single" w:color="auto" w:sz="4" w:space="0"/>
              <w:right w:val="single" w:color="auto" w:sz="4" w:space="0"/>
            </w:tcBorders>
            <w:vAlign w:val="center"/>
          </w:tcPr>
          <w:p>
            <w:pPr>
              <w:jc w:val="center"/>
            </w:pPr>
            <w:r>
              <w:rPr>
                <w:rFonts w:hint="eastAsia" w:hAnsi="Arial" w:cs="宋体"/>
              </w:rPr>
              <w:t>　</w:t>
            </w:r>
            <w:r>
              <w:t>674045.00</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hAnsi="Arial" w:cs="宋体"/>
              </w:rPr>
              <w:t>奖励金</w:t>
            </w:r>
          </w:p>
        </w:tc>
        <w:tc>
          <w:tcPr>
            <w:tcW w:w="3260" w:type="dxa"/>
            <w:tcBorders>
              <w:top w:val="nil"/>
              <w:left w:val="nil"/>
              <w:bottom w:val="single" w:color="auto" w:sz="4" w:space="0"/>
              <w:right w:val="single" w:color="auto" w:sz="4" w:space="0"/>
            </w:tcBorders>
            <w:vAlign w:val="center"/>
          </w:tcPr>
          <w:p>
            <w:pPr>
              <w:jc w:val="center"/>
            </w:pPr>
            <w:r>
              <w:rPr>
                <w:rFonts w:hint="eastAsia" w:hAnsi="Arial" w:cs="宋体"/>
              </w:rPr>
              <w:t>　</w:t>
            </w:r>
            <w:r>
              <w:t>11800.00</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hAnsi="Arial" w:cs="宋体"/>
              </w:rPr>
              <w:t>其他对个人和家庭的补助支出</w:t>
            </w:r>
          </w:p>
        </w:tc>
        <w:tc>
          <w:tcPr>
            <w:tcW w:w="3260" w:type="dxa"/>
            <w:tcBorders>
              <w:top w:val="nil"/>
              <w:left w:val="nil"/>
              <w:bottom w:val="single" w:color="auto" w:sz="4" w:space="0"/>
              <w:right w:val="single" w:color="auto" w:sz="4" w:space="0"/>
            </w:tcBorders>
            <w:vAlign w:val="center"/>
          </w:tcPr>
          <w:p>
            <w:pPr>
              <w:jc w:val="center"/>
            </w:pPr>
            <w:r>
              <w:t>422940.00</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jc w:val="left"/>
            </w:pPr>
            <w:r>
              <w:rPr>
                <w:rFonts w:hint="eastAsia" w:hAnsi="宋体" w:cs="宋体"/>
              </w:rPr>
              <w:t>四、其他资本性支出</w:t>
            </w:r>
          </w:p>
        </w:tc>
        <w:tc>
          <w:tcPr>
            <w:tcW w:w="3260" w:type="dxa"/>
            <w:tcBorders>
              <w:top w:val="nil"/>
              <w:left w:val="nil"/>
              <w:bottom w:val="single" w:color="auto" w:sz="4" w:space="0"/>
              <w:right w:val="single" w:color="auto" w:sz="4" w:space="0"/>
            </w:tcBorders>
            <w:vAlign w:val="center"/>
          </w:tcPr>
          <w:p>
            <w:pPr>
              <w:jc w:val="center"/>
            </w:pPr>
            <w:r>
              <w:t>0.00</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hAnsi="Arial" w:cs="宋体"/>
              </w:rPr>
              <w:t>办公设备购置</w:t>
            </w:r>
          </w:p>
        </w:tc>
        <w:tc>
          <w:tcPr>
            <w:tcW w:w="3260" w:type="dxa"/>
            <w:tcBorders>
              <w:top w:val="nil"/>
              <w:left w:val="nil"/>
              <w:bottom w:val="single" w:color="auto" w:sz="4" w:space="0"/>
              <w:right w:val="single" w:color="auto" w:sz="4" w:space="0"/>
            </w:tcBorders>
            <w:vAlign w:val="center"/>
          </w:tcPr>
          <w:p>
            <w:pPr>
              <w:jc w:val="center"/>
            </w:pPr>
            <w:r>
              <w:t>0.00</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hAnsi="Arial" w:cs="宋体"/>
              </w:rPr>
              <w:t>专用设备购置</w:t>
            </w:r>
          </w:p>
        </w:tc>
        <w:tc>
          <w:tcPr>
            <w:tcW w:w="3260" w:type="dxa"/>
            <w:tcBorders>
              <w:top w:val="nil"/>
              <w:left w:val="nil"/>
              <w:bottom w:val="single" w:color="auto" w:sz="4" w:space="0"/>
              <w:right w:val="single" w:color="auto" w:sz="4" w:space="0"/>
            </w:tcBorders>
            <w:vAlign w:val="center"/>
          </w:tcPr>
          <w:p>
            <w:pPr>
              <w:jc w:val="center"/>
            </w:pPr>
            <w:r>
              <w:rPr>
                <w:rFonts w:hint="eastAsia" w:hAnsi="Arial" w:cs="宋体"/>
              </w:rPr>
              <w:t>　</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cs="宋体"/>
              </w:rPr>
              <w:t>信息网络及软件购置更新</w:t>
            </w:r>
          </w:p>
        </w:tc>
        <w:tc>
          <w:tcPr>
            <w:tcW w:w="3260" w:type="dxa"/>
            <w:tcBorders>
              <w:top w:val="nil"/>
              <w:left w:val="nil"/>
              <w:bottom w:val="single" w:color="auto" w:sz="4" w:space="0"/>
              <w:right w:val="single" w:color="auto" w:sz="4" w:space="0"/>
            </w:tcBorders>
            <w:vAlign w:val="center"/>
          </w:tcPr>
          <w:p>
            <w:pPr>
              <w:jc w:val="center"/>
            </w:pPr>
            <w:r>
              <w:rPr>
                <w:rFonts w:hint="eastAsia" w:cs="宋体"/>
              </w:rPr>
              <w:t>　</w:t>
            </w: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cs="宋体"/>
              </w:rPr>
              <w:t>其他资本性支出其他</w:t>
            </w:r>
          </w:p>
        </w:tc>
        <w:tc>
          <w:tcPr>
            <w:tcW w:w="3260" w:type="dxa"/>
            <w:tcBorders>
              <w:top w:val="nil"/>
              <w:left w:val="nil"/>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rPr>
          <w:trHeight w:val="397" w:hRule="atLeast"/>
        </w:trPr>
        <w:tc>
          <w:tcPr>
            <w:tcW w:w="5764" w:type="dxa"/>
            <w:tcBorders>
              <w:top w:val="nil"/>
              <w:left w:val="single" w:color="auto" w:sz="4" w:space="0"/>
              <w:bottom w:val="single" w:color="auto" w:sz="4" w:space="0"/>
              <w:right w:val="single" w:color="auto" w:sz="4" w:space="0"/>
            </w:tcBorders>
            <w:vAlign w:val="center"/>
          </w:tcPr>
          <w:p>
            <w:pPr>
              <w:ind w:firstLine="420" w:firstLineChars="200"/>
              <w:jc w:val="left"/>
            </w:pPr>
            <w:r>
              <w:rPr>
                <w:rFonts w:hint="eastAsia" w:cs="宋体"/>
              </w:rPr>
              <w:t>支出合计</w:t>
            </w:r>
          </w:p>
        </w:tc>
        <w:tc>
          <w:tcPr>
            <w:tcW w:w="3260" w:type="dxa"/>
            <w:tcBorders>
              <w:top w:val="nil"/>
              <w:left w:val="nil"/>
              <w:bottom w:val="single" w:color="auto" w:sz="4" w:space="0"/>
              <w:right w:val="single" w:color="auto" w:sz="4" w:space="0"/>
            </w:tcBorders>
            <w:vAlign w:val="center"/>
          </w:tcPr>
          <w:p>
            <w:pPr>
              <w:jc w:val="center"/>
            </w:pPr>
            <w:r>
              <w:t>35717461.40</w:t>
            </w:r>
            <w:r>
              <w:rPr>
                <w:rFonts w:hint="eastAsia" w:cs="宋体"/>
              </w:rPr>
              <w:t>　</w:t>
            </w:r>
          </w:p>
        </w:tc>
      </w:tr>
    </w:tbl>
    <w:p>
      <w:pPr>
        <w:widowControl/>
        <w:jc w:val="left"/>
        <w:rPr>
          <w:rFonts w:ascii="黑体" w:hAnsi="黑体" w:eastAsia="黑体"/>
          <w:sz w:val="32"/>
          <w:szCs w:val="32"/>
        </w:rPr>
        <w:sectPr>
          <w:headerReference r:id="rId5" w:type="first"/>
          <w:footerReference r:id="rId8" w:type="first"/>
          <w:headerReference r:id="rId3" w:type="default"/>
          <w:footerReference r:id="rId6" w:type="default"/>
          <w:headerReference r:id="rId4" w:type="even"/>
          <w:footerReference r:id="rId7" w:type="even"/>
          <w:pgSz w:w="11907" w:h="16840"/>
          <w:pgMar w:top="1928" w:right="1474" w:bottom="1701" w:left="1588" w:header="720" w:footer="1134" w:gutter="0"/>
          <w:pgNumType w:fmt="numberInDash"/>
          <w:cols w:space="720" w:num="1"/>
          <w:docGrid w:type="lines" w:linePitch="285" w:charSpace="0"/>
        </w:sectPr>
      </w:pPr>
    </w:p>
    <w:p>
      <w:pPr>
        <w:jc w:val="left"/>
        <w:rPr>
          <w:rFonts w:ascii="仿宋_GB2312" w:eastAsia="仿宋_GB2312"/>
          <w:sz w:val="32"/>
          <w:szCs w:val="32"/>
        </w:rPr>
      </w:pPr>
      <w:r>
        <w:rPr>
          <w:rFonts w:hint="eastAsia" w:ascii="仿宋_GB2312" w:hAnsi="黑体" w:eastAsia="仿宋_GB2312" w:cs="仿宋_GB2312"/>
          <w:sz w:val="32"/>
          <w:szCs w:val="32"/>
        </w:rPr>
        <w:t>附件</w:t>
      </w:r>
      <w:r>
        <w:rPr>
          <w:rFonts w:ascii="仿宋_GB2312" w:hAnsi="黑体" w:eastAsia="仿宋_GB2312" w:cs="仿宋_GB2312"/>
          <w:sz w:val="32"/>
          <w:szCs w:val="32"/>
        </w:rPr>
        <w:t xml:space="preserve"> 6</w:t>
      </w:r>
    </w:p>
    <w:p>
      <w:pPr>
        <w:spacing w:line="590" w:lineRule="exact"/>
        <w:ind w:firstLine="712" w:firstLineChars="198"/>
        <w:jc w:val="center"/>
        <w:rPr>
          <w:rFonts w:ascii="黑体" w:hAnsi="黑体" w:eastAsia="黑体"/>
          <w:sz w:val="36"/>
          <w:szCs w:val="36"/>
        </w:rPr>
      </w:pPr>
    </w:p>
    <w:p>
      <w:pPr>
        <w:spacing w:line="590" w:lineRule="exact"/>
        <w:ind w:firstLine="712" w:firstLineChars="198"/>
        <w:jc w:val="center"/>
        <w:rPr>
          <w:rFonts w:ascii="方正小标宋简体" w:hAnsi="仿宋" w:eastAsia="方正小标宋简体"/>
          <w:sz w:val="32"/>
          <w:szCs w:val="32"/>
        </w:rPr>
      </w:pPr>
      <w:r>
        <w:rPr>
          <w:rFonts w:ascii="方正小标宋简体" w:hAnsi="黑体" w:eastAsia="方正小标宋简体" w:cs="方正小标宋简体"/>
          <w:sz w:val="36"/>
          <w:szCs w:val="36"/>
        </w:rPr>
        <w:t>2021</w:t>
      </w:r>
      <w:r>
        <w:rPr>
          <w:rFonts w:hint="eastAsia" w:ascii="方正小标宋简体" w:hAnsi="黑体" w:eastAsia="方正小标宋简体" w:cs="方正小标宋简体"/>
          <w:sz w:val="36"/>
          <w:szCs w:val="36"/>
        </w:rPr>
        <w:t>年部门（单位）收入预算总表</w:t>
      </w:r>
      <w:r>
        <w:rPr>
          <w:rFonts w:ascii="方正小标宋简体" w:hAnsi="Arial" w:eastAsia="方正小标宋简体" w:cs="方正小标宋简体"/>
          <w:sz w:val="36"/>
          <w:szCs w:val="36"/>
        </w:rPr>
        <w:t>(</w:t>
      </w:r>
      <w:r>
        <w:rPr>
          <w:rFonts w:hint="eastAsia" w:ascii="方正小标宋简体" w:hAnsi="黑体" w:eastAsia="方正小标宋简体" w:cs="方正小标宋简体"/>
          <w:sz w:val="36"/>
          <w:szCs w:val="36"/>
        </w:rPr>
        <w:t>表</w:t>
      </w:r>
      <w:r>
        <w:rPr>
          <w:rFonts w:ascii="方正小标宋简体" w:hAnsi="Arial" w:eastAsia="方正小标宋简体" w:cs="方正小标宋简体"/>
          <w:sz w:val="36"/>
          <w:szCs w:val="36"/>
        </w:rPr>
        <w:t>06</w:t>
      </w:r>
      <w:r>
        <w:rPr>
          <w:rFonts w:hint="eastAsia" w:ascii="方正小标宋简体" w:hAnsi="黑体" w:eastAsia="方正小标宋简体" w:cs="方正小标宋简体"/>
          <w:sz w:val="36"/>
          <w:szCs w:val="36"/>
        </w:rPr>
        <w:t>）</w:t>
      </w:r>
    </w:p>
    <w:p>
      <w:pPr>
        <w:pStyle w:val="17"/>
        <w:jc w:val="right"/>
        <w:rPr>
          <w:rFonts w:ascii="宋体" w:eastAsia="宋体" w:cs="Times New Roman"/>
          <w:sz w:val="32"/>
          <w:szCs w:val="32"/>
        </w:rPr>
      </w:pPr>
      <w:r>
        <w:rPr>
          <w:rFonts w:hint="eastAsia" w:ascii="宋体" w:eastAsia="宋体" w:cs="宋体"/>
          <w:sz w:val="20"/>
          <w:szCs w:val="20"/>
        </w:rPr>
        <w:t>单位：元</w:t>
      </w:r>
    </w:p>
    <w:tbl>
      <w:tblPr>
        <w:tblStyle w:val="7"/>
        <w:tblW w:w="14190" w:type="dxa"/>
        <w:jc w:val="center"/>
        <w:tblInd w:w="0" w:type="dxa"/>
        <w:tblLayout w:type="fixed"/>
        <w:tblCellMar>
          <w:top w:w="15" w:type="dxa"/>
          <w:left w:w="15" w:type="dxa"/>
          <w:bottom w:w="15" w:type="dxa"/>
          <w:right w:w="15" w:type="dxa"/>
        </w:tblCellMar>
      </w:tblPr>
      <w:tblGrid>
        <w:gridCol w:w="1660"/>
        <w:gridCol w:w="1235"/>
        <w:gridCol w:w="1040"/>
        <w:gridCol w:w="905"/>
        <w:gridCol w:w="1131"/>
        <w:gridCol w:w="599"/>
        <w:gridCol w:w="1200"/>
        <w:gridCol w:w="1168"/>
        <w:gridCol w:w="985"/>
        <w:gridCol w:w="1001"/>
        <w:gridCol w:w="750"/>
        <w:gridCol w:w="750"/>
        <w:gridCol w:w="810"/>
        <w:gridCol w:w="956"/>
      </w:tblGrid>
      <w:tr>
        <w:tblPrEx>
          <w:tblLayout w:type="fixed"/>
          <w:tblCellMar>
            <w:top w:w="15" w:type="dxa"/>
            <w:left w:w="15" w:type="dxa"/>
            <w:bottom w:w="15" w:type="dxa"/>
            <w:right w:w="15" w:type="dxa"/>
          </w:tblCellMar>
        </w:tblPrEx>
        <w:trPr>
          <w:trHeight w:val="489" w:hRule="atLeast"/>
          <w:jc w:val="center"/>
        </w:trPr>
        <w:tc>
          <w:tcPr>
            <w:tcW w:w="1660"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000000"/>
              </w:rPr>
            </w:pPr>
            <w:r>
              <w:rPr>
                <w:rFonts w:hint="eastAsia" w:hAnsi="宋体" w:cs="宋体"/>
                <w:color w:val="000000"/>
              </w:rPr>
              <w:t>单位名称</w:t>
            </w:r>
          </w:p>
        </w:tc>
        <w:tc>
          <w:tcPr>
            <w:tcW w:w="6110" w:type="dxa"/>
            <w:gridSpan w:val="6"/>
            <w:tcBorders>
              <w:top w:val="single" w:color="000000" w:sz="4" w:space="0"/>
              <w:left w:val="nil"/>
              <w:bottom w:val="single" w:color="000000" w:sz="4" w:space="0"/>
              <w:right w:val="single" w:color="000000" w:sz="4" w:space="0"/>
            </w:tcBorders>
            <w:vAlign w:val="center"/>
          </w:tcPr>
          <w:p>
            <w:pPr>
              <w:jc w:val="center"/>
              <w:textAlignment w:val="center"/>
              <w:rPr>
                <w:color w:val="000000"/>
              </w:rPr>
            </w:pPr>
            <w:r>
              <w:rPr>
                <w:rFonts w:hint="eastAsia" w:hAnsi="宋体" w:cs="宋体"/>
                <w:color w:val="000000"/>
              </w:rPr>
              <w:t>财政拨款</w:t>
            </w:r>
          </w:p>
        </w:tc>
        <w:tc>
          <w:tcPr>
            <w:tcW w:w="1168" w:type="dxa"/>
            <w:vMerge w:val="restart"/>
            <w:tcBorders>
              <w:top w:val="single" w:color="000000" w:sz="4" w:space="0"/>
              <w:left w:val="nil"/>
              <w:bottom w:val="nil"/>
              <w:right w:val="single" w:color="000000" w:sz="4" w:space="0"/>
            </w:tcBorders>
            <w:vAlign w:val="center"/>
          </w:tcPr>
          <w:p>
            <w:pPr>
              <w:jc w:val="center"/>
              <w:textAlignment w:val="center"/>
              <w:rPr>
                <w:color w:val="000000"/>
              </w:rPr>
            </w:pPr>
            <w:r>
              <w:rPr>
                <w:rFonts w:hint="eastAsia" w:hAnsi="Arial" w:cs="宋体"/>
                <w:color w:val="000000"/>
              </w:rPr>
              <w:t>专户收入</w:t>
            </w:r>
          </w:p>
        </w:tc>
        <w:tc>
          <w:tcPr>
            <w:tcW w:w="985" w:type="dxa"/>
            <w:vMerge w:val="restart"/>
            <w:tcBorders>
              <w:top w:val="single" w:color="000000" w:sz="4" w:space="0"/>
              <w:left w:val="nil"/>
              <w:bottom w:val="nil"/>
              <w:right w:val="single" w:color="000000" w:sz="4" w:space="0"/>
            </w:tcBorders>
            <w:vAlign w:val="center"/>
          </w:tcPr>
          <w:p>
            <w:pPr>
              <w:jc w:val="center"/>
              <w:textAlignment w:val="center"/>
              <w:rPr>
                <w:color w:val="000000"/>
              </w:rPr>
            </w:pPr>
            <w:r>
              <w:rPr>
                <w:rFonts w:hint="eastAsia" w:hAnsi="Arial" w:cs="宋体"/>
                <w:color w:val="000000"/>
              </w:rPr>
              <w:t>国有资本经营预算收入</w:t>
            </w:r>
          </w:p>
        </w:tc>
        <w:tc>
          <w:tcPr>
            <w:tcW w:w="1001" w:type="dxa"/>
            <w:vMerge w:val="restart"/>
            <w:tcBorders>
              <w:top w:val="single" w:color="000000" w:sz="4" w:space="0"/>
              <w:left w:val="nil"/>
              <w:bottom w:val="nil"/>
              <w:right w:val="single" w:color="000000" w:sz="4" w:space="0"/>
            </w:tcBorders>
            <w:vAlign w:val="center"/>
          </w:tcPr>
          <w:p>
            <w:pPr>
              <w:jc w:val="center"/>
              <w:textAlignment w:val="center"/>
              <w:rPr>
                <w:color w:val="000000"/>
              </w:rPr>
            </w:pPr>
            <w:r>
              <w:rPr>
                <w:rFonts w:hint="eastAsia" w:hAnsi="Arial" w:cs="宋体"/>
                <w:color w:val="000000"/>
              </w:rPr>
              <w:t>其他收入</w:t>
            </w:r>
          </w:p>
        </w:tc>
        <w:tc>
          <w:tcPr>
            <w:tcW w:w="750" w:type="dxa"/>
            <w:vMerge w:val="restart"/>
            <w:tcBorders>
              <w:top w:val="single" w:color="000000" w:sz="4" w:space="0"/>
              <w:left w:val="nil"/>
              <w:right w:val="single" w:color="000000" w:sz="4" w:space="0"/>
            </w:tcBorders>
            <w:vAlign w:val="center"/>
          </w:tcPr>
          <w:p>
            <w:pPr>
              <w:jc w:val="center"/>
              <w:rPr>
                <w:color w:val="000000"/>
              </w:rPr>
            </w:pPr>
            <w:r>
              <w:rPr>
                <w:rFonts w:hint="eastAsia" w:hAnsi="Arial" w:cs="宋体"/>
                <w:color w:val="000000"/>
              </w:rPr>
              <w:t>国库其他资金</w:t>
            </w:r>
          </w:p>
        </w:tc>
        <w:tc>
          <w:tcPr>
            <w:tcW w:w="750" w:type="dxa"/>
            <w:vMerge w:val="restart"/>
            <w:tcBorders>
              <w:top w:val="single" w:color="000000" w:sz="4" w:space="0"/>
              <w:left w:val="nil"/>
              <w:bottom w:val="nil"/>
              <w:right w:val="single" w:color="000000" w:sz="4" w:space="0"/>
            </w:tcBorders>
            <w:vAlign w:val="center"/>
          </w:tcPr>
          <w:p>
            <w:pPr>
              <w:jc w:val="center"/>
              <w:textAlignment w:val="center"/>
              <w:rPr>
                <w:color w:val="000000"/>
              </w:rPr>
            </w:pPr>
            <w:r>
              <w:rPr>
                <w:rFonts w:hint="eastAsia" w:hAnsi="Arial" w:cs="宋体"/>
                <w:color w:val="000000"/>
              </w:rPr>
              <w:t>退库</w:t>
            </w:r>
          </w:p>
        </w:tc>
        <w:tc>
          <w:tcPr>
            <w:tcW w:w="810" w:type="dxa"/>
            <w:vMerge w:val="restart"/>
            <w:tcBorders>
              <w:top w:val="single" w:color="000000" w:sz="4" w:space="0"/>
              <w:left w:val="nil"/>
              <w:bottom w:val="nil"/>
              <w:right w:val="single" w:color="000000" w:sz="4" w:space="0"/>
            </w:tcBorders>
            <w:vAlign w:val="center"/>
          </w:tcPr>
          <w:p>
            <w:pPr>
              <w:jc w:val="center"/>
              <w:textAlignment w:val="center"/>
              <w:rPr>
                <w:color w:val="000000"/>
              </w:rPr>
            </w:pPr>
            <w:r>
              <w:rPr>
                <w:rFonts w:hint="eastAsia" w:hAnsi="Arial" w:cs="宋体"/>
                <w:color w:val="000000"/>
              </w:rPr>
              <w:t>镇</w:t>
            </w:r>
            <w:r>
              <w:rPr>
                <w:color w:val="000000"/>
              </w:rPr>
              <w:t>(</w:t>
            </w:r>
            <w:r>
              <w:rPr>
                <w:rFonts w:hint="eastAsia" w:hAnsi="宋体" w:cs="宋体"/>
                <w:color w:val="000000"/>
              </w:rPr>
              <w:t>街道</w:t>
            </w:r>
            <w:r>
              <w:rPr>
                <w:color w:val="000000"/>
              </w:rPr>
              <w:t>)</w:t>
            </w:r>
            <w:r>
              <w:rPr>
                <w:rFonts w:hint="eastAsia" w:hAnsi="宋体" w:cs="宋体"/>
                <w:color w:val="000000"/>
              </w:rPr>
              <w:t>补助</w:t>
            </w:r>
          </w:p>
        </w:tc>
        <w:tc>
          <w:tcPr>
            <w:tcW w:w="956" w:type="dxa"/>
            <w:vMerge w:val="restart"/>
            <w:tcBorders>
              <w:top w:val="single" w:color="000000" w:sz="4" w:space="0"/>
              <w:left w:val="nil"/>
              <w:bottom w:val="nil"/>
              <w:right w:val="single" w:color="000000" w:sz="4" w:space="0"/>
            </w:tcBorders>
            <w:vAlign w:val="center"/>
          </w:tcPr>
          <w:p>
            <w:pPr>
              <w:jc w:val="center"/>
              <w:textAlignment w:val="center"/>
              <w:rPr>
                <w:color w:val="000000"/>
              </w:rPr>
            </w:pPr>
            <w:r>
              <w:rPr>
                <w:rFonts w:hint="eastAsia" w:hAnsi="宋体" w:cs="宋体"/>
                <w:color w:val="000000"/>
              </w:rPr>
              <w:t>总计</w:t>
            </w:r>
          </w:p>
        </w:tc>
      </w:tr>
      <w:tr>
        <w:tblPrEx>
          <w:tblLayout w:type="fixed"/>
          <w:tblCellMar>
            <w:top w:w="15" w:type="dxa"/>
            <w:left w:w="15" w:type="dxa"/>
            <w:bottom w:w="15" w:type="dxa"/>
            <w:right w:w="15" w:type="dxa"/>
          </w:tblCellMar>
        </w:tblPrEx>
        <w:trPr>
          <w:trHeight w:val="913" w:hRule="atLeast"/>
          <w:jc w:val="center"/>
        </w:trPr>
        <w:tc>
          <w:tcPr>
            <w:tcW w:w="16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rPr>
            </w:pPr>
          </w:p>
        </w:tc>
        <w:tc>
          <w:tcPr>
            <w:tcW w:w="1235" w:type="dxa"/>
            <w:tcBorders>
              <w:top w:val="single" w:color="000000" w:sz="4" w:space="0"/>
              <w:left w:val="nil"/>
              <w:bottom w:val="single" w:color="000000" w:sz="4" w:space="0"/>
              <w:right w:val="single" w:color="000000" w:sz="4" w:space="0"/>
            </w:tcBorders>
            <w:vAlign w:val="center"/>
          </w:tcPr>
          <w:p>
            <w:pPr>
              <w:jc w:val="center"/>
              <w:textAlignment w:val="center"/>
              <w:rPr>
                <w:color w:val="000000"/>
              </w:rPr>
            </w:pPr>
            <w:r>
              <w:rPr>
                <w:rFonts w:hint="eastAsia" w:hAnsi="Arial" w:cs="宋体"/>
                <w:color w:val="000000"/>
              </w:rPr>
              <w:t>一般公共预算拨款收入</w:t>
            </w:r>
          </w:p>
        </w:tc>
        <w:tc>
          <w:tcPr>
            <w:tcW w:w="1040" w:type="dxa"/>
            <w:tcBorders>
              <w:top w:val="single" w:color="000000" w:sz="4" w:space="0"/>
              <w:left w:val="nil"/>
              <w:bottom w:val="single" w:color="000000" w:sz="4" w:space="0"/>
              <w:right w:val="single" w:color="000000" w:sz="4" w:space="0"/>
            </w:tcBorders>
            <w:vAlign w:val="center"/>
          </w:tcPr>
          <w:p>
            <w:pPr>
              <w:jc w:val="center"/>
              <w:textAlignment w:val="center"/>
              <w:rPr>
                <w:color w:val="000000"/>
              </w:rPr>
            </w:pPr>
            <w:r>
              <w:rPr>
                <w:rFonts w:hint="eastAsia" w:hAnsi="Arial" w:cs="宋体"/>
                <w:color w:val="000000"/>
              </w:rPr>
              <w:t>政府性基金预算拨款</w:t>
            </w:r>
          </w:p>
        </w:tc>
        <w:tc>
          <w:tcPr>
            <w:tcW w:w="905" w:type="dxa"/>
            <w:tcBorders>
              <w:top w:val="single" w:color="000000" w:sz="4" w:space="0"/>
              <w:left w:val="nil"/>
              <w:bottom w:val="single" w:color="000000" w:sz="4" w:space="0"/>
              <w:right w:val="single" w:color="000000" w:sz="4" w:space="0"/>
            </w:tcBorders>
            <w:vAlign w:val="center"/>
          </w:tcPr>
          <w:p>
            <w:pPr>
              <w:jc w:val="center"/>
              <w:textAlignment w:val="center"/>
              <w:rPr>
                <w:color w:val="000000"/>
              </w:rPr>
            </w:pPr>
            <w:r>
              <w:rPr>
                <w:rFonts w:hint="eastAsia" w:hAnsi="Arial" w:cs="宋体"/>
                <w:color w:val="000000"/>
              </w:rPr>
              <w:t>省补助</w:t>
            </w:r>
          </w:p>
          <w:p>
            <w:pPr>
              <w:jc w:val="center"/>
              <w:textAlignment w:val="center"/>
              <w:rPr>
                <w:color w:val="000000"/>
              </w:rPr>
            </w:pPr>
            <w:r>
              <w:rPr>
                <w:rFonts w:hint="eastAsia" w:hAnsi="Arial" w:cs="宋体"/>
                <w:color w:val="000000"/>
              </w:rPr>
              <w:t>收入</w:t>
            </w:r>
          </w:p>
        </w:tc>
        <w:tc>
          <w:tcPr>
            <w:tcW w:w="1131" w:type="dxa"/>
            <w:tcBorders>
              <w:top w:val="single" w:color="000000" w:sz="4" w:space="0"/>
              <w:left w:val="nil"/>
              <w:bottom w:val="single" w:color="000000" w:sz="4" w:space="0"/>
              <w:right w:val="single" w:color="000000" w:sz="4" w:space="0"/>
            </w:tcBorders>
            <w:vAlign w:val="center"/>
          </w:tcPr>
          <w:p>
            <w:pPr>
              <w:jc w:val="center"/>
              <w:textAlignment w:val="center"/>
              <w:rPr>
                <w:color w:val="000000"/>
              </w:rPr>
            </w:pPr>
          </w:p>
          <w:p>
            <w:pPr>
              <w:jc w:val="center"/>
              <w:textAlignment w:val="center"/>
              <w:rPr>
                <w:color w:val="000000"/>
              </w:rPr>
            </w:pPr>
            <w:r>
              <w:rPr>
                <w:rFonts w:hint="eastAsia" w:hAnsi="Arial" w:cs="宋体"/>
                <w:color w:val="000000"/>
              </w:rPr>
              <w:t>政府债券提前告知</w:t>
            </w:r>
          </w:p>
        </w:tc>
        <w:tc>
          <w:tcPr>
            <w:tcW w:w="599" w:type="dxa"/>
            <w:tcBorders>
              <w:top w:val="single" w:color="000000" w:sz="4" w:space="0"/>
              <w:left w:val="nil"/>
              <w:bottom w:val="single" w:color="000000" w:sz="4" w:space="0"/>
              <w:right w:val="single" w:color="000000" w:sz="4" w:space="0"/>
            </w:tcBorders>
            <w:vAlign w:val="center"/>
          </w:tcPr>
          <w:p>
            <w:pPr>
              <w:jc w:val="center"/>
              <w:textAlignment w:val="center"/>
              <w:rPr>
                <w:color w:val="000000"/>
              </w:rPr>
            </w:pPr>
            <w:r>
              <w:rPr>
                <w:rFonts w:hint="eastAsia" w:hAnsi="Arial" w:cs="宋体"/>
                <w:color w:val="000000"/>
              </w:rPr>
              <w:t>调入资金</w:t>
            </w:r>
          </w:p>
        </w:tc>
        <w:tc>
          <w:tcPr>
            <w:tcW w:w="1200" w:type="dxa"/>
            <w:tcBorders>
              <w:top w:val="single" w:color="000000" w:sz="4" w:space="0"/>
              <w:left w:val="nil"/>
              <w:bottom w:val="single" w:color="000000" w:sz="4" w:space="0"/>
              <w:right w:val="single" w:color="000000" w:sz="4" w:space="0"/>
            </w:tcBorders>
            <w:vAlign w:val="center"/>
          </w:tcPr>
          <w:p>
            <w:pPr>
              <w:jc w:val="center"/>
              <w:textAlignment w:val="center"/>
              <w:rPr>
                <w:color w:val="000000"/>
              </w:rPr>
            </w:pPr>
            <w:r>
              <w:rPr>
                <w:rFonts w:hint="eastAsia" w:hAnsi="Arial" w:cs="宋体"/>
                <w:color w:val="000000"/>
              </w:rPr>
              <w:t>上年结转</w:t>
            </w:r>
          </w:p>
        </w:tc>
        <w:tc>
          <w:tcPr>
            <w:tcW w:w="1168" w:type="dxa"/>
            <w:vMerge w:val="continue"/>
            <w:tcBorders>
              <w:top w:val="single" w:color="000000" w:sz="4" w:space="0"/>
              <w:left w:val="nil"/>
              <w:bottom w:val="nil"/>
              <w:right w:val="single" w:color="000000" w:sz="4" w:space="0"/>
            </w:tcBorders>
            <w:vAlign w:val="center"/>
          </w:tcPr>
          <w:p>
            <w:pPr>
              <w:widowControl/>
              <w:jc w:val="center"/>
              <w:rPr>
                <w:color w:val="000000"/>
              </w:rPr>
            </w:pPr>
          </w:p>
        </w:tc>
        <w:tc>
          <w:tcPr>
            <w:tcW w:w="985" w:type="dxa"/>
            <w:vMerge w:val="continue"/>
            <w:tcBorders>
              <w:top w:val="single" w:color="000000" w:sz="4" w:space="0"/>
              <w:left w:val="nil"/>
              <w:bottom w:val="nil"/>
              <w:right w:val="single" w:color="000000" w:sz="4" w:space="0"/>
            </w:tcBorders>
            <w:vAlign w:val="center"/>
          </w:tcPr>
          <w:p>
            <w:pPr>
              <w:widowControl/>
              <w:jc w:val="center"/>
              <w:rPr>
                <w:color w:val="000000"/>
              </w:rPr>
            </w:pPr>
          </w:p>
        </w:tc>
        <w:tc>
          <w:tcPr>
            <w:tcW w:w="1001" w:type="dxa"/>
            <w:vMerge w:val="continue"/>
            <w:tcBorders>
              <w:top w:val="single" w:color="000000" w:sz="4" w:space="0"/>
              <w:left w:val="nil"/>
              <w:bottom w:val="nil"/>
              <w:right w:val="single" w:color="000000" w:sz="4" w:space="0"/>
            </w:tcBorders>
            <w:vAlign w:val="center"/>
          </w:tcPr>
          <w:p>
            <w:pPr>
              <w:widowControl/>
              <w:jc w:val="center"/>
              <w:rPr>
                <w:color w:val="000000"/>
              </w:rPr>
            </w:pPr>
          </w:p>
        </w:tc>
        <w:tc>
          <w:tcPr>
            <w:tcW w:w="750" w:type="dxa"/>
            <w:vMerge w:val="continue"/>
            <w:tcBorders>
              <w:left w:val="nil"/>
              <w:bottom w:val="single" w:color="000000" w:sz="4" w:space="0"/>
              <w:right w:val="single" w:color="000000" w:sz="4" w:space="0"/>
            </w:tcBorders>
            <w:vAlign w:val="center"/>
          </w:tcPr>
          <w:p>
            <w:pPr>
              <w:jc w:val="center"/>
              <w:rPr>
                <w:color w:val="000000"/>
              </w:rPr>
            </w:pPr>
          </w:p>
        </w:tc>
        <w:tc>
          <w:tcPr>
            <w:tcW w:w="750" w:type="dxa"/>
            <w:vMerge w:val="continue"/>
            <w:tcBorders>
              <w:top w:val="single" w:color="000000" w:sz="4" w:space="0"/>
              <w:left w:val="nil"/>
              <w:bottom w:val="nil"/>
              <w:right w:val="single" w:color="000000" w:sz="4" w:space="0"/>
            </w:tcBorders>
            <w:vAlign w:val="center"/>
          </w:tcPr>
          <w:p>
            <w:pPr>
              <w:widowControl/>
              <w:jc w:val="left"/>
              <w:rPr>
                <w:color w:val="000000"/>
              </w:rPr>
            </w:pPr>
          </w:p>
        </w:tc>
        <w:tc>
          <w:tcPr>
            <w:tcW w:w="810" w:type="dxa"/>
            <w:vMerge w:val="continue"/>
            <w:tcBorders>
              <w:top w:val="single" w:color="000000" w:sz="4" w:space="0"/>
              <w:left w:val="nil"/>
              <w:bottom w:val="nil"/>
              <w:right w:val="single" w:color="000000" w:sz="4" w:space="0"/>
            </w:tcBorders>
            <w:vAlign w:val="center"/>
          </w:tcPr>
          <w:p>
            <w:pPr>
              <w:widowControl/>
              <w:jc w:val="left"/>
              <w:rPr>
                <w:color w:val="000000"/>
              </w:rPr>
            </w:pPr>
          </w:p>
        </w:tc>
        <w:tc>
          <w:tcPr>
            <w:tcW w:w="956" w:type="dxa"/>
            <w:vMerge w:val="continue"/>
            <w:tcBorders>
              <w:top w:val="single" w:color="000000" w:sz="4" w:space="0"/>
              <w:left w:val="nil"/>
              <w:bottom w:val="nil"/>
              <w:right w:val="single" w:color="000000" w:sz="4" w:space="0"/>
            </w:tcBorders>
            <w:vAlign w:val="center"/>
          </w:tcPr>
          <w:p>
            <w:pPr>
              <w:widowControl/>
              <w:jc w:val="left"/>
              <w:rPr>
                <w:color w:val="000000"/>
              </w:rPr>
            </w:pPr>
          </w:p>
        </w:tc>
      </w:tr>
      <w:tr>
        <w:tblPrEx>
          <w:tblLayout w:type="fixed"/>
          <w:tblCellMar>
            <w:top w:w="15" w:type="dxa"/>
            <w:left w:w="15" w:type="dxa"/>
            <w:bottom w:w="15" w:type="dxa"/>
            <w:right w:w="15" w:type="dxa"/>
          </w:tblCellMar>
        </w:tblPrEx>
        <w:trPr>
          <w:trHeight w:val="626" w:hRule="atLeast"/>
          <w:jc w:val="center"/>
        </w:trPr>
        <w:tc>
          <w:tcPr>
            <w:tcW w:w="166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color w:val="000000"/>
              </w:rPr>
            </w:pPr>
            <w:r>
              <w:rPr>
                <w:color w:val="000000"/>
                <w:kern w:val="0"/>
              </w:rPr>
              <w:t>531</w:t>
            </w:r>
            <w:r>
              <w:rPr>
                <w:rFonts w:hint="eastAsia" w:hAnsi="宋体" w:cs="宋体"/>
                <w:color w:val="000000"/>
                <w:kern w:val="0"/>
              </w:rPr>
              <w:t>温岭市住房和城乡建设局</w:t>
            </w:r>
          </w:p>
        </w:tc>
        <w:tc>
          <w:tcPr>
            <w:tcW w:w="1235" w:type="dxa"/>
            <w:tcBorders>
              <w:top w:val="single" w:color="000000" w:sz="4" w:space="0"/>
              <w:left w:val="nil"/>
              <w:bottom w:val="single" w:color="000000" w:sz="4" w:space="0"/>
              <w:right w:val="single" w:color="000000" w:sz="4" w:space="0"/>
            </w:tcBorders>
            <w:vAlign w:val="center"/>
          </w:tcPr>
          <w:p>
            <w:pPr>
              <w:jc w:val="center"/>
              <w:textAlignment w:val="bottom"/>
              <w:rPr>
                <w:color w:val="000000"/>
              </w:rPr>
            </w:pPr>
            <w:r>
              <w:rPr>
                <w:color w:val="000000"/>
              </w:rPr>
              <w:t>139192428.8</w:t>
            </w:r>
          </w:p>
        </w:tc>
        <w:tc>
          <w:tcPr>
            <w:tcW w:w="1040" w:type="dxa"/>
            <w:tcBorders>
              <w:top w:val="single" w:color="000000" w:sz="4" w:space="0"/>
              <w:left w:val="nil"/>
              <w:bottom w:val="single" w:color="000000" w:sz="4" w:space="0"/>
              <w:right w:val="single" w:color="000000" w:sz="4" w:space="0"/>
            </w:tcBorders>
            <w:vAlign w:val="center"/>
          </w:tcPr>
          <w:p>
            <w:pPr>
              <w:jc w:val="center"/>
              <w:textAlignment w:val="bottom"/>
              <w:rPr>
                <w:color w:val="000000"/>
              </w:rPr>
            </w:pPr>
            <w:r>
              <w:rPr>
                <w:color w:val="000000"/>
              </w:rPr>
              <w:t>167791900</w:t>
            </w:r>
          </w:p>
        </w:tc>
        <w:tc>
          <w:tcPr>
            <w:tcW w:w="905" w:type="dxa"/>
            <w:tcBorders>
              <w:top w:val="single" w:color="000000" w:sz="4" w:space="0"/>
              <w:left w:val="nil"/>
              <w:bottom w:val="single" w:color="000000" w:sz="4" w:space="0"/>
              <w:right w:val="single" w:color="000000" w:sz="4" w:space="0"/>
            </w:tcBorders>
            <w:vAlign w:val="center"/>
          </w:tcPr>
          <w:p>
            <w:pPr>
              <w:jc w:val="center"/>
              <w:textAlignment w:val="bottom"/>
              <w:rPr>
                <w:color w:val="000000"/>
              </w:rPr>
            </w:pPr>
            <w:r>
              <w:rPr>
                <w:color w:val="000000"/>
              </w:rPr>
              <w:t>1200000</w:t>
            </w:r>
          </w:p>
        </w:tc>
        <w:tc>
          <w:tcPr>
            <w:tcW w:w="1131" w:type="dxa"/>
            <w:tcBorders>
              <w:top w:val="single" w:color="000000" w:sz="4" w:space="0"/>
              <w:left w:val="nil"/>
              <w:bottom w:val="single" w:color="000000" w:sz="4" w:space="0"/>
              <w:right w:val="single" w:color="000000" w:sz="4" w:space="0"/>
            </w:tcBorders>
            <w:vAlign w:val="center"/>
          </w:tcPr>
          <w:p>
            <w:pPr>
              <w:jc w:val="center"/>
              <w:rPr>
                <w:color w:val="000000"/>
              </w:rPr>
            </w:pPr>
          </w:p>
        </w:tc>
        <w:tc>
          <w:tcPr>
            <w:tcW w:w="599" w:type="dxa"/>
            <w:tcBorders>
              <w:top w:val="single" w:color="000000" w:sz="4" w:space="0"/>
              <w:left w:val="nil"/>
              <w:bottom w:val="single" w:color="000000" w:sz="4" w:space="0"/>
              <w:right w:val="single" w:color="000000" w:sz="4" w:space="0"/>
            </w:tcBorders>
            <w:vAlign w:val="center"/>
          </w:tcPr>
          <w:p>
            <w:pPr>
              <w:jc w:val="center"/>
              <w:rPr>
                <w:color w:val="000000"/>
              </w:rPr>
            </w:pPr>
          </w:p>
        </w:tc>
        <w:tc>
          <w:tcPr>
            <w:tcW w:w="1200" w:type="dxa"/>
            <w:tcBorders>
              <w:top w:val="single" w:color="000000" w:sz="4" w:space="0"/>
              <w:left w:val="nil"/>
              <w:bottom w:val="single" w:color="000000" w:sz="4" w:space="0"/>
              <w:right w:val="single" w:color="000000" w:sz="4" w:space="0"/>
            </w:tcBorders>
            <w:vAlign w:val="center"/>
          </w:tcPr>
          <w:p>
            <w:pPr>
              <w:jc w:val="center"/>
              <w:textAlignment w:val="bottom"/>
              <w:rPr>
                <w:color w:val="000000"/>
              </w:rPr>
            </w:pPr>
            <w:r>
              <w:rPr>
                <w:color w:val="000000"/>
              </w:rPr>
              <w:t>2767200</w:t>
            </w:r>
          </w:p>
        </w:tc>
        <w:tc>
          <w:tcPr>
            <w:tcW w:w="1168" w:type="dxa"/>
            <w:tcBorders>
              <w:top w:val="single" w:color="000000" w:sz="4" w:space="0"/>
              <w:left w:val="nil"/>
              <w:bottom w:val="single" w:color="000000" w:sz="4" w:space="0"/>
              <w:right w:val="single" w:color="000000" w:sz="4" w:space="0"/>
            </w:tcBorders>
            <w:vAlign w:val="center"/>
          </w:tcPr>
          <w:p>
            <w:pPr>
              <w:jc w:val="center"/>
              <w:rPr>
                <w:color w:val="000000"/>
              </w:rPr>
            </w:pPr>
            <w:r>
              <w:rPr>
                <w:color w:val="000000"/>
              </w:rPr>
              <w:t>4724741.6</w:t>
            </w:r>
          </w:p>
        </w:tc>
        <w:tc>
          <w:tcPr>
            <w:tcW w:w="985" w:type="dxa"/>
            <w:tcBorders>
              <w:top w:val="single" w:color="000000" w:sz="4" w:space="0"/>
              <w:left w:val="nil"/>
              <w:bottom w:val="single" w:color="000000" w:sz="4" w:space="0"/>
              <w:right w:val="single" w:color="000000" w:sz="4" w:space="0"/>
            </w:tcBorders>
            <w:vAlign w:val="center"/>
          </w:tcPr>
          <w:p>
            <w:pPr>
              <w:jc w:val="center"/>
              <w:rPr>
                <w:color w:val="000000"/>
              </w:rPr>
            </w:pPr>
          </w:p>
        </w:tc>
        <w:tc>
          <w:tcPr>
            <w:tcW w:w="1001" w:type="dxa"/>
            <w:tcBorders>
              <w:top w:val="single" w:color="000000" w:sz="4" w:space="0"/>
              <w:left w:val="nil"/>
              <w:bottom w:val="single" w:color="000000" w:sz="4" w:space="0"/>
              <w:right w:val="single" w:color="000000" w:sz="4" w:space="0"/>
            </w:tcBorders>
            <w:vAlign w:val="center"/>
          </w:tcPr>
          <w:p>
            <w:pPr>
              <w:jc w:val="center"/>
              <w:rPr>
                <w:color w:val="000000"/>
              </w:rPr>
            </w:pPr>
            <w:r>
              <w:rPr>
                <w:color w:val="000000"/>
              </w:rPr>
              <w:t>95000000</w:t>
            </w:r>
          </w:p>
        </w:tc>
        <w:tc>
          <w:tcPr>
            <w:tcW w:w="750" w:type="dxa"/>
            <w:tcBorders>
              <w:top w:val="single" w:color="000000" w:sz="4" w:space="0"/>
              <w:left w:val="nil"/>
              <w:bottom w:val="single" w:color="000000" w:sz="4" w:space="0"/>
              <w:right w:val="single" w:color="000000" w:sz="4" w:space="0"/>
            </w:tcBorders>
            <w:vAlign w:val="center"/>
          </w:tcPr>
          <w:p>
            <w:pPr>
              <w:jc w:val="center"/>
              <w:rPr>
                <w:color w:val="000000"/>
              </w:rPr>
            </w:pPr>
          </w:p>
        </w:tc>
        <w:tc>
          <w:tcPr>
            <w:tcW w:w="750" w:type="dxa"/>
            <w:tcBorders>
              <w:top w:val="single" w:color="000000" w:sz="4" w:space="0"/>
              <w:left w:val="nil"/>
              <w:bottom w:val="single" w:color="000000" w:sz="4" w:space="0"/>
              <w:right w:val="single" w:color="000000" w:sz="4" w:space="0"/>
            </w:tcBorders>
            <w:vAlign w:val="center"/>
          </w:tcPr>
          <w:p>
            <w:pPr>
              <w:jc w:val="center"/>
              <w:rPr>
                <w:color w:val="000000"/>
              </w:rPr>
            </w:pPr>
          </w:p>
        </w:tc>
        <w:tc>
          <w:tcPr>
            <w:tcW w:w="810" w:type="dxa"/>
            <w:tcBorders>
              <w:top w:val="single" w:color="000000" w:sz="4" w:space="0"/>
              <w:left w:val="nil"/>
              <w:bottom w:val="single" w:color="000000" w:sz="4" w:space="0"/>
              <w:right w:val="single" w:color="000000" w:sz="4" w:space="0"/>
            </w:tcBorders>
            <w:vAlign w:val="center"/>
          </w:tcPr>
          <w:p>
            <w:pPr>
              <w:jc w:val="center"/>
              <w:rPr>
                <w:color w:val="000000"/>
              </w:rPr>
            </w:pPr>
          </w:p>
        </w:tc>
        <w:tc>
          <w:tcPr>
            <w:tcW w:w="956" w:type="dxa"/>
            <w:tcBorders>
              <w:top w:val="single" w:color="000000" w:sz="4" w:space="0"/>
              <w:left w:val="nil"/>
              <w:bottom w:val="single" w:color="000000" w:sz="4" w:space="0"/>
              <w:right w:val="single" w:color="000000" w:sz="4" w:space="0"/>
            </w:tcBorders>
            <w:vAlign w:val="center"/>
          </w:tcPr>
          <w:p>
            <w:pPr>
              <w:jc w:val="center"/>
              <w:textAlignment w:val="bottom"/>
              <w:rPr>
                <w:color w:val="000000"/>
              </w:rPr>
            </w:pPr>
          </w:p>
        </w:tc>
      </w:tr>
      <w:tr>
        <w:tblPrEx>
          <w:tblLayout w:type="fixed"/>
          <w:tblCellMar>
            <w:top w:w="15" w:type="dxa"/>
            <w:left w:w="15" w:type="dxa"/>
            <w:bottom w:w="15" w:type="dxa"/>
            <w:right w:w="15" w:type="dxa"/>
          </w:tblCellMar>
        </w:tblPrEx>
        <w:trPr>
          <w:trHeight w:val="576" w:hRule="atLeast"/>
          <w:jc w:val="center"/>
        </w:trPr>
        <w:tc>
          <w:tcPr>
            <w:tcW w:w="1660" w:type="dxa"/>
            <w:tcBorders>
              <w:top w:val="single" w:color="000000" w:sz="4" w:space="0"/>
              <w:left w:val="single" w:color="000000" w:sz="4" w:space="0"/>
              <w:bottom w:val="single" w:color="000000" w:sz="4" w:space="0"/>
              <w:right w:val="single" w:color="000000" w:sz="4" w:space="0"/>
            </w:tcBorders>
            <w:vAlign w:val="bottom"/>
          </w:tcPr>
          <w:p>
            <w:pPr>
              <w:widowControl/>
              <w:ind w:firstLine="210" w:firstLineChars="100"/>
              <w:jc w:val="left"/>
              <w:textAlignment w:val="bottom"/>
              <w:rPr>
                <w:color w:val="000000"/>
              </w:rPr>
            </w:pPr>
            <w:r>
              <w:rPr>
                <w:color w:val="000000"/>
                <w:kern w:val="0"/>
              </w:rPr>
              <w:t>531001</w:t>
            </w:r>
            <w:r>
              <w:rPr>
                <w:rFonts w:hint="eastAsia" w:hAnsi="宋体" w:cs="宋体"/>
                <w:color w:val="000000"/>
                <w:kern w:val="0"/>
              </w:rPr>
              <w:t>温岭市住房和城乡建设局</w:t>
            </w:r>
            <w:r>
              <w:rPr>
                <w:color w:val="000000"/>
                <w:kern w:val="0"/>
              </w:rPr>
              <w:t>(</w:t>
            </w:r>
            <w:r>
              <w:rPr>
                <w:rFonts w:hint="eastAsia" w:hAnsi="宋体" w:cs="宋体"/>
                <w:color w:val="000000"/>
                <w:kern w:val="0"/>
              </w:rPr>
              <w:t>本级</w:t>
            </w:r>
            <w:r>
              <w:rPr>
                <w:color w:val="000000"/>
                <w:kern w:val="0"/>
              </w:rPr>
              <w:t>)</w:t>
            </w:r>
          </w:p>
        </w:tc>
        <w:tc>
          <w:tcPr>
            <w:tcW w:w="1235" w:type="dxa"/>
            <w:tcBorders>
              <w:top w:val="single" w:color="000000" w:sz="4" w:space="0"/>
              <w:left w:val="nil"/>
              <w:bottom w:val="single" w:color="000000" w:sz="4" w:space="0"/>
              <w:right w:val="single" w:color="000000" w:sz="4" w:space="0"/>
            </w:tcBorders>
            <w:vAlign w:val="center"/>
          </w:tcPr>
          <w:p>
            <w:pPr>
              <w:jc w:val="center"/>
              <w:textAlignment w:val="bottom"/>
              <w:rPr>
                <w:color w:val="000000"/>
              </w:rPr>
            </w:pPr>
            <w:r>
              <w:rPr>
                <w:color w:val="000000"/>
              </w:rPr>
              <w:t>124274974.9</w:t>
            </w:r>
          </w:p>
        </w:tc>
        <w:tc>
          <w:tcPr>
            <w:tcW w:w="1040" w:type="dxa"/>
            <w:tcBorders>
              <w:top w:val="single" w:color="000000" w:sz="4" w:space="0"/>
              <w:left w:val="nil"/>
              <w:bottom w:val="single" w:color="000000" w:sz="4" w:space="0"/>
              <w:right w:val="single" w:color="000000" w:sz="4" w:space="0"/>
            </w:tcBorders>
            <w:vAlign w:val="center"/>
          </w:tcPr>
          <w:p>
            <w:pPr>
              <w:jc w:val="center"/>
              <w:textAlignment w:val="bottom"/>
              <w:rPr>
                <w:color w:val="000000"/>
              </w:rPr>
            </w:pPr>
            <w:r>
              <w:rPr>
                <w:color w:val="000000"/>
              </w:rPr>
              <w:t>167791900</w:t>
            </w:r>
          </w:p>
        </w:tc>
        <w:tc>
          <w:tcPr>
            <w:tcW w:w="905" w:type="dxa"/>
            <w:tcBorders>
              <w:top w:val="single" w:color="000000" w:sz="4" w:space="0"/>
              <w:left w:val="nil"/>
              <w:bottom w:val="single" w:color="000000" w:sz="4" w:space="0"/>
              <w:right w:val="single" w:color="000000" w:sz="4" w:space="0"/>
            </w:tcBorders>
            <w:vAlign w:val="center"/>
          </w:tcPr>
          <w:p>
            <w:pPr>
              <w:jc w:val="center"/>
              <w:textAlignment w:val="bottom"/>
              <w:rPr>
                <w:color w:val="000000"/>
              </w:rPr>
            </w:pPr>
            <w:r>
              <w:rPr>
                <w:color w:val="000000"/>
              </w:rPr>
              <w:t>1200000</w:t>
            </w:r>
          </w:p>
        </w:tc>
        <w:tc>
          <w:tcPr>
            <w:tcW w:w="1131" w:type="dxa"/>
            <w:tcBorders>
              <w:top w:val="single" w:color="000000" w:sz="4" w:space="0"/>
              <w:left w:val="nil"/>
              <w:bottom w:val="single" w:color="000000" w:sz="4" w:space="0"/>
              <w:right w:val="single" w:color="000000" w:sz="4" w:space="0"/>
            </w:tcBorders>
            <w:vAlign w:val="center"/>
          </w:tcPr>
          <w:p>
            <w:pPr>
              <w:jc w:val="center"/>
              <w:rPr>
                <w:color w:val="000000"/>
              </w:rPr>
            </w:pPr>
          </w:p>
        </w:tc>
        <w:tc>
          <w:tcPr>
            <w:tcW w:w="599" w:type="dxa"/>
            <w:tcBorders>
              <w:top w:val="single" w:color="000000" w:sz="4" w:space="0"/>
              <w:left w:val="nil"/>
              <w:bottom w:val="single" w:color="000000" w:sz="4" w:space="0"/>
              <w:right w:val="single" w:color="000000" w:sz="4" w:space="0"/>
            </w:tcBorders>
            <w:vAlign w:val="center"/>
          </w:tcPr>
          <w:p>
            <w:pPr>
              <w:jc w:val="center"/>
              <w:rPr>
                <w:color w:val="000000"/>
              </w:rPr>
            </w:pPr>
          </w:p>
        </w:tc>
        <w:tc>
          <w:tcPr>
            <w:tcW w:w="1200" w:type="dxa"/>
            <w:tcBorders>
              <w:top w:val="single" w:color="000000" w:sz="4" w:space="0"/>
              <w:left w:val="nil"/>
              <w:bottom w:val="single" w:color="000000" w:sz="4" w:space="0"/>
              <w:right w:val="single" w:color="000000" w:sz="4" w:space="0"/>
            </w:tcBorders>
            <w:vAlign w:val="center"/>
          </w:tcPr>
          <w:p>
            <w:pPr>
              <w:jc w:val="center"/>
              <w:textAlignment w:val="bottom"/>
              <w:rPr>
                <w:color w:val="000000"/>
              </w:rPr>
            </w:pPr>
            <w:r>
              <w:rPr>
                <w:color w:val="000000"/>
              </w:rPr>
              <w:t>2767200</w:t>
            </w:r>
          </w:p>
        </w:tc>
        <w:tc>
          <w:tcPr>
            <w:tcW w:w="1168" w:type="dxa"/>
            <w:tcBorders>
              <w:top w:val="single" w:color="000000" w:sz="4" w:space="0"/>
              <w:left w:val="nil"/>
              <w:bottom w:val="single" w:color="000000" w:sz="4" w:space="0"/>
              <w:right w:val="single" w:color="000000" w:sz="4" w:space="0"/>
            </w:tcBorders>
            <w:vAlign w:val="center"/>
          </w:tcPr>
          <w:p>
            <w:pPr>
              <w:jc w:val="center"/>
              <w:rPr>
                <w:color w:val="000000"/>
              </w:rPr>
            </w:pPr>
          </w:p>
        </w:tc>
        <w:tc>
          <w:tcPr>
            <w:tcW w:w="985" w:type="dxa"/>
            <w:tcBorders>
              <w:top w:val="single" w:color="000000" w:sz="4" w:space="0"/>
              <w:left w:val="nil"/>
              <w:bottom w:val="single" w:color="000000" w:sz="4" w:space="0"/>
              <w:right w:val="single" w:color="000000" w:sz="4" w:space="0"/>
            </w:tcBorders>
            <w:vAlign w:val="center"/>
          </w:tcPr>
          <w:p>
            <w:pPr>
              <w:jc w:val="center"/>
              <w:rPr>
                <w:color w:val="000000"/>
              </w:rPr>
            </w:pPr>
          </w:p>
        </w:tc>
        <w:tc>
          <w:tcPr>
            <w:tcW w:w="1001" w:type="dxa"/>
            <w:tcBorders>
              <w:top w:val="single" w:color="000000" w:sz="4" w:space="0"/>
              <w:left w:val="nil"/>
              <w:bottom w:val="single" w:color="000000" w:sz="4" w:space="0"/>
              <w:right w:val="single" w:color="000000" w:sz="4" w:space="0"/>
            </w:tcBorders>
            <w:vAlign w:val="center"/>
          </w:tcPr>
          <w:p>
            <w:pPr>
              <w:jc w:val="center"/>
              <w:rPr>
                <w:color w:val="000000"/>
              </w:rPr>
            </w:pPr>
            <w:r>
              <w:rPr>
                <w:color w:val="000000"/>
              </w:rPr>
              <w:t>95000000</w:t>
            </w:r>
          </w:p>
        </w:tc>
        <w:tc>
          <w:tcPr>
            <w:tcW w:w="750" w:type="dxa"/>
            <w:tcBorders>
              <w:top w:val="single" w:color="000000" w:sz="4" w:space="0"/>
              <w:left w:val="nil"/>
              <w:bottom w:val="single" w:color="000000" w:sz="4" w:space="0"/>
              <w:right w:val="single" w:color="000000" w:sz="4" w:space="0"/>
            </w:tcBorders>
            <w:vAlign w:val="center"/>
          </w:tcPr>
          <w:p>
            <w:pPr>
              <w:jc w:val="center"/>
              <w:rPr>
                <w:color w:val="000000"/>
              </w:rPr>
            </w:pPr>
          </w:p>
        </w:tc>
        <w:tc>
          <w:tcPr>
            <w:tcW w:w="750" w:type="dxa"/>
            <w:tcBorders>
              <w:top w:val="single" w:color="000000" w:sz="4" w:space="0"/>
              <w:left w:val="nil"/>
              <w:bottom w:val="single" w:color="000000" w:sz="4" w:space="0"/>
              <w:right w:val="single" w:color="000000" w:sz="4" w:space="0"/>
            </w:tcBorders>
            <w:vAlign w:val="center"/>
          </w:tcPr>
          <w:p>
            <w:pPr>
              <w:jc w:val="center"/>
              <w:rPr>
                <w:color w:val="000000"/>
              </w:rPr>
            </w:pPr>
          </w:p>
        </w:tc>
        <w:tc>
          <w:tcPr>
            <w:tcW w:w="810" w:type="dxa"/>
            <w:tcBorders>
              <w:top w:val="single" w:color="000000" w:sz="4" w:space="0"/>
              <w:left w:val="nil"/>
              <w:bottom w:val="single" w:color="000000" w:sz="4" w:space="0"/>
              <w:right w:val="single" w:color="000000" w:sz="4" w:space="0"/>
            </w:tcBorders>
            <w:vAlign w:val="center"/>
          </w:tcPr>
          <w:p>
            <w:pPr>
              <w:jc w:val="center"/>
              <w:rPr>
                <w:color w:val="000000"/>
              </w:rPr>
            </w:pPr>
          </w:p>
        </w:tc>
        <w:tc>
          <w:tcPr>
            <w:tcW w:w="956" w:type="dxa"/>
            <w:tcBorders>
              <w:top w:val="single" w:color="000000" w:sz="4" w:space="0"/>
              <w:left w:val="nil"/>
              <w:bottom w:val="single" w:color="000000" w:sz="4" w:space="0"/>
              <w:right w:val="single" w:color="000000" w:sz="4" w:space="0"/>
            </w:tcBorders>
            <w:vAlign w:val="center"/>
          </w:tcPr>
          <w:p>
            <w:pPr>
              <w:jc w:val="center"/>
              <w:textAlignment w:val="bottom"/>
              <w:rPr>
                <w:color w:val="000000"/>
              </w:rPr>
            </w:pPr>
          </w:p>
        </w:tc>
      </w:tr>
      <w:tr>
        <w:tblPrEx>
          <w:tblLayout w:type="fixed"/>
          <w:tblCellMar>
            <w:top w:w="15" w:type="dxa"/>
            <w:left w:w="15" w:type="dxa"/>
            <w:bottom w:w="15" w:type="dxa"/>
            <w:right w:w="15" w:type="dxa"/>
          </w:tblCellMar>
        </w:tblPrEx>
        <w:trPr>
          <w:trHeight w:val="576" w:hRule="atLeast"/>
          <w:jc w:val="center"/>
        </w:trPr>
        <w:tc>
          <w:tcPr>
            <w:tcW w:w="1660" w:type="dxa"/>
            <w:tcBorders>
              <w:top w:val="single" w:color="000000" w:sz="4" w:space="0"/>
              <w:left w:val="single" w:color="000000" w:sz="4" w:space="0"/>
              <w:bottom w:val="single" w:color="000000" w:sz="4" w:space="0"/>
              <w:right w:val="single" w:color="000000" w:sz="4" w:space="0"/>
            </w:tcBorders>
            <w:vAlign w:val="bottom"/>
          </w:tcPr>
          <w:p>
            <w:pPr>
              <w:widowControl/>
              <w:ind w:firstLine="210" w:firstLineChars="100"/>
              <w:jc w:val="left"/>
              <w:textAlignment w:val="bottom"/>
              <w:rPr>
                <w:color w:val="000000"/>
              </w:rPr>
            </w:pPr>
            <w:r>
              <w:rPr>
                <w:color w:val="000000"/>
                <w:kern w:val="0"/>
              </w:rPr>
              <w:t>531002</w:t>
            </w:r>
            <w:r>
              <w:rPr>
                <w:rFonts w:hint="eastAsia" w:hAnsi="宋体" w:cs="宋体"/>
                <w:color w:val="000000"/>
                <w:kern w:val="0"/>
              </w:rPr>
              <w:t>温岭市住房保障和房管事务中心</w:t>
            </w:r>
          </w:p>
        </w:tc>
        <w:tc>
          <w:tcPr>
            <w:tcW w:w="1235" w:type="dxa"/>
            <w:tcBorders>
              <w:top w:val="single" w:color="000000" w:sz="4" w:space="0"/>
              <w:left w:val="nil"/>
              <w:bottom w:val="single" w:color="000000" w:sz="4" w:space="0"/>
              <w:right w:val="single" w:color="000000" w:sz="4" w:space="0"/>
            </w:tcBorders>
            <w:vAlign w:val="center"/>
          </w:tcPr>
          <w:p>
            <w:pPr>
              <w:jc w:val="center"/>
              <w:textAlignment w:val="bottom"/>
              <w:rPr>
                <w:color w:val="000000"/>
              </w:rPr>
            </w:pPr>
            <w:r>
              <w:rPr>
                <w:color w:val="000000"/>
              </w:rPr>
              <w:t>11733960.2</w:t>
            </w:r>
          </w:p>
        </w:tc>
        <w:tc>
          <w:tcPr>
            <w:tcW w:w="1040" w:type="dxa"/>
            <w:tcBorders>
              <w:top w:val="single" w:color="000000" w:sz="4" w:space="0"/>
              <w:left w:val="nil"/>
              <w:bottom w:val="single" w:color="000000" w:sz="4" w:space="0"/>
              <w:right w:val="single" w:color="000000" w:sz="4" w:space="0"/>
            </w:tcBorders>
            <w:vAlign w:val="center"/>
          </w:tcPr>
          <w:p>
            <w:pPr>
              <w:jc w:val="center"/>
              <w:textAlignment w:val="bottom"/>
              <w:rPr>
                <w:color w:val="000000"/>
              </w:rPr>
            </w:pPr>
          </w:p>
        </w:tc>
        <w:tc>
          <w:tcPr>
            <w:tcW w:w="905" w:type="dxa"/>
            <w:tcBorders>
              <w:top w:val="single" w:color="000000" w:sz="4" w:space="0"/>
              <w:left w:val="nil"/>
              <w:bottom w:val="single" w:color="000000" w:sz="4" w:space="0"/>
              <w:right w:val="single" w:color="000000" w:sz="4" w:space="0"/>
            </w:tcBorders>
            <w:vAlign w:val="center"/>
          </w:tcPr>
          <w:p>
            <w:pPr>
              <w:jc w:val="center"/>
              <w:rPr>
                <w:color w:val="000000"/>
              </w:rPr>
            </w:pPr>
          </w:p>
        </w:tc>
        <w:tc>
          <w:tcPr>
            <w:tcW w:w="1131" w:type="dxa"/>
            <w:tcBorders>
              <w:top w:val="single" w:color="000000" w:sz="4" w:space="0"/>
              <w:left w:val="nil"/>
              <w:bottom w:val="single" w:color="000000" w:sz="4" w:space="0"/>
              <w:right w:val="single" w:color="000000" w:sz="4" w:space="0"/>
            </w:tcBorders>
            <w:vAlign w:val="center"/>
          </w:tcPr>
          <w:p>
            <w:pPr>
              <w:jc w:val="center"/>
              <w:rPr>
                <w:color w:val="000000"/>
              </w:rPr>
            </w:pPr>
          </w:p>
        </w:tc>
        <w:tc>
          <w:tcPr>
            <w:tcW w:w="599" w:type="dxa"/>
            <w:tcBorders>
              <w:top w:val="single" w:color="000000" w:sz="4" w:space="0"/>
              <w:left w:val="nil"/>
              <w:bottom w:val="single" w:color="000000" w:sz="4" w:space="0"/>
              <w:right w:val="single" w:color="000000" w:sz="4" w:space="0"/>
            </w:tcBorders>
            <w:vAlign w:val="center"/>
          </w:tcPr>
          <w:p>
            <w:pPr>
              <w:jc w:val="center"/>
              <w:rPr>
                <w:color w:val="000000"/>
              </w:rPr>
            </w:pPr>
          </w:p>
        </w:tc>
        <w:tc>
          <w:tcPr>
            <w:tcW w:w="1200" w:type="dxa"/>
            <w:tcBorders>
              <w:top w:val="single" w:color="000000" w:sz="4" w:space="0"/>
              <w:left w:val="nil"/>
              <w:bottom w:val="single" w:color="000000" w:sz="4" w:space="0"/>
              <w:right w:val="single" w:color="000000" w:sz="4" w:space="0"/>
            </w:tcBorders>
            <w:vAlign w:val="center"/>
          </w:tcPr>
          <w:p>
            <w:pPr>
              <w:jc w:val="center"/>
              <w:rPr>
                <w:color w:val="000000"/>
              </w:rPr>
            </w:pPr>
          </w:p>
        </w:tc>
        <w:tc>
          <w:tcPr>
            <w:tcW w:w="1168" w:type="dxa"/>
            <w:tcBorders>
              <w:top w:val="single" w:color="000000" w:sz="4" w:space="0"/>
              <w:left w:val="nil"/>
              <w:bottom w:val="single" w:color="000000" w:sz="4" w:space="0"/>
              <w:right w:val="single" w:color="000000" w:sz="4" w:space="0"/>
            </w:tcBorders>
            <w:vAlign w:val="center"/>
          </w:tcPr>
          <w:p>
            <w:pPr>
              <w:jc w:val="center"/>
              <w:rPr>
                <w:color w:val="000000"/>
              </w:rPr>
            </w:pPr>
          </w:p>
        </w:tc>
        <w:tc>
          <w:tcPr>
            <w:tcW w:w="985" w:type="dxa"/>
            <w:tcBorders>
              <w:top w:val="single" w:color="000000" w:sz="4" w:space="0"/>
              <w:left w:val="nil"/>
              <w:bottom w:val="single" w:color="000000" w:sz="4" w:space="0"/>
              <w:right w:val="single" w:color="000000" w:sz="4" w:space="0"/>
            </w:tcBorders>
            <w:vAlign w:val="center"/>
          </w:tcPr>
          <w:p>
            <w:pPr>
              <w:jc w:val="center"/>
              <w:rPr>
                <w:color w:val="000000"/>
              </w:rPr>
            </w:pPr>
          </w:p>
        </w:tc>
        <w:tc>
          <w:tcPr>
            <w:tcW w:w="1001" w:type="dxa"/>
            <w:tcBorders>
              <w:top w:val="single" w:color="000000" w:sz="4" w:space="0"/>
              <w:left w:val="nil"/>
              <w:bottom w:val="single" w:color="000000" w:sz="4" w:space="0"/>
              <w:right w:val="single" w:color="000000" w:sz="4" w:space="0"/>
            </w:tcBorders>
            <w:vAlign w:val="center"/>
          </w:tcPr>
          <w:p>
            <w:pPr>
              <w:jc w:val="center"/>
              <w:rPr>
                <w:color w:val="000000"/>
              </w:rPr>
            </w:pPr>
          </w:p>
        </w:tc>
        <w:tc>
          <w:tcPr>
            <w:tcW w:w="750" w:type="dxa"/>
            <w:tcBorders>
              <w:top w:val="single" w:color="000000" w:sz="4" w:space="0"/>
              <w:left w:val="nil"/>
              <w:bottom w:val="single" w:color="000000" w:sz="4" w:space="0"/>
              <w:right w:val="single" w:color="000000" w:sz="4" w:space="0"/>
            </w:tcBorders>
            <w:vAlign w:val="center"/>
          </w:tcPr>
          <w:p>
            <w:pPr>
              <w:jc w:val="center"/>
              <w:rPr>
                <w:color w:val="000000"/>
              </w:rPr>
            </w:pPr>
          </w:p>
        </w:tc>
        <w:tc>
          <w:tcPr>
            <w:tcW w:w="750" w:type="dxa"/>
            <w:tcBorders>
              <w:top w:val="single" w:color="000000" w:sz="4" w:space="0"/>
              <w:left w:val="nil"/>
              <w:bottom w:val="single" w:color="000000" w:sz="4" w:space="0"/>
              <w:right w:val="single" w:color="000000" w:sz="4" w:space="0"/>
            </w:tcBorders>
            <w:vAlign w:val="center"/>
          </w:tcPr>
          <w:p>
            <w:pPr>
              <w:jc w:val="center"/>
              <w:rPr>
                <w:color w:val="000000"/>
              </w:rPr>
            </w:pPr>
          </w:p>
        </w:tc>
        <w:tc>
          <w:tcPr>
            <w:tcW w:w="810" w:type="dxa"/>
            <w:tcBorders>
              <w:top w:val="single" w:color="000000" w:sz="4" w:space="0"/>
              <w:left w:val="nil"/>
              <w:bottom w:val="single" w:color="000000" w:sz="4" w:space="0"/>
              <w:right w:val="single" w:color="000000" w:sz="4" w:space="0"/>
            </w:tcBorders>
            <w:vAlign w:val="center"/>
          </w:tcPr>
          <w:p>
            <w:pPr>
              <w:jc w:val="center"/>
              <w:rPr>
                <w:color w:val="000000"/>
              </w:rPr>
            </w:pPr>
          </w:p>
        </w:tc>
        <w:tc>
          <w:tcPr>
            <w:tcW w:w="956" w:type="dxa"/>
            <w:tcBorders>
              <w:top w:val="single" w:color="000000" w:sz="4" w:space="0"/>
              <w:left w:val="nil"/>
              <w:bottom w:val="single" w:color="000000" w:sz="4" w:space="0"/>
              <w:right w:val="single" w:color="000000" w:sz="4" w:space="0"/>
            </w:tcBorders>
            <w:vAlign w:val="center"/>
          </w:tcPr>
          <w:p>
            <w:pPr>
              <w:jc w:val="center"/>
              <w:textAlignment w:val="bottom"/>
              <w:rPr>
                <w:color w:val="000000"/>
              </w:rPr>
            </w:pPr>
          </w:p>
        </w:tc>
      </w:tr>
      <w:tr>
        <w:tblPrEx>
          <w:tblLayout w:type="fixed"/>
          <w:tblCellMar>
            <w:top w:w="15" w:type="dxa"/>
            <w:left w:w="15" w:type="dxa"/>
            <w:bottom w:w="15" w:type="dxa"/>
            <w:right w:w="15" w:type="dxa"/>
          </w:tblCellMar>
        </w:tblPrEx>
        <w:trPr>
          <w:trHeight w:val="699" w:hRule="atLeast"/>
          <w:jc w:val="center"/>
        </w:trPr>
        <w:tc>
          <w:tcPr>
            <w:tcW w:w="1660" w:type="dxa"/>
            <w:tcBorders>
              <w:top w:val="single" w:color="000000" w:sz="4" w:space="0"/>
              <w:left w:val="single" w:color="000000" w:sz="4" w:space="0"/>
              <w:bottom w:val="single" w:color="000000" w:sz="4" w:space="0"/>
              <w:right w:val="single" w:color="000000" w:sz="4" w:space="0"/>
            </w:tcBorders>
            <w:vAlign w:val="bottom"/>
          </w:tcPr>
          <w:p>
            <w:pPr>
              <w:widowControl/>
              <w:ind w:firstLine="210" w:firstLineChars="100"/>
              <w:jc w:val="left"/>
              <w:textAlignment w:val="bottom"/>
              <w:rPr>
                <w:color w:val="000000"/>
              </w:rPr>
            </w:pPr>
            <w:r>
              <w:rPr>
                <w:color w:val="000000"/>
                <w:kern w:val="0"/>
              </w:rPr>
              <w:t>531007</w:t>
            </w:r>
            <w:r>
              <w:rPr>
                <w:rFonts w:hint="eastAsia" w:hAnsi="宋体" w:cs="宋体"/>
                <w:color w:val="000000"/>
                <w:kern w:val="0"/>
              </w:rPr>
              <w:t>温岭市建筑工程质量安全事务中心</w:t>
            </w:r>
          </w:p>
        </w:tc>
        <w:tc>
          <w:tcPr>
            <w:tcW w:w="1235" w:type="dxa"/>
            <w:tcBorders>
              <w:top w:val="single" w:color="000000" w:sz="4" w:space="0"/>
              <w:left w:val="nil"/>
              <w:bottom w:val="single" w:color="000000" w:sz="4" w:space="0"/>
              <w:right w:val="single" w:color="000000" w:sz="4" w:space="0"/>
            </w:tcBorders>
            <w:vAlign w:val="center"/>
          </w:tcPr>
          <w:p>
            <w:pPr>
              <w:jc w:val="center"/>
              <w:textAlignment w:val="bottom"/>
              <w:rPr>
                <w:color w:val="000000"/>
              </w:rPr>
            </w:pPr>
            <w:r>
              <w:rPr>
                <w:color w:val="000000"/>
              </w:rPr>
              <w:t>318349372</w:t>
            </w:r>
          </w:p>
        </w:tc>
        <w:tc>
          <w:tcPr>
            <w:tcW w:w="1040" w:type="dxa"/>
            <w:tcBorders>
              <w:top w:val="single" w:color="000000" w:sz="4" w:space="0"/>
              <w:left w:val="nil"/>
              <w:bottom w:val="single" w:color="000000" w:sz="4" w:space="0"/>
              <w:right w:val="single" w:color="000000" w:sz="4" w:space="0"/>
            </w:tcBorders>
            <w:vAlign w:val="center"/>
          </w:tcPr>
          <w:p>
            <w:pPr>
              <w:jc w:val="center"/>
              <w:rPr>
                <w:color w:val="000000"/>
              </w:rPr>
            </w:pPr>
          </w:p>
        </w:tc>
        <w:tc>
          <w:tcPr>
            <w:tcW w:w="905" w:type="dxa"/>
            <w:tcBorders>
              <w:top w:val="single" w:color="000000" w:sz="4" w:space="0"/>
              <w:left w:val="nil"/>
              <w:bottom w:val="single" w:color="000000" w:sz="4" w:space="0"/>
              <w:right w:val="single" w:color="000000" w:sz="4" w:space="0"/>
            </w:tcBorders>
            <w:vAlign w:val="center"/>
          </w:tcPr>
          <w:p>
            <w:pPr>
              <w:jc w:val="center"/>
              <w:rPr>
                <w:color w:val="000000"/>
              </w:rPr>
            </w:pPr>
          </w:p>
        </w:tc>
        <w:tc>
          <w:tcPr>
            <w:tcW w:w="1131" w:type="dxa"/>
            <w:tcBorders>
              <w:top w:val="single" w:color="000000" w:sz="4" w:space="0"/>
              <w:left w:val="nil"/>
              <w:bottom w:val="single" w:color="000000" w:sz="4" w:space="0"/>
              <w:right w:val="single" w:color="000000" w:sz="4" w:space="0"/>
            </w:tcBorders>
            <w:vAlign w:val="center"/>
          </w:tcPr>
          <w:p>
            <w:pPr>
              <w:jc w:val="center"/>
              <w:rPr>
                <w:color w:val="000000"/>
              </w:rPr>
            </w:pPr>
          </w:p>
        </w:tc>
        <w:tc>
          <w:tcPr>
            <w:tcW w:w="599" w:type="dxa"/>
            <w:tcBorders>
              <w:top w:val="single" w:color="000000" w:sz="4" w:space="0"/>
              <w:left w:val="nil"/>
              <w:bottom w:val="single" w:color="000000" w:sz="4" w:space="0"/>
              <w:right w:val="single" w:color="000000" w:sz="4" w:space="0"/>
            </w:tcBorders>
            <w:vAlign w:val="center"/>
          </w:tcPr>
          <w:p>
            <w:pPr>
              <w:jc w:val="center"/>
              <w:rPr>
                <w:color w:val="000000"/>
              </w:rPr>
            </w:pPr>
          </w:p>
        </w:tc>
        <w:tc>
          <w:tcPr>
            <w:tcW w:w="1200" w:type="dxa"/>
            <w:tcBorders>
              <w:top w:val="single" w:color="000000" w:sz="4" w:space="0"/>
              <w:left w:val="nil"/>
              <w:bottom w:val="single" w:color="000000" w:sz="4" w:space="0"/>
              <w:right w:val="single" w:color="000000" w:sz="4" w:space="0"/>
            </w:tcBorders>
            <w:vAlign w:val="center"/>
          </w:tcPr>
          <w:p>
            <w:pPr>
              <w:jc w:val="center"/>
              <w:rPr>
                <w:color w:val="000000"/>
              </w:rPr>
            </w:pPr>
          </w:p>
        </w:tc>
        <w:tc>
          <w:tcPr>
            <w:tcW w:w="1168" w:type="dxa"/>
            <w:tcBorders>
              <w:top w:val="single" w:color="000000" w:sz="4" w:space="0"/>
              <w:left w:val="nil"/>
              <w:bottom w:val="single" w:color="000000" w:sz="4" w:space="0"/>
              <w:right w:val="single" w:color="000000" w:sz="4" w:space="0"/>
            </w:tcBorders>
            <w:vAlign w:val="center"/>
          </w:tcPr>
          <w:p>
            <w:pPr>
              <w:jc w:val="center"/>
              <w:rPr>
                <w:color w:val="000000"/>
              </w:rPr>
            </w:pPr>
            <w:r>
              <w:rPr>
                <w:color w:val="000000"/>
              </w:rPr>
              <w:t>4724741.6</w:t>
            </w:r>
          </w:p>
        </w:tc>
        <w:tc>
          <w:tcPr>
            <w:tcW w:w="985" w:type="dxa"/>
            <w:tcBorders>
              <w:top w:val="single" w:color="000000" w:sz="4" w:space="0"/>
              <w:left w:val="nil"/>
              <w:bottom w:val="single" w:color="000000" w:sz="4" w:space="0"/>
              <w:right w:val="single" w:color="000000" w:sz="4" w:space="0"/>
            </w:tcBorders>
            <w:vAlign w:val="center"/>
          </w:tcPr>
          <w:p>
            <w:pPr>
              <w:jc w:val="center"/>
              <w:rPr>
                <w:color w:val="000000"/>
              </w:rPr>
            </w:pPr>
          </w:p>
        </w:tc>
        <w:tc>
          <w:tcPr>
            <w:tcW w:w="1001" w:type="dxa"/>
            <w:tcBorders>
              <w:top w:val="single" w:color="000000" w:sz="4" w:space="0"/>
              <w:left w:val="nil"/>
              <w:bottom w:val="single" w:color="000000" w:sz="4" w:space="0"/>
              <w:right w:val="single" w:color="000000" w:sz="4" w:space="0"/>
            </w:tcBorders>
            <w:vAlign w:val="center"/>
          </w:tcPr>
          <w:p>
            <w:pPr>
              <w:jc w:val="center"/>
              <w:rPr>
                <w:color w:val="000000"/>
              </w:rPr>
            </w:pPr>
          </w:p>
        </w:tc>
        <w:tc>
          <w:tcPr>
            <w:tcW w:w="750" w:type="dxa"/>
            <w:tcBorders>
              <w:top w:val="single" w:color="000000" w:sz="4" w:space="0"/>
              <w:left w:val="nil"/>
              <w:bottom w:val="single" w:color="000000" w:sz="4" w:space="0"/>
              <w:right w:val="single" w:color="000000" w:sz="4" w:space="0"/>
            </w:tcBorders>
            <w:vAlign w:val="center"/>
          </w:tcPr>
          <w:p>
            <w:pPr>
              <w:jc w:val="center"/>
              <w:rPr>
                <w:color w:val="000000"/>
              </w:rPr>
            </w:pPr>
          </w:p>
        </w:tc>
        <w:tc>
          <w:tcPr>
            <w:tcW w:w="750" w:type="dxa"/>
            <w:tcBorders>
              <w:top w:val="single" w:color="000000" w:sz="4" w:space="0"/>
              <w:left w:val="nil"/>
              <w:bottom w:val="single" w:color="000000" w:sz="4" w:space="0"/>
              <w:right w:val="single" w:color="000000" w:sz="4" w:space="0"/>
            </w:tcBorders>
            <w:vAlign w:val="center"/>
          </w:tcPr>
          <w:p>
            <w:pPr>
              <w:jc w:val="center"/>
              <w:rPr>
                <w:color w:val="000000"/>
              </w:rPr>
            </w:pPr>
          </w:p>
        </w:tc>
        <w:tc>
          <w:tcPr>
            <w:tcW w:w="810" w:type="dxa"/>
            <w:tcBorders>
              <w:top w:val="single" w:color="000000" w:sz="4" w:space="0"/>
              <w:left w:val="nil"/>
              <w:bottom w:val="single" w:color="000000" w:sz="4" w:space="0"/>
              <w:right w:val="single" w:color="000000" w:sz="4" w:space="0"/>
            </w:tcBorders>
            <w:vAlign w:val="center"/>
          </w:tcPr>
          <w:p>
            <w:pPr>
              <w:jc w:val="center"/>
              <w:rPr>
                <w:color w:val="000000"/>
              </w:rPr>
            </w:pPr>
          </w:p>
        </w:tc>
        <w:tc>
          <w:tcPr>
            <w:tcW w:w="956" w:type="dxa"/>
            <w:tcBorders>
              <w:top w:val="single" w:color="000000" w:sz="4" w:space="0"/>
              <w:left w:val="nil"/>
              <w:bottom w:val="single" w:color="000000" w:sz="4" w:space="0"/>
              <w:right w:val="single" w:color="000000" w:sz="4" w:space="0"/>
            </w:tcBorders>
            <w:vAlign w:val="center"/>
          </w:tcPr>
          <w:p>
            <w:pPr>
              <w:jc w:val="center"/>
              <w:textAlignment w:val="bottom"/>
              <w:rPr>
                <w:color w:val="000000"/>
              </w:rPr>
            </w:pPr>
          </w:p>
        </w:tc>
      </w:tr>
    </w:tbl>
    <w:p>
      <w:pPr>
        <w:widowControl/>
        <w:jc w:val="left"/>
        <w:rPr>
          <w:rFonts w:ascii="黑体" w:hAnsi="黑体" w:eastAsia="黑体"/>
          <w:sz w:val="32"/>
          <w:szCs w:val="32"/>
        </w:rPr>
      </w:pPr>
    </w:p>
    <w:p>
      <w:pPr>
        <w:widowControl/>
        <w:jc w:val="left"/>
        <w:rPr>
          <w:rFonts w:ascii="黑体" w:hAnsi="黑体" w:eastAsia="黑体"/>
          <w:sz w:val="32"/>
          <w:szCs w:val="32"/>
        </w:rPr>
      </w:pPr>
    </w:p>
    <w:p>
      <w:pPr>
        <w:spacing w:line="590" w:lineRule="exact"/>
        <w:jc w:val="left"/>
        <w:rPr>
          <w:rFonts w:ascii="黑体" w:hAnsi="黑体" w:eastAsia="黑体"/>
          <w:sz w:val="32"/>
          <w:szCs w:val="32"/>
        </w:rPr>
      </w:pPr>
    </w:p>
    <w:p>
      <w:pPr>
        <w:spacing w:line="590" w:lineRule="exact"/>
        <w:jc w:val="left"/>
        <w:rPr>
          <w:rFonts w:ascii="仿宋_GB2312" w:eastAsia="仿宋_GB2312"/>
          <w:sz w:val="32"/>
          <w:szCs w:val="32"/>
        </w:rPr>
      </w:pPr>
      <w:r>
        <w:rPr>
          <w:rFonts w:hint="eastAsia" w:ascii="仿宋_GB2312" w:hAnsi="黑体" w:eastAsia="仿宋_GB2312" w:cs="仿宋_GB2312"/>
          <w:sz w:val="32"/>
          <w:szCs w:val="32"/>
        </w:rPr>
        <w:t>附件</w:t>
      </w:r>
      <w:r>
        <w:rPr>
          <w:rFonts w:ascii="仿宋_GB2312" w:hAnsi="黑体" w:eastAsia="仿宋_GB2312" w:cs="仿宋_GB2312"/>
          <w:sz w:val="32"/>
          <w:szCs w:val="32"/>
        </w:rPr>
        <w:t>7</w:t>
      </w:r>
    </w:p>
    <w:p>
      <w:pPr>
        <w:spacing w:line="590" w:lineRule="exact"/>
        <w:jc w:val="left"/>
        <w:rPr>
          <w:rFonts w:ascii="仿宋_GB2312" w:eastAsia="仿宋_GB2312"/>
          <w:sz w:val="32"/>
          <w:szCs w:val="32"/>
        </w:rPr>
      </w:pPr>
    </w:p>
    <w:p>
      <w:pPr>
        <w:spacing w:line="590" w:lineRule="exact"/>
        <w:jc w:val="center"/>
        <w:rPr>
          <w:rFonts w:ascii="方正小标宋简体" w:hAnsi="黑体" w:eastAsia="方正小标宋简体"/>
          <w:sz w:val="36"/>
          <w:szCs w:val="36"/>
        </w:rPr>
      </w:pPr>
      <w:r>
        <w:rPr>
          <w:rFonts w:ascii="方正小标宋简体" w:hAnsi="黑体" w:eastAsia="方正小标宋简体" w:cs="方正小标宋简体"/>
          <w:sz w:val="36"/>
          <w:szCs w:val="36"/>
        </w:rPr>
        <w:t>2021</w:t>
      </w:r>
      <w:r>
        <w:rPr>
          <w:rFonts w:hint="eastAsia" w:ascii="方正小标宋简体" w:hAnsi="黑体" w:eastAsia="方正小标宋简体" w:cs="方正小标宋简体"/>
          <w:sz w:val="36"/>
          <w:szCs w:val="36"/>
        </w:rPr>
        <w:t>年部门（单位）支出预算总表（表</w:t>
      </w:r>
      <w:r>
        <w:rPr>
          <w:rFonts w:ascii="方正小标宋简体" w:hAnsi="黑体" w:eastAsia="方正小标宋简体" w:cs="方正小标宋简体"/>
          <w:sz w:val="36"/>
          <w:szCs w:val="36"/>
        </w:rPr>
        <w:t>07</w:t>
      </w:r>
      <w:r>
        <w:rPr>
          <w:rFonts w:hint="eastAsia" w:ascii="方正小标宋简体" w:hAnsi="黑体" w:eastAsia="方正小标宋简体" w:cs="方正小标宋简体"/>
          <w:sz w:val="36"/>
          <w:szCs w:val="36"/>
        </w:rPr>
        <w:t>）</w:t>
      </w:r>
    </w:p>
    <w:p>
      <w:pPr>
        <w:spacing w:line="590" w:lineRule="exact"/>
        <w:jc w:val="right"/>
        <w:rPr>
          <w:rFonts w:ascii="方正小标宋简体" w:hAnsi="黑体" w:eastAsia="方正小标宋简体"/>
          <w:sz w:val="36"/>
          <w:szCs w:val="36"/>
        </w:rPr>
      </w:pPr>
      <w:r>
        <w:rPr>
          <w:rFonts w:hint="eastAsia" w:ascii="宋体" w:hAnsi="宋体" w:cs="宋体"/>
          <w:sz w:val="20"/>
          <w:szCs w:val="20"/>
        </w:rPr>
        <w:t>单位：元</w:t>
      </w:r>
    </w:p>
    <w:tbl>
      <w:tblPr>
        <w:tblStyle w:val="7"/>
        <w:tblW w:w="14145" w:type="dxa"/>
        <w:jc w:val="center"/>
        <w:tblInd w:w="0" w:type="dxa"/>
        <w:tblLayout w:type="fixed"/>
        <w:tblCellMar>
          <w:top w:w="0" w:type="dxa"/>
          <w:left w:w="108" w:type="dxa"/>
          <w:bottom w:w="0" w:type="dxa"/>
          <w:right w:w="108" w:type="dxa"/>
        </w:tblCellMar>
      </w:tblPr>
      <w:tblGrid>
        <w:gridCol w:w="4564"/>
        <w:gridCol w:w="1909"/>
        <w:gridCol w:w="1159"/>
        <w:gridCol w:w="1276"/>
        <w:gridCol w:w="1418"/>
        <w:gridCol w:w="1275"/>
        <w:gridCol w:w="898"/>
        <w:gridCol w:w="1646"/>
      </w:tblGrid>
      <w:tr>
        <w:tblPrEx>
          <w:tblLayout w:type="fixed"/>
          <w:tblCellMar>
            <w:top w:w="0" w:type="dxa"/>
            <w:left w:w="108" w:type="dxa"/>
            <w:bottom w:w="0" w:type="dxa"/>
            <w:right w:w="108" w:type="dxa"/>
          </w:tblCellMar>
        </w:tblPrEx>
        <w:trPr>
          <w:trHeight w:val="450" w:hRule="atLeast"/>
          <w:jc w:val="center"/>
        </w:trPr>
        <w:tc>
          <w:tcPr>
            <w:tcW w:w="456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hAnsi="宋体" w:cs="宋体"/>
              </w:rPr>
              <w:t>单位名称</w:t>
            </w:r>
          </w:p>
        </w:tc>
        <w:tc>
          <w:tcPr>
            <w:tcW w:w="3068" w:type="dxa"/>
            <w:gridSpan w:val="2"/>
            <w:tcBorders>
              <w:top w:val="single" w:color="000000" w:sz="4" w:space="0"/>
              <w:left w:val="nil"/>
              <w:bottom w:val="single" w:color="000000" w:sz="4" w:space="0"/>
              <w:right w:val="single" w:color="000000" w:sz="4" w:space="0"/>
            </w:tcBorders>
            <w:vAlign w:val="center"/>
          </w:tcPr>
          <w:p>
            <w:pPr>
              <w:jc w:val="center"/>
            </w:pPr>
            <w:r>
              <w:rPr>
                <w:rFonts w:hint="eastAsia" w:hAnsi="宋体" w:cs="宋体"/>
              </w:rPr>
              <w:t>基本支出</w:t>
            </w:r>
          </w:p>
        </w:tc>
        <w:tc>
          <w:tcPr>
            <w:tcW w:w="1276" w:type="dxa"/>
            <w:vMerge w:val="restart"/>
            <w:tcBorders>
              <w:top w:val="single" w:color="000000" w:sz="4" w:space="0"/>
              <w:left w:val="nil"/>
              <w:bottom w:val="single" w:color="000000" w:sz="4" w:space="0"/>
              <w:right w:val="single" w:color="000000" w:sz="4" w:space="0"/>
            </w:tcBorders>
            <w:vAlign w:val="center"/>
          </w:tcPr>
          <w:p>
            <w:pPr>
              <w:jc w:val="center"/>
            </w:pPr>
            <w:r>
              <w:rPr>
                <w:rFonts w:hint="eastAsia" w:hAnsi="宋体" w:cs="宋体"/>
              </w:rPr>
              <w:t>项目支出</w:t>
            </w:r>
          </w:p>
        </w:tc>
        <w:tc>
          <w:tcPr>
            <w:tcW w:w="1418" w:type="dxa"/>
            <w:vMerge w:val="restart"/>
            <w:tcBorders>
              <w:top w:val="single" w:color="000000" w:sz="4" w:space="0"/>
              <w:left w:val="nil"/>
              <w:bottom w:val="single" w:color="000000" w:sz="4" w:space="0"/>
              <w:right w:val="single" w:color="000000" w:sz="4" w:space="0"/>
            </w:tcBorders>
            <w:vAlign w:val="center"/>
          </w:tcPr>
          <w:p>
            <w:pPr>
              <w:jc w:val="center"/>
            </w:pPr>
            <w:r>
              <w:rPr>
                <w:rFonts w:hint="eastAsia" w:hAnsi="宋体" w:cs="宋体"/>
              </w:rPr>
              <w:t>上缴上级</w:t>
            </w:r>
          </w:p>
          <w:p>
            <w:pPr>
              <w:jc w:val="center"/>
            </w:pPr>
            <w:r>
              <w:rPr>
                <w:rFonts w:hint="eastAsia" w:hAnsi="宋体" w:cs="宋体"/>
              </w:rPr>
              <w:t>支出</w:t>
            </w:r>
          </w:p>
        </w:tc>
        <w:tc>
          <w:tcPr>
            <w:tcW w:w="1275" w:type="dxa"/>
            <w:vMerge w:val="restart"/>
            <w:tcBorders>
              <w:top w:val="single" w:color="000000" w:sz="4" w:space="0"/>
              <w:left w:val="nil"/>
              <w:bottom w:val="single" w:color="000000" w:sz="4" w:space="0"/>
              <w:right w:val="single" w:color="000000" w:sz="4" w:space="0"/>
            </w:tcBorders>
            <w:vAlign w:val="center"/>
          </w:tcPr>
          <w:p>
            <w:pPr>
              <w:jc w:val="center"/>
            </w:pPr>
            <w:r>
              <w:rPr>
                <w:rFonts w:hint="eastAsia" w:hAnsi="宋体" w:cs="宋体"/>
              </w:rPr>
              <w:t>事业单位</w:t>
            </w:r>
          </w:p>
          <w:p>
            <w:pPr>
              <w:jc w:val="center"/>
            </w:pPr>
            <w:r>
              <w:rPr>
                <w:rFonts w:hint="eastAsia" w:hAnsi="宋体" w:cs="宋体"/>
              </w:rPr>
              <w:t>经营支出</w:t>
            </w:r>
          </w:p>
        </w:tc>
        <w:tc>
          <w:tcPr>
            <w:tcW w:w="898" w:type="dxa"/>
            <w:vMerge w:val="restart"/>
            <w:tcBorders>
              <w:top w:val="single" w:color="000000" w:sz="4" w:space="0"/>
              <w:left w:val="nil"/>
              <w:bottom w:val="single" w:color="000000" w:sz="4" w:space="0"/>
              <w:right w:val="single" w:color="000000" w:sz="4" w:space="0"/>
            </w:tcBorders>
            <w:vAlign w:val="center"/>
          </w:tcPr>
          <w:p>
            <w:pPr>
              <w:jc w:val="center"/>
            </w:pPr>
            <w:r>
              <w:rPr>
                <w:rFonts w:hint="eastAsia" w:hAnsi="宋体" w:cs="宋体"/>
              </w:rPr>
              <w:t>税金</w:t>
            </w:r>
          </w:p>
        </w:tc>
        <w:tc>
          <w:tcPr>
            <w:tcW w:w="1646" w:type="dxa"/>
            <w:vMerge w:val="restart"/>
            <w:tcBorders>
              <w:top w:val="single" w:color="000000" w:sz="4" w:space="0"/>
              <w:left w:val="nil"/>
              <w:bottom w:val="single" w:color="000000" w:sz="4" w:space="0"/>
              <w:right w:val="single" w:color="000000" w:sz="4" w:space="0"/>
            </w:tcBorders>
            <w:vAlign w:val="center"/>
          </w:tcPr>
          <w:p>
            <w:pPr>
              <w:jc w:val="center"/>
            </w:pPr>
            <w:r>
              <w:rPr>
                <w:rFonts w:hint="eastAsia" w:hAnsi="宋体" w:cs="宋体"/>
              </w:rPr>
              <w:t>总计</w:t>
            </w:r>
          </w:p>
        </w:tc>
      </w:tr>
      <w:tr>
        <w:tblPrEx>
          <w:tblLayout w:type="fixed"/>
          <w:tblCellMar>
            <w:top w:w="0" w:type="dxa"/>
            <w:left w:w="108" w:type="dxa"/>
            <w:bottom w:w="0" w:type="dxa"/>
            <w:right w:w="108" w:type="dxa"/>
          </w:tblCellMar>
        </w:tblPrEx>
        <w:trPr>
          <w:trHeight w:val="450" w:hRule="atLeast"/>
          <w:jc w:val="center"/>
        </w:trPr>
        <w:tc>
          <w:tcPr>
            <w:tcW w:w="45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1909" w:type="dxa"/>
            <w:tcBorders>
              <w:top w:val="nil"/>
              <w:left w:val="nil"/>
              <w:bottom w:val="single" w:color="000000" w:sz="4" w:space="0"/>
              <w:right w:val="single" w:color="000000" w:sz="4" w:space="0"/>
            </w:tcBorders>
            <w:vAlign w:val="center"/>
          </w:tcPr>
          <w:p>
            <w:pPr>
              <w:jc w:val="center"/>
            </w:pPr>
            <w:r>
              <w:rPr>
                <w:rFonts w:hint="eastAsia" w:hAnsi="宋体" w:cs="宋体"/>
              </w:rPr>
              <w:t>人员支出</w:t>
            </w:r>
          </w:p>
        </w:tc>
        <w:tc>
          <w:tcPr>
            <w:tcW w:w="1159" w:type="dxa"/>
            <w:tcBorders>
              <w:top w:val="nil"/>
              <w:left w:val="nil"/>
              <w:bottom w:val="single" w:color="000000" w:sz="4" w:space="0"/>
              <w:right w:val="single" w:color="000000" w:sz="4" w:space="0"/>
            </w:tcBorders>
            <w:vAlign w:val="center"/>
          </w:tcPr>
          <w:p>
            <w:pPr>
              <w:jc w:val="center"/>
            </w:pPr>
            <w:r>
              <w:rPr>
                <w:rFonts w:hint="eastAsia" w:hAnsi="宋体" w:cs="宋体"/>
              </w:rPr>
              <w:t>其他基本支出</w:t>
            </w:r>
          </w:p>
        </w:tc>
        <w:tc>
          <w:tcPr>
            <w:tcW w:w="1276" w:type="dxa"/>
            <w:vMerge w:val="continue"/>
            <w:tcBorders>
              <w:top w:val="single" w:color="000000" w:sz="4" w:space="0"/>
              <w:left w:val="nil"/>
              <w:bottom w:val="single" w:color="000000" w:sz="4" w:space="0"/>
              <w:right w:val="single" w:color="000000" w:sz="4" w:space="0"/>
            </w:tcBorders>
            <w:vAlign w:val="center"/>
          </w:tcPr>
          <w:p>
            <w:pPr>
              <w:widowControl/>
              <w:jc w:val="left"/>
            </w:pPr>
          </w:p>
        </w:tc>
        <w:tc>
          <w:tcPr>
            <w:tcW w:w="1418" w:type="dxa"/>
            <w:vMerge w:val="continue"/>
            <w:tcBorders>
              <w:top w:val="single" w:color="000000" w:sz="4" w:space="0"/>
              <w:left w:val="nil"/>
              <w:bottom w:val="single" w:color="000000" w:sz="4" w:space="0"/>
              <w:right w:val="single" w:color="000000" w:sz="4" w:space="0"/>
            </w:tcBorders>
            <w:vAlign w:val="center"/>
          </w:tcPr>
          <w:p>
            <w:pPr>
              <w:widowControl/>
              <w:jc w:val="left"/>
            </w:pPr>
          </w:p>
        </w:tc>
        <w:tc>
          <w:tcPr>
            <w:tcW w:w="1275" w:type="dxa"/>
            <w:vMerge w:val="continue"/>
            <w:tcBorders>
              <w:top w:val="single" w:color="000000" w:sz="4" w:space="0"/>
              <w:left w:val="nil"/>
              <w:bottom w:val="single" w:color="000000" w:sz="4" w:space="0"/>
              <w:right w:val="single" w:color="000000" w:sz="4" w:space="0"/>
            </w:tcBorders>
            <w:vAlign w:val="center"/>
          </w:tcPr>
          <w:p>
            <w:pPr>
              <w:widowControl/>
              <w:jc w:val="left"/>
            </w:pPr>
          </w:p>
        </w:tc>
        <w:tc>
          <w:tcPr>
            <w:tcW w:w="898" w:type="dxa"/>
            <w:vMerge w:val="continue"/>
            <w:tcBorders>
              <w:top w:val="single" w:color="000000" w:sz="4" w:space="0"/>
              <w:left w:val="nil"/>
              <w:bottom w:val="single" w:color="000000" w:sz="4" w:space="0"/>
              <w:right w:val="single" w:color="000000" w:sz="4" w:space="0"/>
            </w:tcBorders>
            <w:vAlign w:val="center"/>
          </w:tcPr>
          <w:p>
            <w:pPr>
              <w:widowControl/>
              <w:jc w:val="left"/>
            </w:pPr>
          </w:p>
        </w:tc>
        <w:tc>
          <w:tcPr>
            <w:tcW w:w="1646" w:type="dxa"/>
            <w:vMerge w:val="continue"/>
            <w:tcBorders>
              <w:top w:val="single" w:color="000000" w:sz="4" w:space="0"/>
              <w:left w:val="nil"/>
              <w:bottom w:val="single" w:color="000000" w:sz="4" w:space="0"/>
              <w:right w:val="single" w:color="000000" w:sz="4" w:space="0"/>
            </w:tcBorders>
            <w:vAlign w:val="center"/>
          </w:tcPr>
          <w:p>
            <w:pPr>
              <w:widowControl/>
              <w:jc w:val="left"/>
            </w:pPr>
          </w:p>
        </w:tc>
      </w:tr>
      <w:tr>
        <w:tblPrEx>
          <w:tblLayout w:type="fixed"/>
          <w:tblCellMar>
            <w:top w:w="0" w:type="dxa"/>
            <w:left w:w="108" w:type="dxa"/>
            <w:bottom w:w="0" w:type="dxa"/>
            <w:right w:w="108" w:type="dxa"/>
          </w:tblCellMar>
        </w:tblPrEx>
        <w:trPr>
          <w:trHeight w:val="450" w:hRule="atLeast"/>
          <w:jc w:val="center"/>
        </w:trPr>
        <w:tc>
          <w:tcPr>
            <w:tcW w:w="4564" w:type="dxa"/>
            <w:tcBorders>
              <w:top w:val="nil"/>
              <w:left w:val="single" w:color="000000" w:sz="4" w:space="0"/>
              <w:bottom w:val="single" w:color="000000" w:sz="4" w:space="0"/>
              <w:right w:val="single" w:color="000000" w:sz="4" w:space="0"/>
            </w:tcBorders>
            <w:vAlign w:val="center"/>
          </w:tcPr>
          <w:p>
            <w:pPr>
              <w:widowControl/>
              <w:textAlignment w:val="bottom"/>
              <w:rPr>
                <w:color w:val="000000"/>
              </w:rPr>
            </w:pPr>
            <w:r>
              <w:rPr>
                <w:color w:val="000000"/>
                <w:kern w:val="0"/>
              </w:rPr>
              <w:t>531</w:t>
            </w:r>
            <w:r>
              <w:rPr>
                <w:rFonts w:hint="eastAsia" w:hAnsi="宋体" w:cs="宋体"/>
                <w:color w:val="000000"/>
                <w:kern w:val="0"/>
              </w:rPr>
              <w:t>温岭市住房和城乡建设局</w:t>
            </w:r>
          </w:p>
        </w:tc>
        <w:tc>
          <w:tcPr>
            <w:tcW w:w="1909" w:type="dxa"/>
            <w:tcBorders>
              <w:top w:val="nil"/>
              <w:left w:val="nil"/>
              <w:bottom w:val="single" w:color="000000" w:sz="4" w:space="0"/>
              <w:right w:val="single" w:color="000000" w:sz="4" w:space="0"/>
            </w:tcBorders>
            <w:vAlign w:val="center"/>
          </w:tcPr>
          <w:p>
            <w:pPr>
              <w:ind w:firstLine="210" w:firstLineChars="100"/>
              <w:jc w:val="center"/>
            </w:pPr>
            <w:r>
              <w:t>34291061.4</w:t>
            </w:r>
          </w:p>
        </w:tc>
        <w:tc>
          <w:tcPr>
            <w:tcW w:w="1159" w:type="dxa"/>
            <w:tcBorders>
              <w:top w:val="nil"/>
              <w:left w:val="nil"/>
              <w:bottom w:val="single" w:color="000000" w:sz="4" w:space="0"/>
              <w:right w:val="single" w:color="000000" w:sz="4" w:space="0"/>
            </w:tcBorders>
            <w:vAlign w:val="center"/>
          </w:tcPr>
          <w:p>
            <w:pPr>
              <w:jc w:val="center"/>
            </w:pPr>
            <w:r>
              <w:t>5859320</w:t>
            </w:r>
          </w:p>
        </w:tc>
        <w:tc>
          <w:tcPr>
            <w:tcW w:w="1276" w:type="dxa"/>
            <w:tcBorders>
              <w:top w:val="nil"/>
              <w:left w:val="nil"/>
              <w:bottom w:val="single" w:color="000000" w:sz="4" w:space="0"/>
              <w:right w:val="single" w:color="000000" w:sz="4" w:space="0"/>
            </w:tcBorders>
            <w:vAlign w:val="center"/>
          </w:tcPr>
          <w:p>
            <w:pPr>
              <w:jc w:val="center"/>
            </w:pPr>
            <w:r>
              <w:t>370525889</w:t>
            </w:r>
          </w:p>
        </w:tc>
        <w:tc>
          <w:tcPr>
            <w:tcW w:w="1418" w:type="dxa"/>
            <w:tcBorders>
              <w:top w:val="nil"/>
              <w:left w:val="nil"/>
              <w:bottom w:val="single" w:color="000000" w:sz="4" w:space="0"/>
              <w:right w:val="single" w:color="000000" w:sz="4" w:space="0"/>
            </w:tcBorders>
            <w:vAlign w:val="center"/>
          </w:tcPr>
          <w:p>
            <w:pPr>
              <w:jc w:val="center"/>
            </w:pPr>
          </w:p>
        </w:tc>
        <w:tc>
          <w:tcPr>
            <w:tcW w:w="1275" w:type="dxa"/>
            <w:tcBorders>
              <w:top w:val="nil"/>
              <w:left w:val="nil"/>
              <w:bottom w:val="single" w:color="000000" w:sz="4" w:space="0"/>
              <w:right w:val="single" w:color="000000" w:sz="4" w:space="0"/>
            </w:tcBorders>
            <w:vAlign w:val="center"/>
          </w:tcPr>
          <w:p>
            <w:pPr>
              <w:jc w:val="center"/>
            </w:pPr>
          </w:p>
        </w:tc>
        <w:tc>
          <w:tcPr>
            <w:tcW w:w="898" w:type="dxa"/>
            <w:tcBorders>
              <w:top w:val="nil"/>
              <w:left w:val="nil"/>
              <w:bottom w:val="single" w:color="000000" w:sz="4" w:space="0"/>
              <w:right w:val="single" w:color="000000" w:sz="4" w:space="0"/>
            </w:tcBorders>
            <w:vAlign w:val="center"/>
          </w:tcPr>
          <w:p>
            <w:pPr>
              <w:jc w:val="center"/>
            </w:pPr>
          </w:p>
        </w:tc>
        <w:tc>
          <w:tcPr>
            <w:tcW w:w="1646" w:type="dxa"/>
            <w:tcBorders>
              <w:top w:val="nil"/>
              <w:left w:val="nil"/>
              <w:bottom w:val="single" w:color="000000" w:sz="4" w:space="0"/>
              <w:right w:val="single" w:color="000000" w:sz="4" w:space="0"/>
            </w:tcBorders>
            <w:vAlign w:val="center"/>
          </w:tcPr>
          <w:p>
            <w:pPr>
              <w:jc w:val="center"/>
            </w:pPr>
            <w:r>
              <w:t>410676270.4</w:t>
            </w:r>
          </w:p>
        </w:tc>
      </w:tr>
      <w:tr>
        <w:tblPrEx>
          <w:tblLayout w:type="fixed"/>
          <w:tblCellMar>
            <w:top w:w="0" w:type="dxa"/>
            <w:left w:w="108" w:type="dxa"/>
            <w:bottom w:w="0" w:type="dxa"/>
            <w:right w:w="108" w:type="dxa"/>
          </w:tblCellMar>
        </w:tblPrEx>
        <w:trPr>
          <w:trHeight w:val="450" w:hRule="atLeast"/>
          <w:jc w:val="center"/>
        </w:trPr>
        <w:tc>
          <w:tcPr>
            <w:tcW w:w="4564" w:type="dxa"/>
            <w:tcBorders>
              <w:top w:val="nil"/>
              <w:left w:val="single" w:color="000000" w:sz="4" w:space="0"/>
              <w:bottom w:val="single" w:color="000000" w:sz="4" w:space="0"/>
              <w:right w:val="single" w:color="000000" w:sz="4" w:space="0"/>
            </w:tcBorders>
            <w:vAlign w:val="center"/>
          </w:tcPr>
          <w:p>
            <w:pPr>
              <w:widowControl/>
              <w:ind w:firstLine="210" w:firstLineChars="100"/>
              <w:textAlignment w:val="bottom"/>
              <w:rPr>
                <w:color w:val="000000"/>
              </w:rPr>
            </w:pPr>
            <w:r>
              <w:rPr>
                <w:color w:val="000000"/>
                <w:kern w:val="0"/>
              </w:rPr>
              <w:t>531001</w:t>
            </w:r>
            <w:r>
              <w:rPr>
                <w:rFonts w:hint="eastAsia" w:hAnsi="宋体" w:cs="宋体"/>
                <w:color w:val="000000"/>
                <w:kern w:val="0"/>
              </w:rPr>
              <w:t>温岭市住房和城乡建设局</w:t>
            </w:r>
            <w:r>
              <w:rPr>
                <w:color w:val="000000"/>
                <w:kern w:val="0"/>
              </w:rPr>
              <w:t>(</w:t>
            </w:r>
            <w:r>
              <w:rPr>
                <w:rFonts w:hint="eastAsia" w:hAnsi="宋体" w:cs="宋体"/>
                <w:color w:val="000000"/>
                <w:kern w:val="0"/>
              </w:rPr>
              <w:t>本级</w:t>
            </w:r>
            <w:r>
              <w:rPr>
                <w:color w:val="000000"/>
                <w:kern w:val="0"/>
              </w:rPr>
              <w:t>)</w:t>
            </w:r>
          </w:p>
        </w:tc>
        <w:tc>
          <w:tcPr>
            <w:tcW w:w="1909" w:type="dxa"/>
            <w:tcBorders>
              <w:top w:val="nil"/>
              <w:left w:val="nil"/>
              <w:bottom w:val="single" w:color="000000" w:sz="4" w:space="0"/>
              <w:right w:val="single" w:color="000000" w:sz="4" w:space="0"/>
            </w:tcBorders>
            <w:vAlign w:val="center"/>
          </w:tcPr>
          <w:p>
            <w:pPr>
              <w:ind w:firstLine="210" w:firstLineChars="100"/>
              <w:jc w:val="center"/>
            </w:pPr>
            <w:r>
              <w:t>18166865.92</w:t>
            </w:r>
          </w:p>
        </w:tc>
        <w:tc>
          <w:tcPr>
            <w:tcW w:w="1159" w:type="dxa"/>
            <w:tcBorders>
              <w:top w:val="nil"/>
              <w:left w:val="nil"/>
              <w:bottom w:val="single" w:color="000000" w:sz="4" w:space="0"/>
              <w:right w:val="single" w:color="000000" w:sz="4" w:space="0"/>
            </w:tcBorders>
            <w:vAlign w:val="center"/>
          </w:tcPr>
          <w:p>
            <w:pPr>
              <w:jc w:val="center"/>
            </w:pPr>
            <w:r>
              <w:t>4041320</w:t>
            </w:r>
          </w:p>
        </w:tc>
        <w:tc>
          <w:tcPr>
            <w:tcW w:w="1276" w:type="dxa"/>
            <w:tcBorders>
              <w:top w:val="nil"/>
              <w:left w:val="nil"/>
              <w:bottom w:val="single" w:color="000000" w:sz="4" w:space="0"/>
              <w:right w:val="single" w:color="000000" w:sz="4" w:space="0"/>
            </w:tcBorders>
            <w:vAlign w:val="center"/>
          </w:tcPr>
          <w:p>
            <w:pPr>
              <w:jc w:val="center"/>
            </w:pPr>
            <w:r>
              <w:t>368825889</w:t>
            </w:r>
          </w:p>
        </w:tc>
        <w:tc>
          <w:tcPr>
            <w:tcW w:w="1418" w:type="dxa"/>
            <w:tcBorders>
              <w:top w:val="nil"/>
              <w:left w:val="nil"/>
              <w:bottom w:val="single" w:color="000000" w:sz="4" w:space="0"/>
              <w:right w:val="single" w:color="000000" w:sz="4" w:space="0"/>
            </w:tcBorders>
            <w:vAlign w:val="center"/>
          </w:tcPr>
          <w:p>
            <w:pPr>
              <w:jc w:val="center"/>
            </w:pPr>
          </w:p>
        </w:tc>
        <w:tc>
          <w:tcPr>
            <w:tcW w:w="1275" w:type="dxa"/>
            <w:tcBorders>
              <w:top w:val="nil"/>
              <w:left w:val="nil"/>
              <w:bottom w:val="single" w:color="000000" w:sz="4" w:space="0"/>
              <w:right w:val="single" w:color="000000" w:sz="4" w:space="0"/>
            </w:tcBorders>
            <w:vAlign w:val="center"/>
          </w:tcPr>
          <w:p>
            <w:pPr>
              <w:jc w:val="center"/>
            </w:pPr>
          </w:p>
        </w:tc>
        <w:tc>
          <w:tcPr>
            <w:tcW w:w="898" w:type="dxa"/>
            <w:tcBorders>
              <w:top w:val="nil"/>
              <w:left w:val="nil"/>
              <w:bottom w:val="single" w:color="000000" w:sz="4" w:space="0"/>
              <w:right w:val="single" w:color="000000" w:sz="4" w:space="0"/>
            </w:tcBorders>
            <w:vAlign w:val="center"/>
          </w:tcPr>
          <w:p>
            <w:pPr>
              <w:jc w:val="center"/>
            </w:pPr>
          </w:p>
        </w:tc>
        <w:tc>
          <w:tcPr>
            <w:tcW w:w="1646" w:type="dxa"/>
            <w:tcBorders>
              <w:top w:val="nil"/>
              <w:left w:val="nil"/>
              <w:bottom w:val="single" w:color="000000" w:sz="4" w:space="0"/>
              <w:right w:val="single" w:color="000000" w:sz="4" w:space="0"/>
            </w:tcBorders>
            <w:vAlign w:val="center"/>
          </w:tcPr>
          <w:p>
            <w:pPr>
              <w:jc w:val="center"/>
            </w:pPr>
            <w:r>
              <w:t>391034074.9</w:t>
            </w:r>
          </w:p>
        </w:tc>
      </w:tr>
      <w:tr>
        <w:tblPrEx>
          <w:tblLayout w:type="fixed"/>
          <w:tblCellMar>
            <w:top w:w="0" w:type="dxa"/>
            <w:left w:w="108" w:type="dxa"/>
            <w:bottom w:w="0" w:type="dxa"/>
            <w:right w:w="108" w:type="dxa"/>
          </w:tblCellMar>
        </w:tblPrEx>
        <w:trPr>
          <w:trHeight w:val="450" w:hRule="atLeast"/>
          <w:jc w:val="center"/>
        </w:trPr>
        <w:tc>
          <w:tcPr>
            <w:tcW w:w="4564" w:type="dxa"/>
            <w:tcBorders>
              <w:top w:val="nil"/>
              <w:left w:val="single" w:color="000000" w:sz="4" w:space="0"/>
              <w:bottom w:val="single" w:color="000000" w:sz="4" w:space="0"/>
              <w:right w:val="single" w:color="000000" w:sz="4" w:space="0"/>
            </w:tcBorders>
            <w:vAlign w:val="center"/>
          </w:tcPr>
          <w:p>
            <w:pPr>
              <w:widowControl/>
              <w:ind w:firstLine="210" w:firstLineChars="100"/>
              <w:textAlignment w:val="bottom"/>
              <w:rPr>
                <w:color w:val="000000"/>
              </w:rPr>
            </w:pPr>
            <w:r>
              <w:rPr>
                <w:color w:val="000000"/>
                <w:kern w:val="0"/>
              </w:rPr>
              <w:t>531002</w:t>
            </w:r>
            <w:r>
              <w:rPr>
                <w:rFonts w:hint="eastAsia" w:hAnsi="宋体" w:cs="宋体"/>
                <w:color w:val="000000"/>
                <w:kern w:val="0"/>
              </w:rPr>
              <w:t>温岭市住房保障和房管事务中心</w:t>
            </w:r>
          </w:p>
        </w:tc>
        <w:tc>
          <w:tcPr>
            <w:tcW w:w="1909" w:type="dxa"/>
            <w:tcBorders>
              <w:top w:val="nil"/>
              <w:left w:val="nil"/>
              <w:bottom w:val="single" w:color="000000" w:sz="4" w:space="0"/>
              <w:right w:val="single" w:color="000000" w:sz="4" w:space="0"/>
            </w:tcBorders>
            <w:vAlign w:val="center"/>
          </w:tcPr>
          <w:p>
            <w:pPr>
              <w:ind w:firstLine="210" w:firstLineChars="100"/>
              <w:jc w:val="center"/>
            </w:pPr>
            <w:r>
              <w:t>10471760.2</w:t>
            </w:r>
          </w:p>
        </w:tc>
        <w:tc>
          <w:tcPr>
            <w:tcW w:w="1159" w:type="dxa"/>
            <w:tcBorders>
              <w:top w:val="nil"/>
              <w:left w:val="nil"/>
              <w:bottom w:val="single" w:color="000000" w:sz="4" w:space="0"/>
              <w:right w:val="single" w:color="000000" w:sz="4" w:space="0"/>
            </w:tcBorders>
            <w:vAlign w:val="center"/>
          </w:tcPr>
          <w:p>
            <w:pPr>
              <w:jc w:val="center"/>
            </w:pPr>
            <w:r>
              <w:t>1262200</w:t>
            </w:r>
          </w:p>
        </w:tc>
        <w:tc>
          <w:tcPr>
            <w:tcW w:w="1276" w:type="dxa"/>
            <w:tcBorders>
              <w:top w:val="nil"/>
              <w:left w:val="nil"/>
              <w:bottom w:val="single" w:color="000000" w:sz="4" w:space="0"/>
              <w:right w:val="single" w:color="000000" w:sz="4" w:space="0"/>
            </w:tcBorders>
            <w:vAlign w:val="center"/>
          </w:tcPr>
          <w:p>
            <w:pPr>
              <w:jc w:val="center"/>
            </w:pPr>
            <w:r>
              <w:t>0.00</w:t>
            </w:r>
          </w:p>
        </w:tc>
        <w:tc>
          <w:tcPr>
            <w:tcW w:w="1418" w:type="dxa"/>
            <w:tcBorders>
              <w:top w:val="nil"/>
              <w:left w:val="nil"/>
              <w:bottom w:val="single" w:color="000000" w:sz="4" w:space="0"/>
              <w:right w:val="single" w:color="000000" w:sz="4" w:space="0"/>
            </w:tcBorders>
            <w:vAlign w:val="center"/>
          </w:tcPr>
          <w:p>
            <w:pPr>
              <w:jc w:val="center"/>
            </w:pPr>
          </w:p>
        </w:tc>
        <w:tc>
          <w:tcPr>
            <w:tcW w:w="1275" w:type="dxa"/>
            <w:tcBorders>
              <w:top w:val="nil"/>
              <w:left w:val="nil"/>
              <w:bottom w:val="single" w:color="000000" w:sz="4" w:space="0"/>
              <w:right w:val="single" w:color="000000" w:sz="4" w:space="0"/>
            </w:tcBorders>
            <w:vAlign w:val="center"/>
          </w:tcPr>
          <w:p>
            <w:pPr>
              <w:jc w:val="center"/>
            </w:pPr>
          </w:p>
        </w:tc>
        <w:tc>
          <w:tcPr>
            <w:tcW w:w="898" w:type="dxa"/>
            <w:tcBorders>
              <w:top w:val="nil"/>
              <w:left w:val="nil"/>
              <w:bottom w:val="single" w:color="000000" w:sz="4" w:space="0"/>
              <w:right w:val="single" w:color="000000" w:sz="4" w:space="0"/>
            </w:tcBorders>
            <w:vAlign w:val="center"/>
          </w:tcPr>
          <w:p>
            <w:pPr>
              <w:jc w:val="center"/>
            </w:pPr>
          </w:p>
        </w:tc>
        <w:tc>
          <w:tcPr>
            <w:tcW w:w="1646" w:type="dxa"/>
            <w:tcBorders>
              <w:top w:val="nil"/>
              <w:left w:val="nil"/>
              <w:bottom w:val="single" w:color="000000" w:sz="4" w:space="0"/>
              <w:right w:val="single" w:color="000000" w:sz="4" w:space="0"/>
            </w:tcBorders>
            <w:vAlign w:val="center"/>
          </w:tcPr>
          <w:p>
            <w:pPr>
              <w:jc w:val="center"/>
            </w:pPr>
            <w:r>
              <w:t>11733960.2</w:t>
            </w:r>
          </w:p>
        </w:tc>
      </w:tr>
      <w:tr>
        <w:tblPrEx>
          <w:tblLayout w:type="fixed"/>
          <w:tblCellMar>
            <w:top w:w="0" w:type="dxa"/>
            <w:left w:w="108" w:type="dxa"/>
            <w:bottom w:w="0" w:type="dxa"/>
            <w:right w:w="108" w:type="dxa"/>
          </w:tblCellMar>
        </w:tblPrEx>
        <w:trPr>
          <w:trHeight w:val="450" w:hRule="atLeast"/>
          <w:jc w:val="center"/>
        </w:trPr>
        <w:tc>
          <w:tcPr>
            <w:tcW w:w="4564" w:type="dxa"/>
            <w:tcBorders>
              <w:top w:val="nil"/>
              <w:left w:val="single" w:color="000000" w:sz="4" w:space="0"/>
              <w:bottom w:val="single" w:color="000000" w:sz="4" w:space="0"/>
              <w:right w:val="single" w:color="000000" w:sz="4" w:space="0"/>
            </w:tcBorders>
            <w:vAlign w:val="center"/>
          </w:tcPr>
          <w:p>
            <w:pPr>
              <w:widowControl/>
              <w:ind w:firstLine="210" w:firstLineChars="100"/>
              <w:textAlignment w:val="bottom"/>
              <w:rPr>
                <w:color w:val="000000"/>
              </w:rPr>
            </w:pPr>
            <w:r>
              <w:rPr>
                <w:color w:val="000000"/>
                <w:kern w:val="0"/>
              </w:rPr>
              <w:t>531007</w:t>
            </w:r>
            <w:r>
              <w:rPr>
                <w:rFonts w:hint="eastAsia" w:hAnsi="宋体" w:cs="宋体"/>
                <w:color w:val="000000"/>
                <w:kern w:val="0"/>
              </w:rPr>
              <w:t>温岭市建筑工程质量安全事务中心</w:t>
            </w:r>
          </w:p>
        </w:tc>
        <w:tc>
          <w:tcPr>
            <w:tcW w:w="1909" w:type="dxa"/>
            <w:tcBorders>
              <w:top w:val="nil"/>
              <w:left w:val="nil"/>
              <w:bottom w:val="single" w:color="000000" w:sz="4" w:space="0"/>
              <w:right w:val="single" w:color="000000" w:sz="4" w:space="0"/>
            </w:tcBorders>
            <w:vAlign w:val="center"/>
          </w:tcPr>
          <w:p>
            <w:pPr>
              <w:ind w:firstLine="210" w:firstLineChars="100"/>
              <w:jc w:val="center"/>
            </w:pPr>
            <w:r>
              <w:t>5652435.28</w:t>
            </w:r>
          </w:p>
        </w:tc>
        <w:tc>
          <w:tcPr>
            <w:tcW w:w="1159" w:type="dxa"/>
            <w:tcBorders>
              <w:top w:val="nil"/>
              <w:left w:val="nil"/>
              <w:bottom w:val="single" w:color="000000" w:sz="4" w:space="0"/>
              <w:right w:val="single" w:color="000000" w:sz="4" w:space="0"/>
            </w:tcBorders>
            <w:vAlign w:val="center"/>
          </w:tcPr>
          <w:p>
            <w:pPr>
              <w:jc w:val="center"/>
            </w:pPr>
            <w:r>
              <w:t>555800</w:t>
            </w:r>
          </w:p>
        </w:tc>
        <w:tc>
          <w:tcPr>
            <w:tcW w:w="1276" w:type="dxa"/>
            <w:tcBorders>
              <w:top w:val="nil"/>
              <w:left w:val="nil"/>
              <w:bottom w:val="single" w:color="000000" w:sz="4" w:space="0"/>
              <w:right w:val="single" w:color="000000" w:sz="4" w:space="0"/>
            </w:tcBorders>
            <w:vAlign w:val="center"/>
          </w:tcPr>
          <w:p>
            <w:pPr>
              <w:jc w:val="center"/>
            </w:pPr>
            <w:r>
              <w:t>1700000</w:t>
            </w:r>
          </w:p>
        </w:tc>
        <w:tc>
          <w:tcPr>
            <w:tcW w:w="1418" w:type="dxa"/>
            <w:tcBorders>
              <w:top w:val="nil"/>
              <w:left w:val="nil"/>
              <w:bottom w:val="single" w:color="000000" w:sz="4" w:space="0"/>
              <w:right w:val="single" w:color="000000" w:sz="4" w:space="0"/>
            </w:tcBorders>
            <w:vAlign w:val="center"/>
          </w:tcPr>
          <w:p>
            <w:pPr>
              <w:jc w:val="center"/>
            </w:pPr>
          </w:p>
        </w:tc>
        <w:tc>
          <w:tcPr>
            <w:tcW w:w="1275" w:type="dxa"/>
            <w:tcBorders>
              <w:top w:val="nil"/>
              <w:left w:val="nil"/>
              <w:bottom w:val="single" w:color="000000" w:sz="4" w:space="0"/>
              <w:right w:val="single" w:color="000000" w:sz="4" w:space="0"/>
            </w:tcBorders>
            <w:vAlign w:val="center"/>
          </w:tcPr>
          <w:p>
            <w:pPr>
              <w:jc w:val="center"/>
            </w:pPr>
          </w:p>
        </w:tc>
        <w:tc>
          <w:tcPr>
            <w:tcW w:w="898" w:type="dxa"/>
            <w:tcBorders>
              <w:top w:val="nil"/>
              <w:left w:val="nil"/>
              <w:bottom w:val="single" w:color="000000" w:sz="4" w:space="0"/>
              <w:right w:val="single" w:color="000000" w:sz="4" w:space="0"/>
            </w:tcBorders>
            <w:vAlign w:val="center"/>
          </w:tcPr>
          <w:p>
            <w:pPr>
              <w:jc w:val="center"/>
            </w:pPr>
          </w:p>
        </w:tc>
        <w:tc>
          <w:tcPr>
            <w:tcW w:w="1646" w:type="dxa"/>
            <w:tcBorders>
              <w:top w:val="nil"/>
              <w:left w:val="nil"/>
              <w:bottom w:val="single" w:color="000000" w:sz="4" w:space="0"/>
              <w:right w:val="single" w:color="000000" w:sz="4" w:space="0"/>
            </w:tcBorders>
            <w:vAlign w:val="center"/>
          </w:tcPr>
          <w:p>
            <w:pPr>
              <w:jc w:val="center"/>
            </w:pPr>
            <w:r>
              <w:t>7908235.28</w:t>
            </w:r>
          </w:p>
        </w:tc>
      </w:tr>
    </w:tbl>
    <w:p>
      <w:pPr>
        <w:spacing w:line="580" w:lineRule="exact"/>
        <w:ind w:firstLine="640" w:firstLineChars="200"/>
        <w:rPr>
          <w:rFonts w:ascii="仿宋_GB2312" w:hAnsi="仿宋" w:eastAsia="仿宋_GB2312"/>
          <w:sz w:val="32"/>
          <w:szCs w:val="32"/>
        </w:rPr>
      </w:pPr>
    </w:p>
    <w:p>
      <w:pPr>
        <w:spacing w:line="590" w:lineRule="exact"/>
        <w:rPr>
          <w:rFonts w:ascii="仿宋_GB2312" w:hAnsi="仿宋" w:eastAsia="仿宋_GB2312"/>
          <w:sz w:val="32"/>
          <w:szCs w:val="32"/>
        </w:rPr>
      </w:pPr>
    </w:p>
    <w:p>
      <w:pPr>
        <w:spacing w:line="590" w:lineRule="exact"/>
        <w:rPr>
          <w:rFonts w:ascii="仿宋_GB2312" w:hAnsi="仿宋" w:eastAsia="仿宋_GB2312"/>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spacing w:line="590" w:lineRule="exact"/>
        <w:rPr>
          <w:rFonts w:ascii="仿宋_GB2312" w:eastAsia="仿宋_GB2312"/>
          <w:sz w:val="32"/>
          <w:szCs w:val="32"/>
        </w:rPr>
      </w:pPr>
      <w:r>
        <w:rPr>
          <w:rFonts w:hint="eastAsia" w:ascii="仿宋_GB2312" w:hAnsi="黑体" w:eastAsia="仿宋_GB2312" w:cs="仿宋_GB2312"/>
          <w:sz w:val="32"/>
          <w:szCs w:val="32"/>
        </w:rPr>
        <w:t>附件</w:t>
      </w:r>
      <w:r>
        <w:rPr>
          <w:rFonts w:ascii="仿宋_GB2312" w:hAnsi="黑体" w:eastAsia="仿宋_GB2312" w:cs="仿宋_GB2312"/>
          <w:sz w:val="32"/>
          <w:szCs w:val="32"/>
        </w:rPr>
        <w:t xml:space="preserve">8    </w:t>
      </w:r>
    </w:p>
    <w:p>
      <w:pPr>
        <w:spacing w:line="590" w:lineRule="exact"/>
        <w:ind w:firstLine="712" w:firstLineChars="198"/>
        <w:jc w:val="center"/>
        <w:rPr>
          <w:rFonts w:ascii="方正小标宋简体" w:hAnsi="宋体" w:eastAsia="方正小标宋简体"/>
          <w:sz w:val="36"/>
          <w:szCs w:val="36"/>
        </w:rPr>
      </w:pPr>
      <w:r>
        <w:rPr>
          <w:rFonts w:ascii="方正小标宋简体" w:hAnsi="宋体" w:eastAsia="方正小标宋简体" w:cs="方正小标宋简体"/>
          <w:sz w:val="36"/>
          <w:szCs w:val="36"/>
        </w:rPr>
        <w:t>2021</w:t>
      </w:r>
      <w:r>
        <w:rPr>
          <w:rFonts w:hint="eastAsia" w:ascii="方正小标宋简体" w:hAnsi="宋体" w:eastAsia="方正小标宋简体" w:cs="方正小标宋简体"/>
          <w:sz w:val="36"/>
          <w:szCs w:val="36"/>
        </w:rPr>
        <w:t>年部门（单位）预算支出核定表（表</w:t>
      </w:r>
      <w:r>
        <w:rPr>
          <w:rFonts w:ascii="方正小标宋简体" w:hAnsi="Arial" w:eastAsia="方正小标宋简体" w:cs="方正小标宋简体"/>
          <w:sz w:val="36"/>
          <w:szCs w:val="36"/>
        </w:rPr>
        <w:t>08</w:t>
      </w:r>
      <w:r>
        <w:rPr>
          <w:rFonts w:hint="eastAsia" w:ascii="方正小标宋简体" w:hAnsi="黑体" w:eastAsia="方正小标宋简体" w:cs="方正小标宋简体"/>
          <w:sz w:val="36"/>
          <w:szCs w:val="36"/>
        </w:rPr>
        <w:t>）</w:t>
      </w:r>
    </w:p>
    <w:p>
      <w:pPr>
        <w:ind w:firstLine="356" w:firstLineChars="198"/>
        <w:jc w:val="center"/>
        <w:rPr>
          <w:rFonts w:ascii="宋体"/>
          <w:sz w:val="18"/>
          <w:szCs w:val="18"/>
        </w:rPr>
      </w:pPr>
    </w:p>
    <w:p>
      <w:pPr>
        <w:pStyle w:val="17"/>
        <w:ind w:firstLine="800" w:firstLineChars="400"/>
        <w:jc w:val="right"/>
        <w:rPr>
          <w:rFonts w:ascii="宋体" w:eastAsia="宋体" w:cs="Times New Roman"/>
          <w:sz w:val="18"/>
          <w:szCs w:val="18"/>
        </w:rPr>
      </w:pPr>
      <w:r>
        <w:rPr>
          <w:rFonts w:hint="eastAsia" w:ascii="宋体" w:eastAsia="宋体" w:cs="宋体"/>
          <w:sz w:val="20"/>
          <w:szCs w:val="20"/>
        </w:rPr>
        <w:t>单位：元</w:t>
      </w:r>
    </w:p>
    <w:tbl>
      <w:tblPr>
        <w:tblStyle w:val="7"/>
        <w:tblW w:w="151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5"/>
        <w:gridCol w:w="1374"/>
        <w:gridCol w:w="1430"/>
        <w:gridCol w:w="1350"/>
        <w:gridCol w:w="720"/>
        <w:gridCol w:w="1247"/>
        <w:gridCol w:w="1246"/>
        <w:gridCol w:w="1450"/>
        <w:gridCol w:w="1125"/>
        <w:gridCol w:w="751"/>
        <w:gridCol w:w="1125"/>
        <w:gridCol w:w="644"/>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895" w:type="dxa"/>
            <w:shd w:val="clear" w:color="auto" w:fill="FFFFFF"/>
            <w:vAlign w:val="center"/>
          </w:tcPr>
          <w:p>
            <w:pPr>
              <w:jc w:val="center"/>
              <w:rPr>
                <w:b/>
                <w:bCs/>
                <w:sz w:val="18"/>
                <w:szCs w:val="18"/>
              </w:rPr>
            </w:pPr>
            <w:r>
              <w:rPr>
                <w:rFonts w:hint="eastAsia" w:hAnsi="宋体" w:cs="宋体"/>
                <w:b/>
                <w:bCs/>
                <w:sz w:val="18"/>
                <w:szCs w:val="18"/>
              </w:rPr>
              <w:t>单位名称</w:t>
            </w:r>
            <w:r>
              <w:rPr>
                <w:b/>
                <w:bCs/>
                <w:sz w:val="18"/>
                <w:szCs w:val="18"/>
              </w:rPr>
              <w:t>(</w:t>
            </w:r>
            <w:r>
              <w:rPr>
                <w:rFonts w:hint="eastAsia" w:hAnsi="宋体" w:cs="宋体"/>
                <w:b/>
                <w:bCs/>
                <w:sz w:val="18"/>
                <w:szCs w:val="18"/>
              </w:rPr>
              <w:t>项目类别</w:t>
            </w:r>
            <w:r>
              <w:rPr>
                <w:b/>
                <w:bCs/>
                <w:sz w:val="18"/>
                <w:szCs w:val="18"/>
              </w:rPr>
              <w:t>/</w:t>
            </w:r>
            <w:r>
              <w:rPr>
                <w:rFonts w:hint="eastAsia" w:hAnsi="宋体" w:cs="宋体"/>
                <w:b/>
                <w:bCs/>
                <w:sz w:val="18"/>
                <w:szCs w:val="18"/>
              </w:rPr>
              <w:t>名称</w:t>
            </w:r>
            <w:r>
              <w:rPr>
                <w:b/>
                <w:bCs/>
                <w:sz w:val="18"/>
                <w:szCs w:val="18"/>
              </w:rPr>
              <w:t>)</w:t>
            </w:r>
          </w:p>
        </w:tc>
        <w:tc>
          <w:tcPr>
            <w:tcW w:w="1374" w:type="dxa"/>
            <w:tcBorders>
              <w:left w:val="nil"/>
            </w:tcBorders>
            <w:shd w:val="clear" w:color="auto" w:fill="FFFFFF"/>
            <w:vAlign w:val="center"/>
          </w:tcPr>
          <w:p>
            <w:pPr>
              <w:jc w:val="center"/>
              <w:rPr>
                <w:b/>
                <w:bCs/>
                <w:sz w:val="18"/>
                <w:szCs w:val="18"/>
              </w:rPr>
            </w:pPr>
            <w:r>
              <w:rPr>
                <w:rFonts w:hint="eastAsia" w:hAnsi="宋体" w:cs="宋体"/>
                <w:b/>
                <w:bCs/>
                <w:sz w:val="18"/>
                <w:szCs w:val="18"/>
              </w:rPr>
              <w:t>功能科目名称</w:t>
            </w:r>
          </w:p>
        </w:tc>
        <w:tc>
          <w:tcPr>
            <w:tcW w:w="1430" w:type="dxa"/>
            <w:tcBorders>
              <w:left w:val="nil"/>
            </w:tcBorders>
            <w:shd w:val="clear" w:color="auto" w:fill="FFFFFF"/>
            <w:vAlign w:val="center"/>
          </w:tcPr>
          <w:p>
            <w:pPr>
              <w:jc w:val="center"/>
              <w:rPr>
                <w:b/>
                <w:bCs/>
                <w:sz w:val="18"/>
                <w:szCs w:val="18"/>
              </w:rPr>
            </w:pPr>
            <w:r>
              <w:rPr>
                <w:rFonts w:hint="eastAsia" w:hAnsi="宋体" w:cs="宋体"/>
                <w:b/>
                <w:bCs/>
                <w:sz w:val="18"/>
                <w:szCs w:val="18"/>
              </w:rPr>
              <w:t>合计</w:t>
            </w:r>
          </w:p>
        </w:tc>
        <w:tc>
          <w:tcPr>
            <w:tcW w:w="1350" w:type="dxa"/>
            <w:tcBorders>
              <w:left w:val="nil"/>
            </w:tcBorders>
            <w:shd w:val="clear" w:color="auto" w:fill="FFFFFF"/>
            <w:vAlign w:val="center"/>
          </w:tcPr>
          <w:p>
            <w:pPr>
              <w:spacing w:line="240" w:lineRule="exact"/>
              <w:jc w:val="center"/>
              <w:rPr>
                <w:b/>
                <w:bCs/>
                <w:sz w:val="18"/>
                <w:szCs w:val="18"/>
              </w:rPr>
            </w:pPr>
            <w:r>
              <w:rPr>
                <w:rFonts w:hint="eastAsia" w:hAnsi="宋体" w:cs="宋体"/>
                <w:b/>
                <w:bCs/>
                <w:sz w:val="18"/>
                <w:szCs w:val="18"/>
              </w:rPr>
              <w:t>一般公共预算拨款收入</w:t>
            </w:r>
          </w:p>
        </w:tc>
        <w:tc>
          <w:tcPr>
            <w:tcW w:w="720" w:type="dxa"/>
            <w:tcBorders>
              <w:left w:val="nil"/>
            </w:tcBorders>
            <w:shd w:val="clear" w:color="auto" w:fill="FFFFFF"/>
            <w:vAlign w:val="center"/>
          </w:tcPr>
          <w:p>
            <w:pPr>
              <w:spacing w:line="240" w:lineRule="exact"/>
              <w:jc w:val="center"/>
              <w:rPr>
                <w:b/>
                <w:bCs/>
                <w:sz w:val="18"/>
                <w:szCs w:val="18"/>
              </w:rPr>
            </w:pPr>
            <w:r>
              <w:rPr>
                <w:rFonts w:hint="eastAsia" w:hAnsi="宋体" w:cs="宋体"/>
                <w:b/>
                <w:bCs/>
                <w:sz w:val="18"/>
                <w:szCs w:val="18"/>
              </w:rPr>
              <w:t>政府债券提前告知</w:t>
            </w:r>
          </w:p>
        </w:tc>
        <w:tc>
          <w:tcPr>
            <w:tcW w:w="1247" w:type="dxa"/>
            <w:tcBorders>
              <w:left w:val="nil"/>
            </w:tcBorders>
            <w:shd w:val="clear" w:color="auto" w:fill="FFFFFF"/>
            <w:vAlign w:val="center"/>
          </w:tcPr>
          <w:p>
            <w:pPr>
              <w:spacing w:line="240" w:lineRule="exact"/>
              <w:jc w:val="center"/>
              <w:rPr>
                <w:b/>
                <w:bCs/>
                <w:sz w:val="18"/>
                <w:szCs w:val="18"/>
              </w:rPr>
            </w:pPr>
            <w:r>
              <w:rPr>
                <w:rFonts w:hint="eastAsia" w:hAnsi="宋体" w:cs="宋体"/>
                <w:b/>
                <w:bCs/>
                <w:sz w:val="18"/>
                <w:szCs w:val="18"/>
              </w:rPr>
              <w:t>省补助收入</w:t>
            </w:r>
          </w:p>
        </w:tc>
        <w:tc>
          <w:tcPr>
            <w:tcW w:w="1246" w:type="dxa"/>
            <w:tcBorders>
              <w:left w:val="nil"/>
            </w:tcBorders>
            <w:shd w:val="clear" w:color="auto" w:fill="FFFFFF"/>
            <w:vAlign w:val="center"/>
          </w:tcPr>
          <w:p>
            <w:pPr>
              <w:spacing w:line="240" w:lineRule="exact"/>
              <w:jc w:val="center"/>
              <w:rPr>
                <w:b/>
                <w:bCs/>
                <w:sz w:val="18"/>
                <w:szCs w:val="18"/>
              </w:rPr>
            </w:pPr>
            <w:r>
              <w:rPr>
                <w:rFonts w:hint="eastAsia" w:hAnsi="宋体" w:cs="宋体"/>
                <w:b/>
                <w:bCs/>
                <w:sz w:val="18"/>
                <w:szCs w:val="18"/>
              </w:rPr>
              <w:t>专户收入</w:t>
            </w:r>
          </w:p>
        </w:tc>
        <w:tc>
          <w:tcPr>
            <w:tcW w:w="1450" w:type="dxa"/>
            <w:tcBorders>
              <w:left w:val="nil"/>
            </w:tcBorders>
            <w:shd w:val="clear" w:color="auto" w:fill="FFFFFF"/>
            <w:vAlign w:val="center"/>
          </w:tcPr>
          <w:p>
            <w:pPr>
              <w:spacing w:line="240" w:lineRule="exact"/>
              <w:jc w:val="center"/>
              <w:rPr>
                <w:b/>
                <w:bCs/>
                <w:sz w:val="18"/>
                <w:szCs w:val="18"/>
              </w:rPr>
            </w:pPr>
            <w:r>
              <w:rPr>
                <w:rFonts w:hint="eastAsia" w:hAnsi="宋体" w:cs="宋体"/>
                <w:b/>
                <w:bCs/>
                <w:sz w:val="18"/>
                <w:szCs w:val="18"/>
              </w:rPr>
              <w:t>政府性基金预算拨款</w:t>
            </w:r>
          </w:p>
        </w:tc>
        <w:tc>
          <w:tcPr>
            <w:tcW w:w="1125" w:type="dxa"/>
            <w:tcBorders>
              <w:left w:val="nil"/>
            </w:tcBorders>
            <w:shd w:val="clear" w:color="auto" w:fill="FFFFFF"/>
            <w:vAlign w:val="center"/>
          </w:tcPr>
          <w:p>
            <w:pPr>
              <w:spacing w:line="240" w:lineRule="exact"/>
              <w:jc w:val="center"/>
              <w:rPr>
                <w:b/>
                <w:bCs/>
                <w:sz w:val="18"/>
                <w:szCs w:val="18"/>
              </w:rPr>
            </w:pPr>
            <w:r>
              <w:rPr>
                <w:rFonts w:hint="eastAsia" w:hAnsi="宋体" w:cs="宋体"/>
                <w:b/>
                <w:bCs/>
                <w:sz w:val="18"/>
                <w:szCs w:val="18"/>
              </w:rPr>
              <w:t>其他</w:t>
            </w:r>
          </w:p>
          <w:p>
            <w:pPr>
              <w:spacing w:line="240" w:lineRule="exact"/>
              <w:jc w:val="center"/>
              <w:rPr>
                <w:b/>
                <w:bCs/>
                <w:sz w:val="18"/>
                <w:szCs w:val="18"/>
              </w:rPr>
            </w:pPr>
            <w:r>
              <w:rPr>
                <w:rFonts w:hint="eastAsia" w:hAnsi="宋体" w:cs="宋体"/>
                <w:b/>
                <w:bCs/>
                <w:sz w:val="18"/>
                <w:szCs w:val="18"/>
              </w:rPr>
              <w:t>收入</w:t>
            </w:r>
          </w:p>
        </w:tc>
        <w:tc>
          <w:tcPr>
            <w:tcW w:w="751" w:type="dxa"/>
            <w:tcBorders>
              <w:left w:val="nil"/>
            </w:tcBorders>
            <w:shd w:val="clear" w:color="auto" w:fill="FFFFFF"/>
            <w:vAlign w:val="center"/>
          </w:tcPr>
          <w:p>
            <w:pPr>
              <w:spacing w:line="240" w:lineRule="exact"/>
              <w:jc w:val="center"/>
              <w:rPr>
                <w:b/>
                <w:bCs/>
                <w:sz w:val="18"/>
                <w:szCs w:val="18"/>
              </w:rPr>
            </w:pPr>
            <w:r>
              <w:rPr>
                <w:rFonts w:hint="eastAsia" w:hAnsi="宋体" w:cs="宋体"/>
                <w:b/>
                <w:bCs/>
                <w:sz w:val="18"/>
                <w:szCs w:val="18"/>
              </w:rPr>
              <w:t>镇</w:t>
            </w:r>
            <w:r>
              <w:rPr>
                <w:b/>
                <w:bCs/>
                <w:sz w:val="18"/>
                <w:szCs w:val="18"/>
              </w:rPr>
              <w:t>(</w:t>
            </w:r>
            <w:r>
              <w:rPr>
                <w:rFonts w:hint="eastAsia" w:hAnsi="宋体" w:cs="宋体"/>
                <w:b/>
                <w:bCs/>
                <w:sz w:val="18"/>
                <w:szCs w:val="18"/>
              </w:rPr>
              <w:t>街道</w:t>
            </w:r>
            <w:r>
              <w:rPr>
                <w:b/>
                <w:bCs/>
                <w:sz w:val="18"/>
                <w:szCs w:val="18"/>
              </w:rPr>
              <w:t>)</w:t>
            </w:r>
            <w:r>
              <w:rPr>
                <w:rFonts w:hint="eastAsia" w:hAnsi="宋体" w:cs="宋体"/>
                <w:b/>
                <w:bCs/>
                <w:sz w:val="18"/>
                <w:szCs w:val="18"/>
              </w:rPr>
              <w:t>补助</w:t>
            </w:r>
          </w:p>
        </w:tc>
        <w:tc>
          <w:tcPr>
            <w:tcW w:w="1125" w:type="dxa"/>
            <w:tcBorders>
              <w:left w:val="nil"/>
            </w:tcBorders>
            <w:shd w:val="clear" w:color="auto" w:fill="FFFFFF"/>
            <w:vAlign w:val="center"/>
          </w:tcPr>
          <w:p>
            <w:pPr>
              <w:spacing w:line="240" w:lineRule="exact"/>
              <w:jc w:val="center"/>
              <w:rPr>
                <w:b/>
                <w:bCs/>
                <w:sz w:val="18"/>
                <w:szCs w:val="18"/>
              </w:rPr>
            </w:pPr>
            <w:r>
              <w:rPr>
                <w:rFonts w:hint="eastAsia" w:hAnsi="宋体" w:cs="宋体"/>
                <w:b/>
                <w:bCs/>
                <w:sz w:val="18"/>
                <w:szCs w:val="18"/>
              </w:rPr>
              <w:t>上年结转</w:t>
            </w:r>
          </w:p>
        </w:tc>
        <w:tc>
          <w:tcPr>
            <w:tcW w:w="644" w:type="dxa"/>
            <w:tcBorders>
              <w:left w:val="nil"/>
            </w:tcBorders>
            <w:shd w:val="clear" w:color="auto" w:fill="FFFFFF"/>
            <w:vAlign w:val="center"/>
          </w:tcPr>
          <w:p>
            <w:pPr>
              <w:spacing w:line="240" w:lineRule="exact"/>
              <w:jc w:val="center"/>
              <w:rPr>
                <w:b/>
                <w:bCs/>
                <w:sz w:val="18"/>
                <w:szCs w:val="18"/>
              </w:rPr>
            </w:pPr>
            <w:r>
              <w:rPr>
                <w:rFonts w:hint="eastAsia" w:hAnsi="宋体" w:cs="宋体"/>
                <w:b/>
                <w:bCs/>
                <w:sz w:val="18"/>
                <w:szCs w:val="18"/>
              </w:rPr>
              <w:t>国库</w:t>
            </w:r>
          </w:p>
          <w:p>
            <w:pPr>
              <w:spacing w:line="240" w:lineRule="exact"/>
              <w:jc w:val="center"/>
              <w:rPr>
                <w:b/>
                <w:bCs/>
                <w:sz w:val="18"/>
                <w:szCs w:val="18"/>
              </w:rPr>
            </w:pPr>
            <w:r>
              <w:rPr>
                <w:rFonts w:hint="eastAsia" w:hAnsi="宋体" w:cs="宋体"/>
                <w:b/>
                <w:bCs/>
                <w:sz w:val="18"/>
                <w:szCs w:val="18"/>
              </w:rPr>
              <w:t>其他</w:t>
            </w:r>
          </w:p>
          <w:p>
            <w:pPr>
              <w:spacing w:line="240" w:lineRule="exact"/>
              <w:jc w:val="center"/>
              <w:rPr>
                <w:b/>
                <w:bCs/>
                <w:sz w:val="18"/>
                <w:szCs w:val="18"/>
              </w:rPr>
            </w:pPr>
            <w:r>
              <w:rPr>
                <w:rFonts w:hint="eastAsia" w:hAnsi="宋体" w:cs="宋体"/>
                <w:b/>
                <w:bCs/>
                <w:sz w:val="18"/>
                <w:szCs w:val="18"/>
              </w:rPr>
              <w:t>资金</w:t>
            </w:r>
          </w:p>
        </w:tc>
        <w:tc>
          <w:tcPr>
            <w:tcW w:w="782" w:type="dxa"/>
            <w:tcBorders>
              <w:left w:val="nil"/>
            </w:tcBorders>
            <w:shd w:val="clear" w:color="auto" w:fill="FFFFFF"/>
            <w:vAlign w:val="center"/>
          </w:tcPr>
          <w:p>
            <w:pPr>
              <w:spacing w:line="240" w:lineRule="exact"/>
              <w:jc w:val="center"/>
              <w:rPr>
                <w:b/>
                <w:bCs/>
                <w:sz w:val="18"/>
                <w:szCs w:val="18"/>
              </w:rPr>
            </w:pPr>
            <w:r>
              <w:rPr>
                <w:rFonts w:hint="eastAsia" w:hAnsi="宋体" w:cs="宋体"/>
                <w:b/>
                <w:bCs/>
                <w:sz w:val="18"/>
                <w:szCs w:val="18"/>
              </w:rPr>
              <w:t>国有资本经营预算收入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95" w:type="dxa"/>
            <w:vAlign w:val="center"/>
          </w:tcPr>
          <w:p>
            <w:pPr>
              <w:widowControl/>
              <w:jc w:val="left"/>
              <w:textAlignment w:val="center"/>
              <w:rPr>
                <w:b/>
                <w:bCs/>
                <w:color w:val="000000"/>
                <w:sz w:val="18"/>
                <w:szCs w:val="18"/>
              </w:rPr>
            </w:pPr>
            <w:r>
              <w:rPr>
                <w:rFonts w:hint="eastAsia" w:hAnsi="宋体" w:cs="宋体"/>
                <w:b/>
                <w:bCs/>
                <w:color w:val="000000"/>
                <w:kern w:val="0"/>
                <w:sz w:val="18"/>
                <w:szCs w:val="18"/>
              </w:rPr>
              <w:t>温岭市住房和城乡建设局</w:t>
            </w:r>
          </w:p>
        </w:tc>
        <w:tc>
          <w:tcPr>
            <w:tcW w:w="1374" w:type="dxa"/>
            <w:tcBorders>
              <w:left w:val="nil"/>
            </w:tcBorders>
            <w:vAlign w:val="center"/>
          </w:tcPr>
          <w:p>
            <w:pPr>
              <w:jc w:val="center"/>
              <w:rPr>
                <w:sz w:val="18"/>
                <w:szCs w:val="18"/>
              </w:rPr>
            </w:pPr>
          </w:p>
        </w:tc>
        <w:tc>
          <w:tcPr>
            <w:tcW w:w="1430" w:type="dxa"/>
            <w:tcBorders>
              <w:left w:val="nil"/>
            </w:tcBorders>
            <w:vAlign w:val="center"/>
          </w:tcPr>
          <w:p>
            <w:pPr>
              <w:jc w:val="center"/>
              <w:rPr>
                <w:color w:val="000000"/>
                <w:sz w:val="18"/>
                <w:szCs w:val="18"/>
              </w:rPr>
            </w:pPr>
            <w:r>
              <w:rPr>
                <w:color w:val="000000"/>
                <w:sz w:val="18"/>
                <w:szCs w:val="18"/>
              </w:rPr>
              <w:t>410,676,270.40</w:t>
            </w:r>
          </w:p>
        </w:tc>
        <w:tc>
          <w:tcPr>
            <w:tcW w:w="1350" w:type="dxa"/>
            <w:tcBorders>
              <w:left w:val="nil"/>
            </w:tcBorders>
            <w:vAlign w:val="center"/>
          </w:tcPr>
          <w:p>
            <w:pPr>
              <w:jc w:val="center"/>
              <w:rPr>
                <w:color w:val="000000"/>
                <w:sz w:val="18"/>
                <w:szCs w:val="18"/>
              </w:rPr>
            </w:pPr>
            <w:r>
              <w:rPr>
                <w:color w:val="000000"/>
                <w:sz w:val="18"/>
                <w:szCs w:val="18"/>
              </w:rPr>
              <w:t>139,192,428.84</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1,200,000.00</w:t>
            </w:r>
          </w:p>
        </w:tc>
        <w:tc>
          <w:tcPr>
            <w:tcW w:w="1246" w:type="dxa"/>
            <w:tcBorders>
              <w:left w:val="nil"/>
            </w:tcBorders>
            <w:vAlign w:val="center"/>
          </w:tcPr>
          <w:p>
            <w:pPr>
              <w:jc w:val="center"/>
              <w:rPr>
                <w:color w:val="000000"/>
                <w:sz w:val="18"/>
                <w:szCs w:val="18"/>
              </w:rPr>
            </w:pPr>
            <w:r>
              <w:rPr>
                <w:color w:val="000000"/>
                <w:sz w:val="18"/>
                <w:szCs w:val="18"/>
              </w:rPr>
              <w:t>4,724,741.56</w:t>
            </w:r>
          </w:p>
        </w:tc>
        <w:tc>
          <w:tcPr>
            <w:tcW w:w="1450" w:type="dxa"/>
            <w:tcBorders>
              <w:left w:val="nil"/>
            </w:tcBorders>
            <w:vAlign w:val="center"/>
          </w:tcPr>
          <w:p>
            <w:pPr>
              <w:jc w:val="center"/>
              <w:rPr>
                <w:color w:val="000000"/>
                <w:sz w:val="18"/>
                <w:szCs w:val="18"/>
              </w:rPr>
            </w:pPr>
            <w:r>
              <w:rPr>
                <w:color w:val="000000"/>
                <w:sz w:val="18"/>
                <w:szCs w:val="18"/>
              </w:rPr>
              <w:t>167,791,900.00</w:t>
            </w:r>
          </w:p>
        </w:tc>
        <w:tc>
          <w:tcPr>
            <w:tcW w:w="1125" w:type="dxa"/>
            <w:tcBorders>
              <w:left w:val="nil"/>
            </w:tcBorders>
            <w:vAlign w:val="center"/>
          </w:tcPr>
          <w:p>
            <w:pPr>
              <w:jc w:val="center"/>
              <w:rPr>
                <w:color w:val="000000"/>
                <w:sz w:val="18"/>
                <w:szCs w:val="18"/>
              </w:rPr>
            </w:pPr>
            <w:r>
              <w:rPr>
                <w:color w:val="000000"/>
                <w:sz w:val="18"/>
                <w:szCs w:val="18"/>
              </w:rPr>
              <w:t>95,000,000.00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2,767,200.00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95" w:type="dxa"/>
            <w:vAlign w:val="center"/>
          </w:tcPr>
          <w:p>
            <w:pPr>
              <w:widowControl/>
              <w:jc w:val="left"/>
              <w:textAlignment w:val="center"/>
              <w:rPr>
                <w:b/>
                <w:bCs/>
                <w:color w:val="000000"/>
                <w:sz w:val="18"/>
                <w:szCs w:val="18"/>
              </w:rPr>
            </w:pPr>
            <w:r>
              <w:rPr>
                <w:b/>
                <w:bCs/>
                <w:color w:val="000000"/>
                <w:kern w:val="0"/>
                <w:sz w:val="18"/>
                <w:szCs w:val="18"/>
              </w:rPr>
              <w:t xml:space="preserve"> </w:t>
            </w:r>
            <w:r>
              <w:rPr>
                <w:rFonts w:hint="eastAsia" w:hAnsi="宋体" w:cs="宋体"/>
                <w:b/>
                <w:bCs/>
                <w:color w:val="000000"/>
                <w:kern w:val="0"/>
                <w:sz w:val="18"/>
                <w:szCs w:val="18"/>
              </w:rPr>
              <w:t>温岭市住房和城乡建设局</w:t>
            </w:r>
            <w:r>
              <w:rPr>
                <w:b/>
                <w:bCs/>
                <w:color w:val="000000"/>
                <w:kern w:val="0"/>
                <w:sz w:val="18"/>
                <w:szCs w:val="18"/>
              </w:rPr>
              <w:t>(</w:t>
            </w:r>
            <w:r>
              <w:rPr>
                <w:rFonts w:hint="eastAsia" w:hAnsi="宋体" w:cs="宋体"/>
                <w:b/>
                <w:bCs/>
                <w:color w:val="000000"/>
                <w:kern w:val="0"/>
                <w:sz w:val="18"/>
                <w:szCs w:val="18"/>
              </w:rPr>
              <w:t>本级</w:t>
            </w:r>
            <w:r>
              <w:rPr>
                <w:b/>
                <w:bCs/>
                <w:color w:val="000000"/>
                <w:kern w:val="0"/>
                <w:sz w:val="18"/>
                <w:szCs w:val="18"/>
              </w:rPr>
              <w:t>)</w:t>
            </w:r>
          </w:p>
        </w:tc>
        <w:tc>
          <w:tcPr>
            <w:tcW w:w="1374" w:type="dxa"/>
            <w:tcBorders>
              <w:left w:val="nil"/>
            </w:tcBorders>
            <w:vAlign w:val="center"/>
          </w:tcPr>
          <w:p>
            <w:pPr>
              <w:jc w:val="center"/>
              <w:rPr>
                <w:sz w:val="18"/>
                <w:szCs w:val="18"/>
              </w:rPr>
            </w:pPr>
          </w:p>
        </w:tc>
        <w:tc>
          <w:tcPr>
            <w:tcW w:w="1430" w:type="dxa"/>
            <w:tcBorders>
              <w:left w:val="nil"/>
            </w:tcBorders>
            <w:vAlign w:val="center"/>
          </w:tcPr>
          <w:p>
            <w:pPr>
              <w:jc w:val="center"/>
              <w:rPr>
                <w:color w:val="000000"/>
                <w:sz w:val="18"/>
                <w:szCs w:val="18"/>
              </w:rPr>
            </w:pPr>
            <w:r>
              <w:rPr>
                <w:color w:val="000000"/>
                <w:sz w:val="18"/>
                <w:szCs w:val="18"/>
              </w:rPr>
              <w:t>391,034,074.92</w:t>
            </w:r>
          </w:p>
        </w:tc>
        <w:tc>
          <w:tcPr>
            <w:tcW w:w="1350" w:type="dxa"/>
            <w:tcBorders>
              <w:left w:val="nil"/>
            </w:tcBorders>
            <w:vAlign w:val="center"/>
          </w:tcPr>
          <w:p>
            <w:pPr>
              <w:jc w:val="center"/>
              <w:rPr>
                <w:color w:val="000000"/>
                <w:sz w:val="18"/>
                <w:szCs w:val="18"/>
              </w:rPr>
            </w:pPr>
            <w:r>
              <w:rPr>
                <w:color w:val="000000"/>
                <w:sz w:val="18"/>
                <w:szCs w:val="18"/>
              </w:rPr>
              <w:t>124,274,974.92</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1,200,000.00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167,791,900.00</w:t>
            </w:r>
          </w:p>
        </w:tc>
        <w:tc>
          <w:tcPr>
            <w:tcW w:w="1125" w:type="dxa"/>
            <w:tcBorders>
              <w:left w:val="nil"/>
            </w:tcBorders>
            <w:vAlign w:val="center"/>
          </w:tcPr>
          <w:p>
            <w:pPr>
              <w:jc w:val="center"/>
              <w:rPr>
                <w:color w:val="000000"/>
                <w:sz w:val="18"/>
                <w:szCs w:val="18"/>
              </w:rPr>
            </w:pPr>
            <w:r>
              <w:rPr>
                <w:color w:val="000000"/>
                <w:sz w:val="18"/>
                <w:szCs w:val="18"/>
              </w:rPr>
              <w:t>95,000,000.00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2,767,200.00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95" w:type="dxa"/>
            <w:vAlign w:val="center"/>
          </w:tcPr>
          <w:p>
            <w:pPr>
              <w:widowControl/>
              <w:jc w:val="left"/>
              <w:textAlignment w:val="center"/>
              <w:rPr>
                <w:b/>
                <w:bCs/>
                <w:color w:val="000000"/>
                <w:sz w:val="18"/>
                <w:szCs w:val="18"/>
              </w:rPr>
            </w:pPr>
            <w:r>
              <w:rPr>
                <w:b/>
                <w:bCs/>
                <w:color w:val="000000"/>
                <w:kern w:val="0"/>
                <w:sz w:val="18"/>
                <w:szCs w:val="18"/>
              </w:rPr>
              <w:t xml:space="preserve">  </w:t>
            </w:r>
            <w:r>
              <w:rPr>
                <w:rFonts w:hint="eastAsia" w:hAnsi="宋体" w:cs="宋体"/>
                <w:b/>
                <w:bCs/>
                <w:color w:val="000000"/>
                <w:kern w:val="0"/>
                <w:sz w:val="18"/>
                <w:szCs w:val="18"/>
              </w:rPr>
              <w:t>基本支出</w:t>
            </w:r>
          </w:p>
        </w:tc>
        <w:tc>
          <w:tcPr>
            <w:tcW w:w="1374" w:type="dxa"/>
            <w:tcBorders>
              <w:left w:val="nil"/>
            </w:tcBorders>
            <w:vAlign w:val="center"/>
          </w:tcPr>
          <w:p>
            <w:pPr>
              <w:jc w:val="center"/>
              <w:rPr>
                <w:sz w:val="18"/>
                <w:szCs w:val="18"/>
              </w:rPr>
            </w:pPr>
          </w:p>
        </w:tc>
        <w:tc>
          <w:tcPr>
            <w:tcW w:w="1430" w:type="dxa"/>
            <w:tcBorders>
              <w:left w:val="nil"/>
            </w:tcBorders>
            <w:vAlign w:val="center"/>
          </w:tcPr>
          <w:p>
            <w:pPr>
              <w:jc w:val="center"/>
              <w:rPr>
                <w:color w:val="000000"/>
                <w:sz w:val="18"/>
                <w:szCs w:val="18"/>
              </w:rPr>
            </w:pPr>
            <w:r>
              <w:rPr>
                <w:color w:val="000000"/>
                <w:sz w:val="18"/>
                <w:szCs w:val="18"/>
              </w:rPr>
              <w:t>22,208,185.92</w:t>
            </w:r>
          </w:p>
        </w:tc>
        <w:tc>
          <w:tcPr>
            <w:tcW w:w="1350" w:type="dxa"/>
            <w:tcBorders>
              <w:left w:val="nil"/>
            </w:tcBorders>
            <w:vAlign w:val="center"/>
          </w:tcPr>
          <w:p>
            <w:pPr>
              <w:jc w:val="center"/>
              <w:rPr>
                <w:color w:val="000000"/>
                <w:sz w:val="18"/>
                <w:szCs w:val="18"/>
              </w:rPr>
            </w:pPr>
            <w:r>
              <w:rPr>
                <w:color w:val="000000"/>
                <w:sz w:val="18"/>
                <w:szCs w:val="18"/>
              </w:rPr>
              <w:t>22,208,185.92</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工资福利支出</w:t>
            </w:r>
          </w:p>
        </w:tc>
        <w:tc>
          <w:tcPr>
            <w:tcW w:w="1374" w:type="dxa"/>
            <w:tcBorders>
              <w:left w:val="nil"/>
            </w:tcBorders>
            <w:vAlign w:val="center"/>
          </w:tcPr>
          <w:p>
            <w:pPr>
              <w:widowControl/>
              <w:jc w:val="center"/>
              <w:textAlignment w:val="center"/>
              <w:rPr>
                <w:color w:val="000000"/>
                <w:kern w:val="0"/>
                <w:sz w:val="18"/>
                <w:szCs w:val="18"/>
              </w:rPr>
            </w:pPr>
          </w:p>
        </w:tc>
        <w:tc>
          <w:tcPr>
            <w:tcW w:w="1430" w:type="dxa"/>
            <w:tcBorders>
              <w:left w:val="nil"/>
            </w:tcBorders>
            <w:vAlign w:val="center"/>
          </w:tcPr>
          <w:p>
            <w:pPr>
              <w:jc w:val="center"/>
              <w:rPr>
                <w:color w:val="000000"/>
                <w:sz w:val="18"/>
                <w:szCs w:val="18"/>
              </w:rPr>
            </w:pPr>
            <w:r>
              <w:rPr>
                <w:color w:val="000000"/>
                <w:sz w:val="18"/>
                <w:szCs w:val="18"/>
              </w:rPr>
              <w:t>17,589,980.92</w:t>
            </w:r>
          </w:p>
        </w:tc>
        <w:tc>
          <w:tcPr>
            <w:tcW w:w="1350" w:type="dxa"/>
            <w:tcBorders>
              <w:left w:val="nil"/>
            </w:tcBorders>
            <w:vAlign w:val="center"/>
          </w:tcPr>
          <w:p>
            <w:pPr>
              <w:jc w:val="center"/>
              <w:rPr>
                <w:color w:val="000000"/>
                <w:sz w:val="18"/>
                <w:szCs w:val="18"/>
              </w:rPr>
            </w:pPr>
            <w:r>
              <w:rPr>
                <w:color w:val="000000"/>
                <w:sz w:val="18"/>
                <w:szCs w:val="18"/>
              </w:rPr>
              <w:t>17,589,980.92</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工资福利支出</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机关事业单位基本养老保险缴费支出</w:t>
            </w:r>
          </w:p>
        </w:tc>
        <w:tc>
          <w:tcPr>
            <w:tcW w:w="1430" w:type="dxa"/>
            <w:tcBorders>
              <w:left w:val="nil"/>
            </w:tcBorders>
            <w:vAlign w:val="center"/>
          </w:tcPr>
          <w:p>
            <w:pPr>
              <w:jc w:val="center"/>
              <w:rPr>
                <w:color w:val="000000"/>
                <w:sz w:val="18"/>
                <w:szCs w:val="18"/>
              </w:rPr>
            </w:pPr>
            <w:r>
              <w:rPr>
                <w:color w:val="000000"/>
                <w:sz w:val="18"/>
                <w:szCs w:val="18"/>
              </w:rPr>
              <w:t>1,296,489.28</w:t>
            </w:r>
          </w:p>
        </w:tc>
        <w:tc>
          <w:tcPr>
            <w:tcW w:w="1350" w:type="dxa"/>
            <w:tcBorders>
              <w:left w:val="nil"/>
            </w:tcBorders>
            <w:vAlign w:val="center"/>
          </w:tcPr>
          <w:p>
            <w:pPr>
              <w:jc w:val="center"/>
              <w:rPr>
                <w:color w:val="000000"/>
                <w:sz w:val="18"/>
                <w:szCs w:val="18"/>
              </w:rPr>
            </w:pPr>
            <w:r>
              <w:rPr>
                <w:color w:val="000000"/>
                <w:sz w:val="18"/>
                <w:szCs w:val="18"/>
              </w:rPr>
              <w:t>1,296,489.28</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95" w:type="dxa"/>
            <w:tcBorders>
              <w:top w:val="nil"/>
            </w:tcBorders>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工资福利支出</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机关事业单位职业年金缴费支出</w:t>
            </w:r>
          </w:p>
        </w:tc>
        <w:tc>
          <w:tcPr>
            <w:tcW w:w="1430" w:type="dxa"/>
            <w:tcBorders>
              <w:left w:val="nil"/>
            </w:tcBorders>
            <w:vAlign w:val="center"/>
          </w:tcPr>
          <w:p>
            <w:pPr>
              <w:jc w:val="center"/>
              <w:rPr>
                <w:color w:val="000000"/>
                <w:sz w:val="18"/>
                <w:szCs w:val="18"/>
              </w:rPr>
            </w:pPr>
            <w:r>
              <w:rPr>
                <w:color w:val="000000"/>
                <w:sz w:val="18"/>
                <w:szCs w:val="18"/>
              </w:rPr>
              <w:t>648,244.64</w:t>
            </w:r>
          </w:p>
        </w:tc>
        <w:tc>
          <w:tcPr>
            <w:tcW w:w="1350" w:type="dxa"/>
            <w:tcBorders>
              <w:left w:val="nil"/>
            </w:tcBorders>
            <w:vAlign w:val="center"/>
          </w:tcPr>
          <w:p>
            <w:pPr>
              <w:jc w:val="center"/>
              <w:rPr>
                <w:color w:val="000000"/>
                <w:sz w:val="18"/>
                <w:szCs w:val="18"/>
              </w:rPr>
            </w:pPr>
            <w:r>
              <w:rPr>
                <w:color w:val="000000"/>
                <w:sz w:val="18"/>
                <w:szCs w:val="18"/>
              </w:rPr>
              <w:t>648,244.64</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95" w:type="dxa"/>
            <w:tcBorders>
              <w:top w:val="nil"/>
            </w:tcBorders>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工资福利支出</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其他城乡社区管理事务支出</w:t>
            </w:r>
          </w:p>
        </w:tc>
        <w:tc>
          <w:tcPr>
            <w:tcW w:w="1430" w:type="dxa"/>
            <w:tcBorders>
              <w:left w:val="nil"/>
            </w:tcBorders>
            <w:vAlign w:val="center"/>
          </w:tcPr>
          <w:p>
            <w:pPr>
              <w:jc w:val="center"/>
              <w:rPr>
                <w:color w:val="000000"/>
                <w:sz w:val="18"/>
                <w:szCs w:val="18"/>
              </w:rPr>
            </w:pPr>
            <w:r>
              <w:rPr>
                <w:color w:val="000000"/>
                <w:sz w:val="18"/>
                <w:szCs w:val="18"/>
              </w:rPr>
              <w:t>8,371,770.00</w:t>
            </w:r>
          </w:p>
        </w:tc>
        <w:tc>
          <w:tcPr>
            <w:tcW w:w="1350" w:type="dxa"/>
            <w:tcBorders>
              <w:left w:val="nil"/>
            </w:tcBorders>
            <w:vAlign w:val="center"/>
          </w:tcPr>
          <w:p>
            <w:pPr>
              <w:jc w:val="center"/>
              <w:rPr>
                <w:color w:val="000000"/>
                <w:sz w:val="18"/>
                <w:szCs w:val="18"/>
              </w:rPr>
            </w:pPr>
            <w:r>
              <w:rPr>
                <w:color w:val="000000"/>
                <w:sz w:val="18"/>
                <w:szCs w:val="18"/>
              </w:rPr>
              <w:t>8,371,770.00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95" w:type="dxa"/>
            <w:tcBorders>
              <w:top w:val="nil"/>
            </w:tcBorders>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工资福利支出</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行政运行</w:t>
            </w:r>
          </w:p>
        </w:tc>
        <w:tc>
          <w:tcPr>
            <w:tcW w:w="1430" w:type="dxa"/>
            <w:tcBorders>
              <w:left w:val="nil"/>
            </w:tcBorders>
            <w:vAlign w:val="center"/>
          </w:tcPr>
          <w:p>
            <w:pPr>
              <w:widowControl/>
              <w:jc w:val="center"/>
              <w:textAlignment w:val="center"/>
              <w:rPr>
                <w:color w:val="000000"/>
                <w:sz w:val="18"/>
                <w:szCs w:val="18"/>
              </w:rPr>
            </w:pPr>
            <w:r>
              <w:rPr>
                <w:color w:val="000000"/>
                <w:kern w:val="0"/>
                <w:sz w:val="18"/>
                <w:szCs w:val="18"/>
              </w:rPr>
              <w:t>7,273,477.00</w:t>
            </w:r>
          </w:p>
        </w:tc>
        <w:tc>
          <w:tcPr>
            <w:tcW w:w="1350" w:type="dxa"/>
            <w:tcBorders>
              <w:left w:val="nil"/>
            </w:tcBorders>
            <w:vAlign w:val="center"/>
          </w:tcPr>
          <w:p>
            <w:pPr>
              <w:jc w:val="center"/>
              <w:rPr>
                <w:color w:val="000000"/>
                <w:sz w:val="18"/>
                <w:szCs w:val="18"/>
              </w:rPr>
            </w:pPr>
            <w:r>
              <w:rPr>
                <w:color w:val="000000"/>
                <w:sz w:val="18"/>
                <w:szCs w:val="18"/>
              </w:rPr>
              <w:t>7,273,477.00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95" w:type="dxa"/>
            <w:tcBorders>
              <w:top w:val="nil"/>
            </w:tcBorders>
            <w:vAlign w:val="center"/>
          </w:tcPr>
          <w:p>
            <w:pPr>
              <w:widowControl/>
              <w:jc w:val="left"/>
              <w:textAlignment w:val="center"/>
              <w:rPr>
                <w:b/>
                <w:bCs/>
                <w:color w:val="000000"/>
                <w:sz w:val="18"/>
                <w:szCs w:val="18"/>
              </w:rPr>
            </w:pPr>
            <w:r>
              <w:rPr>
                <w:b/>
                <w:bCs/>
                <w:color w:val="000000"/>
                <w:kern w:val="0"/>
                <w:sz w:val="18"/>
                <w:szCs w:val="18"/>
              </w:rPr>
              <w:t xml:space="preserve">   </w:t>
            </w:r>
            <w:r>
              <w:rPr>
                <w:rFonts w:hint="eastAsia" w:hAnsi="宋体" w:cs="宋体"/>
                <w:b/>
                <w:bCs/>
                <w:color w:val="000000"/>
                <w:kern w:val="0"/>
                <w:sz w:val="18"/>
                <w:szCs w:val="18"/>
              </w:rPr>
              <w:t>其他基本支出</w:t>
            </w:r>
          </w:p>
        </w:tc>
        <w:tc>
          <w:tcPr>
            <w:tcW w:w="1374" w:type="dxa"/>
            <w:tcBorders>
              <w:left w:val="nil"/>
            </w:tcBorders>
            <w:vAlign w:val="center"/>
          </w:tcPr>
          <w:p>
            <w:pPr>
              <w:jc w:val="center"/>
              <w:rPr>
                <w:color w:val="000000"/>
                <w:sz w:val="18"/>
                <w:szCs w:val="18"/>
              </w:rPr>
            </w:pPr>
          </w:p>
        </w:tc>
        <w:tc>
          <w:tcPr>
            <w:tcW w:w="1430" w:type="dxa"/>
            <w:tcBorders>
              <w:left w:val="nil"/>
            </w:tcBorders>
            <w:vAlign w:val="center"/>
          </w:tcPr>
          <w:p>
            <w:pPr>
              <w:jc w:val="center"/>
              <w:rPr>
                <w:color w:val="000000"/>
                <w:sz w:val="18"/>
                <w:szCs w:val="18"/>
              </w:rPr>
            </w:pPr>
            <w:r>
              <w:rPr>
                <w:color w:val="000000"/>
                <w:sz w:val="18"/>
                <w:szCs w:val="18"/>
              </w:rPr>
              <w:t>4,041,320.00</w:t>
            </w:r>
          </w:p>
        </w:tc>
        <w:tc>
          <w:tcPr>
            <w:tcW w:w="1350" w:type="dxa"/>
            <w:tcBorders>
              <w:left w:val="nil"/>
            </w:tcBorders>
            <w:vAlign w:val="center"/>
          </w:tcPr>
          <w:p>
            <w:pPr>
              <w:jc w:val="center"/>
              <w:rPr>
                <w:color w:val="000000"/>
                <w:sz w:val="18"/>
                <w:szCs w:val="18"/>
              </w:rPr>
            </w:pPr>
            <w:r>
              <w:rPr>
                <w:color w:val="000000"/>
                <w:sz w:val="18"/>
                <w:szCs w:val="18"/>
              </w:rPr>
              <w:t>4,041,320.00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95" w:type="dxa"/>
            <w:tcBorders>
              <w:top w:val="nil"/>
            </w:tcBorders>
            <w:vAlign w:val="center"/>
          </w:tcPr>
          <w:p>
            <w:pPr>
              <w:widowControl/>
              <w:jc w:val="left"/>
              <w:textAlignment w:val="center"/>
              <w:rPr>
                <w:b/>
                <w:bCs/>
                <w:color w:val="000000"/>
                <w:sz w:val="18"/>
                <w:szCs w:val="18"/>
              </w:rPr>
            </w:pPr>
            <w:r>
              <w:rPr>
                <w:b/>
                <w:bCs/>
                <w:color w:val="000000"/>
                <w:kern w:val="0"/>
                <w:sz w:val="18"/>
                <w:szCs w:val="18"/>
              </w:rPr>
              <w:t xml:space="preserve">    </w:t>
            </w:r>
            <w:r>
              <w:rPr>
                <w:rFonts w:hint="eastAsia" w:hAnsi="宋体" w:cs="宋体"/>
                <w:b/>
                <w:bCs/>
                <w:color w:val="000000"/>
                <w:kern w:val="0"/>
                <w:sz w:val="18"/>
                <w:szCs w:val="18"/>
              </w:rPr>
              <w:t>其他基本支出</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其他城乡社区管理事务支出</w:t>
            </w:r>
          </w:p>
        </w:tc>
        <w:tc>
          <w:tcPr>
            <w:tcW w:w="1430" w:type="dxa"/>
            <w:tcBorders>
              <w:left w:val="nil"/>
            </w:tcBorders>
            <w:vAlign w:val="center"/>
          </w:tcPr>
          <w:p>
            <w:pPr>
              <w:jc w:val="center"/>
              <w:rPr>
                <w:color w:val="000000"/>
                <w:sz w:val="18"/>
                <w:szCs w:val="18"/>
              </w:rPr>
            </w:pPr>
            <w:r>
              <w:rPr>
                <w:color w:val="000000"/>
                <w:sz w:val="18"/>
                <w:szCs w:val="18"/>
              </w:rPr>
              <w:t>997,200.00</w:t>
            </w:r>
          </w:p>
        </w:tc>
        <w:tc>
          <w:tcPr>
            <w:tcW w:w="1350" w:type="dxa"/>
            <w:tcBorders>
              <w:left w:val="nil"/>
            </w:tcBorders>
            <w:vAlign w:val="center"/>
          </w:tcPr>
          <w:p>
            <w:pPr>
              <w:jc w:val="center"/>
              <w:rPr>
                <w:color w:val="000000"/>
                <w:sz w:val="18"/>
                <w:szCs w:val="18"/>
              </w:rPr>
            </w:pPr>
            <w:r>
              <w:rPr>
                <w:color w:val="000000"/>
                <w:sz w:val="18"/>
                <w:szCs w:val="18"/>
              </w:rPr>
              <w:t>997,200.00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95" w:type="dxa"/>
            <w:tcBorders>
              <w:top w:val="nil"/>
            </w:tcBorders>
            <w:vAlign w:val="center"/>
          </w:tcPr>
          <w:p>
            <w:pPr>
              <w:widowControl/>
              <w:jc w:val="left"/>
              <w:textAlignment w:val="center"/>
              <w:rPr>
                <w:b/>
                <w:bCs/>
                <w:color w:val="000000"/>
                <w:sz w:val="18"/>
                <w:szCs w:val="18"/>
              </w:rPr>
            </w:pPr>
            <w:r>
              <w:rPr>
                <w:b/>
                <w:bCs/>
                <w:color w:val="000000"/>
                <w:kern w:val="0"/>
                <w:sz w:val="18"/>
                <w:szCs w:val="18"/>
              </w:rPr>
              <w:t xml:space="preserve">    </w:t>
            </w:r>
            <w:r>
              <w:rPr>
                <w:rFonts w:hint="eastAsia" w:hAnsi="宋体" w:cs="宋体"/>
                <w:b/>
                <w:bCs/>
                <w:color w:val="000000"/>
                <w:kern w:val="0"/>
                <w:sz w:val="18"/>
                <w:szCs w:val="18"/>
              </w:rPr>
              <w:t>其他基本支出</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行政运行</w:t>
            </w:r>
          </w:p>
        </w:tc>
        <w:tc>
          <w:tcPr>
            <w:tcW w:w="1430" w:type="dxa"/>
            <w:tcBorders>
              <w:left w:val="nil"/>
            </w:tcBorders>
            <w:vAlign w:val="center"/>
          </w:tcPr>
          <w:p>
            <w:pPr>
              <w:jc w:val="center"/>
              <w:rPr>
                <w:color w:val="000000"/>
                <w:sz w:val="18"/>
                <w:szCs w:val="18"/>
              </w:rPr>
            </w:pPr>
            <w:r>
              <w:rPr>
                <w:color w:val="000000"/>
                <w:sz w:val="18"/>
                <w:szCs w:val="18"/>
              </w:rPr>
              <w:t>3,044,120.00</w:t>
            </w:r>
          </w:p>
        </w:tc>
        <w:tc>
          <w:tcPr>
            <w:tcW w:w="1350" w:type="dxa"/>
            <w:tcBorders>
              <w:left w:val="nil"/>
            </w:tcBorders>
            <w:vAlign w:val="center"/>
          </w:tcPr>
          <w:p>
            <w:pPr>
              <w:jc w:val="center"/>
              <w:rPr>
                <w:color w:val="000000"/>
                <w:sz w:val="18"/>
                <w:szCs w:val="18"/>
              </w:rPr>
            </w:pPr>
            <w:r>
              <w:rPr>
                <w:color w:val="000000"/>
                <w:sz w:val="18"/>
                <w:szCs w:val="18"/>
              </w:rPr>
              <w:t>3,044,120.00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95" w:type="dxa"/>
            <w:tcBorders>
              <w:top w:val="nil"/>
            </w:tcBorders>
            <w:vAlign w:val="center"/>
          </w:tcPr>
          <w:p>
            <w:pPr>
              <w:widowControl/>
              <w:jc w:val="left"/>
              <w:textAlignment w:val="center"/>
              <w:rPr>
                <w:b/>
                <w:bCs/>
                <w:color w:val="000000"/>
                <w:sz w:val="18"/>
                <w:szCs w:val="18"/>
              </w:rPr>
            </w:pPr>
            <w:r>
              <w:rPr>
                <w:b/>
                <w:bCs/>
                <w:color w:val="000000"/>
                <w:kern w:val="0"/>
                <w:sz w:val="18"/>
                <w:szCs w:val="18"/>
              </w:rPr>
              <w:t xml:space="preserve">   </w:t>
            </w:r>
            <w:r>
              <w:rPr>
                <w:rFonts w:hint="eastAsia" w:hAnsi="宋体" w:cs="宋体"/>
                <w:b/>
                <w:bCs/>
                <w:color w:val="000000"/>
                <w:kern w:val="0"/>
                <w:sz w:val="18"/>
                <w:szCs w:val="18"/>
              </w:rPr>
              <w:t>对个人和家庭的补助支出</w:t>
            </w:r>
          </w:p>
        </w:tc>
        <w:tc>
          <w:tcPr>
            <w:tcW w:w="1374" w:type="dxa"/>
            <w:tcBorders>
              <w:left w:val="nil"/>
            </w:tcBorders>
            <w:vAlign w:val="center"/>
          </w:tcPr>
          <w:p>
            <w:pPr>
              <w:jc w:val="center"/>
              <w:rPr>
                <w:color w:val="000000"/>
                <w:sz w:val="18"/>
                <w:szCs w:val="18"/>
              </w:rPr>
            </w:pPr>
          </w:p>
        </w:tc>
        <w:tc>
          <w:tcPr>
            <w:tcW w:w="1430" w:type="dxa"/>
            <w:tcBorders>
              <w:left w:val="nil"/>
            </w:tcBorders>
            <w:vAlign w:val="center"/>
          </w:tcPr>
          <w:p>
            <w:pPr>
              <w:jc w:val="center"/>
              <w:rPr>
                <w:color w:val="000000"/>
                <w:sz w:val="18"/>
                <w:szCs w:val="18"/>
              </w:rPr>
            </w:pPr>
            <w:r>
              <w:rPr>
                <w:color w:val="000000"/>
                <w:sz w:val="18"/>
                <w:szCs w:val="18"/>
              </w:rPr>
              <w:t>576,885.00</w:t>
            </w:r>
          </w:p>
        </w:tc>
        <w:tc>
          <w:tcPr>
            <w:tcW w:w="1350" w:type="dxa"/>
            <w:tcBorders>
              <w:left w:val="nil"/>
            </w:tcBorders>
            <w:vAlign w:val="center"/>
          </w:tcPr>
          <w:p>
            <w:pPr>
              <w:jc w:val="center"/>
              <w:rPr>
                <w:color w:val="000000"/>
                <w:sz w:val="18"/>
                <w:szCs w:val="18"/>
              </w:rPr>
            </w:pPr>
            <w:r>
              <w:rPr>
                <w:color w:val="000000"/>
                <w:sz w:val="18"/>
                <w:szCs w:val="18"/>
              </w:rPr>
              <w:t>576,885.00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95" w:type="dxa"/>
            <w:vAlign w:val="center"/>
          </w:tcPr>
          <w:p>
            <w:pPr>
              <w:widowControl/>
              <w:jc w:val="left"/>
              <w:textAlignment w:val="center"/>
              <w:rPr>
                <w:b/>
                <w:bCs/>
                <w:color w:val="000000"/>
                <w:sz w:val="18"/>
                <w:szCs w:val="18"/>
              </w:rPr>
            </w:pPr>
            <w:r>
              <w:rPr>
                <w:b/>
                <w:bCs/>
                <w:color w:val="000000"/>
                <w:kern w:val="0"/>
                <w:sz w:val="18"/>
                <w:szCs w:val="18"/>
              </w:rPr>
              <w:t xml:space="preserve">    </w:t>
            </w:r>
            <w:r>
              <w:rPr>
                <w:rFonts w:hint="eastAsia" w:hAnsi="宋体" w:cs="宋体"/>
                <w:b/>
                <w:bCs/>
                <w:color w:val="000000"/>
                <w:kern w:val="0"/>
                <w:sz w:val="18"/>
                <w:szCs w:val="18"/>
              </w:rPr>
              <w:t>对个人和家庭的补助支出</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其他城乡社区管理事务支出</w:t>
            </w:r>
          </w:p>
        </w:tc>
        <w:tc>
          <w:tcPr>
            <w:tcW w:w="1430" w:type="dxa"/>
            <w:tcBorders>
              <w:left w:val="nil"/>
            </w:tcBorders>
            <w:vAlign w:val="center"/>
          </w:tcPr>
          <w:p>
            <w:pPr>
              <w:jc w:val="center"/>
              <w:rPr>
                <w:color w:val="000000"/>
                <w:sz w:val="18"/>
                <w:szCs w:val="18"/>
              </w:rPr>
            </w:pPr>
            <w:r>
              <w:rPr>
                <w:color w:val="000000"/>
                <w:sz w:val="18"/>
                <w:szCs w:val="18"/>
              </w:rPr>
              <w:t>93,675.00</w:t>
            </w:r>
          </w:p>
        </w:tc>
        <w:tc>
          <w:tcPr>
            <w:tcW w:w="1350" w:type="dxa"/>
            <w:tcBorders>
              <w:left w:val="nil"/>
            </w:tcBorders>
            <w:vAlign w:val="center"/>
          </w:tcPr>
          <w:p>
            <w:pPr>
              <w:jc w:val="center"/>
              <w:rPr>
                <w:color w:val="000000"/>
                <w:sz w:val="18"/>
                <w:szCs w:val="18"/>
              </w:rPr>
            </w:pPr>
            <w:r>
              <w:rPr>
                <w:color w:val="000000"/>
                <w:sz w:val="18"/>
                <w:szCs w:val="18"/>
              </w:rPr>
              <w:t>93,675.00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95" w:type="dxa"/>
            <w:vAlign w:val="center"/>
          </w:tcPr>
          <w:p>
            <w:pPr>
              <w:widowControl/>
              <w:jc w:val="left"/>
              <w:textAlignment w:val="center"/>
              <w:rPr>
                <w:b/>
                <w:bCs/>
                <w:color w:val="000000"/>
                <w:sz w:val="18"/>
                <w:szCs w:val="18"/>
              </w:rPr>
            </w:pPr>
            <w:r>
              <w:rPr>
                <w:b/>
                <w:bCs/>
                <w:color w:val="000000"/>
                <w:kern w:val="0"/>
                <w:sz w:val="18"/>
                <w:szCs w:val="18"/>
              </w:rPr>
              <w:t xml:space="preserve">    </w:t>
            </w:r>
            <w:r>
              <w:rPr>
                <w:rFonts w:hint="eastAsia" w:hAnsi="宋体" w:cs="宋体"/>
                <w:b/>
                <w:bCs/>
                <w:color w:val="000000"/>
                <w:kern w:val="0"/>
                <w:sz w:val="18"/>
                <w:szCs w:val="18"/>
              </w:rPr>
              <w:t>对个人和家庭的补助支出</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行政运行</w:t>
            </w:r>
          </w:p>
        </w:tc>
        <w:tc>
          <w:tcPr>
            <w:tcW w:w="1430" w:type="dxa"/>
            <w:tcBorders>
              <w:left w:val="nil"/>
            </w:tcBorders>
            <w:vAlign w:val="center"/>
          </w:tcPr>
          <w:p>
            <w:pPr>
              <w:jc w:val="center"/>
              <w:rPr>
                <w:color w:val="000000"/>
                <w:sz w:val="18"/>
                <w:szCs w:val="18"/>
              </w:rPr>
            </w:pPr>
            <w:r>
              <w:rPr>
                <w:color w:val="000000"/>
                <w:sz w:val="18"/>
                <w:szCs w:val="18"/>
              </w:rPr>
              <w:t>483,210.00</w:t>
            </w:r>
          </w:p>
        </w:tc>
        <w:tc>
          <w:tcPr>
            <w:tcW w:w="1350" w:type="dxa"/>
            <w:tcBorders>
              <w:left w:val="nil"/>
            </w:tcBorders>
            <w:vAlign w:val="center"/>
          </w:tcPr>
          <w:p>
            <w:pPr>
              <w:jc w:val="center"/>
              <w:rPr>
                <w:color w:val="000000"/>
                <w:sz w:val="18"/>
                <w:szCs w:val="18"/>
              </w:rPr>
            </w:pPr>
            <w:r>
              <w:rPr>
                <w:color w:val="000000"/>
                <w:sz w:val="18"/>
                <w:szCs w:val="18"/>
              </w:rPr>
              <w:t>483,210.00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95" w:type="dxa"/>
            <w:vAlign w:val="center"/>
          </w:tcPr>
          <w:p>
            <w:pPr>
              <w:widowControl/>
              <w:jc w:val="left"/>
              <w:textAlignment w:val="center"/>
              <w:rPr>
                <w:b/>
                <w:bCs/>
                <w:color w:val="000000"/>
                <w:sz w:val="18"/>
                <w:szCs w:val="18"/>
              </w:rPr>
            </w:pPr>
            <w:r>
              <w:rPr>
                <w:b/>
                <w:bCs/>
                <w:color w:val="000000"/>
                <w:kern w:val="0"/>
                <w:sz w:val="18"/>
                <w:szCs w:val="18"/>
              </w:rPr>
              <w:t xml:space="preserve">  </w:t>
            </w:r>
            <w:r>
              <w:rPr>
                <w:rFonts w:hint="eastAsia" w:hAnsi="宋体" w:cs="宋体"/>
                <w:b/>
                <w:bCs/>
                <w:color w:val="000000"/>
                <w:kern w:val="0"/>
                <w:sz w:val="18"/>
                <w:szCs w:val="18"/>
              </w:rPr>
              <w:t>项目支出</w:t>
            </w:r>
          </w:p>
        </w:tc>
        <w:tc>
          <w:tcPr>
            <w:tcW w:w="1374" w:type="dxa"/>
            <w:tcBorders>
              <w:left w:val="nil"/>
            </w:tcBorders>
            <w:vAlign w:val="center"/>
          </w:tcPr>
          <w:p>
            <w:pPr>
              <w:jc w:val="center"/>
              <w:rPr>
                <w:color w:val="000000"/>
                <w:sz w:val="18"/>
                <w:szCs w:val="18"/>
              </w:rPr>
            </w:pPr>
          </w:p>
        </w:tc>
        <w:tc>
          <w:tcPr>
            <w:tcW w:w="1430" w:type="dxa"/>
            <w:tcBorders>
              <w:left w:val="nil"/>
            </w:tcBorders>
            <w:vAlign w:val="center"/>
          </w:tcPr>
          <w:p>
            <w:pPr>
              <w:jc w:val="center"/>
              <w:rPr>
                <w:color w:val="000000"/>
                <w:sz w:val="18"/>
                <w:szCs w:val="18"/>
              </w:rPr>
            </w:pPr>
            <w:r>
              <w:rPr>
                <w:color w:val="000000"/>
                <w:sz w:val="18"/>
                <w:szCs w:val="18"/>
              </w:rPr>
              <w:t>368,825,889.00</w:t>
            </w:r>
          </w:p>
        </w:tc>
        <w:tc>
          <w:tcPr>
            <w:tcW w:w="1350" w:type="dxa"/>
            <w:tcBorders>
              <w:left w:val="nil"/>
            </w:tcBorders>
            <w:vAlign w:val="center"/>
          </w:tcPr>
          <w:p>
            <w:pPr>
              <w:jc w:val="center"/>
              <w:rPr>
                <w:color w:val="000000"/>
                <w:sz w:val="18"/>
                <w:szCs w:val="18"/>
              </w:rPr>
            </w:pPr>
            <w:r>
              <w:rPr>
                <w:color w:val="000000"/>
                <w:sz w:val="18"/>
                <w:szCs w:val="18"/>
              </w:rPr>
              <w:t>102,066,789.00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1,200,000.00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167,791,900.00</w:t>
            </w:r>
          </w:p>
        </w:tc>
        <w:tc>
          <w:tcPr>
            <w:tcW w:w="1125" w:type="dxa"/>
            <w:tcBorders>
              <w:left w:val="nil"/>
            </w:tcBorders>
            <w:vAlign w:val="center"/>
          </w:tcPr>
          <w:p>
            <w:pPr>
              <w:jc w:val="center"/>
              <w:rPr>
                <w:color w:val="000000"/>
                <w:sz w:val="18"/>
                <w:szCs w:val="18"/>
              </w:rPr>
            </w:pPr>
            <w:r>
              <w:rPr>
                <w:color w:val="000000"/>
                <w:sz w:val="18"/>
                <w:szCs w:val="18"/>
              </w:rPr>
              <w:t>95,000,000.00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2,767,200.00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95" w:type="dxa"/>
            <w:vAlign w:val="center"/>
          </w:tcPr>
          <w:p>
            <w:pPr>
              <w:widowControl/>
              <w:jc w:val="left"/>
              <w:textAlignment w:val="center"/>
              <w:rPr>
                <w:b/>
                <w:bCs/>
                <w:color w:val="000000"/>
                <w:sz w:val="18"/>
                <w:szCs w:val="18"/>
              </w:rPr>
            </w:pPr>
            <w:r>
              <w:rPr>
                <w:b/>
                <w:bCs/>
                <w:color w:val="000000"/>
                <w:kern w:val="0"/>
                <w:sz w:val="18"/>
                <w:szCs w:val="18"/>
              </w:rPr>
              <w:t xml:space="preserve">   </w:t>
            </w:r>
            <w:r>
              <w:rPr>
                <w:rFonts w:hint="eastAsia" w:hAnsi="宋体" w:cs="宋体"/>
                <w:b/>
                <w:bCs/>
                <w:color w:val="000000"/>
                <w:kern w:val="0"/>
                <w:sz w:val="18"/>
                <w:szCs w:val="18"/>
              </w:rPr>
              <w:t>专项公用类项目支出</w:t>
            </w:r>
          </w:p>
        </w:tc>
        <w:tc>
          <w:tcPr>
            <w:tcW w:w="1374" w:type="dxa"/>
            <w:tcBorders>
              <w:left w:val="nil"/>
            </w:tcBorders>
            <w:vAlign w:val="center"/>
          </w:tcPr>
          <w:p>
            <w:pPr>
              <w:jc w:val="center"/>
              <w:rPr>
                <w:color w:val="000000"/>
                <w:sz w:val="18"/>
                <w:szCs w:val="18"/>
              </w:rPr>
            </w:pPr>
          </w:p>
        </w:tc>
        <w:tc>
          <w:tcPr>
            <w:tcW w:w="1430" w:type="dxa"/>
            <w:tcBorders>
              <w:left w:val="nil"/>
            </w:tcBorders>
            <w:vAlign w:val="center"/>
          </w:tcPr>
          <w:p>
            <w:pPr>
              <w:jc w:val="center"/>
              <w:rPr>
                <w:color w:val="000000"/>
                <w:sz w:val="18"/>
                <w:szCs w:val="18"/>
              </w:rPr>
            </w:pPr>
            <w:r>
              <w:rPr>
                <w:color w:val="000000"/>
                <w:sz w:val="18"/>
                <w:szCs w:val="18"/>
              </w:rPr>
              <w:t>4,176,000.00</w:t>
            </w:r>
          </w:p>
        </w:tc>
        <w:tc>
          <w:tcPr>
            <w:tcW w:w="1350" w:type="dxa"/>
            <w:tcBorders>
              <w:left w:val="nil"/>
            </w:tcBorders>
            <w:vAlign w:val="center"/>
          </w:tcPr>
          <w:p>
            <w:pPr>
              <w:jc w:val="center"/>
              <w:rPr>
                <w:color w:val="000000"/>
                <w:sz w:val="18"/>
                <w:szCs w:val="18"/>
              </w:rPr>
            </w:pPr>
            <w:r>
              <w:rPr>
                <w:color w:val="000000"/>
                <w:sz w:val="18"/>
                <w:szCs w:val="18"/>
              </w:rPr>
              <w:t>4,176,000.00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895" w:type="dxa"/>
            <w:vAlign w:val="center"/>
          </w:tcPr>
          <w:p>
            <w:pPr>
              <w:widowControl/>
              <w:jc w:val="left"/>
              <w:textAlignment w:val="center"/>
              <w:rPr>
                <w:b/>
                <w:bCs/>
                <w:color w:val="000000"/>
                <w:sz w:val="18"/>
                <w:szCs w:val="18"/>
              </w:rPr>
            </w:pPr>
            <w:r>
              <w:rPr>
                <w:b/>
                <w:bCs/>
                <w:color w:val="000000"/>
                <w:kern w:val="0"/>
                <w:sz w:val="18"/>
                <w:szCs w:val="18"/>
              </w:rPr>
              <w:t xml:space="preserve">    </w:t>
            </w:r>
            <w:r>
              <w:rPr>
                <w:rFonts w:hint="eastAsia" w:hAnsi="宋体" w:cs="宋体"/>
                <w:b/>
                <w:bCs/>
                <w:color w:val="000000"/>
                <w:kern w:val="0"/>
                <w:sz w:val="18"/>
                <w:szCs w:val="18"/>
              </w:rPr>
              <w:t>白蚁防治费</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其他城乡社区管理事务支出</w:t>
            </w:r>
          </w:p>
        </w:tc>
        <w:tc>
          <w:tcPr>
            <w:tcW w:w="1430" w:type="dxa"/>
            <w:tcBorders>
              <w:left w:val="nil"/>
            </w:tcBorders>
            <w:vAlign w:val="center"/>
          </w:tcPr>
          <w:p>
            <w:pPr>
              <w:jc w:val="center"/>
              <w:rPr>
                <w:color w:val="000000"/>
                <w:sz w:val="18"/>
                <w:szCs w:val="18"/>
              </w:rPr>
            </w:pPr>
            <w:r>
              <w:rPr>
                <w:color w:val="000000"/>
                <w:sz w:val="18"/>
                <w:szCs w:val="18"/>
              </w:rPr>
              <w:t>538,000.00</w:t>
            </w:r>
          </w:p>
        </w:tc>
        <w:tc>
          <w:tcPr>
            <w:tcW w:w="1350" w:type="dxa"/>
            <w:tcBorders>
              <w:left w:val="nil"/>
            </w:tcBorders>
            <w:vAlign w:val="center"/>
          </w:tcPr>
          <w:p>
            <w:pPr>
              <w:jc w:val="center"/>
              <w:rPr>
                <w:color w:val="000000"/>
                <w:sz w:val="18"/>
                <w:szCs w:val="18"/>
              </w:rPr>
            </w:pPr>
            <w:r>
              <w:rPr>
                <w:color w:val="000000"/>
                <w:sz w:val="18"/>
                <w:szCs w:val="18"/>
              </w:rPr>
              <w:t>538,000.00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vAlign w:val="center"/>
          </w:tcPr>
          <w:p>
            <w:pPr>
              <w:widowControl/>
              <w:jc w:val="left"/>
              <w:textAlignment w:val="center"/>
              <w:rPr>
                <w:b/>
                <w:bCs/>
                <w:color w:val="000000"/>
                <w:sz w:val="18"/>
                <w:szCs w:val="18"/>
              </w:rPr>
            </w:pPr>
            <w:r>
              <w:rPr>
                <w:b/>
                <w:bCs/>
                <w:color w:val="000000"/>
                <w:kern w:val="0"/>
                <w:sz w:val="18"/>
                <w:szCs w:val="18"/>
              </w:rPr>
              <w:t xml:space="preserve">    </w:t>
            </w:r>
            <w:r>
              <w:rPr>
                <w:rFonts w:hint="eastAsia" w:hAnsi="宋体" w:cs="宋体"/>
                <w:b/>
                <w:bCs/>
                <w:color w:val="000000"/>
                <w:kern w:val="0"/>
                <w:sz w:val="18"/>
                <w:szCs w:val="18"/>
              </w:rPr>
              <w:t>城建档案馆日常运行经费</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其他城乡社区管理事务支出</w:t>
            </w:r>
          </w:p>
        </w:tc>
        <w:tc>
          <w:tcPr>
            <w:tcW w:w="1430" w:type="dxa"/>
            <w:tcBorders>
              <w:left w:val="nil"/>
            </w:tcBorders>
            <w:vAlign w:val="center"/>
          </w:tcPr>
          <w:p>
            <w:pPr>
              <w:jc w:val="center"/>
              <w:rPr>
                <w:color w:val="000000"/>
                <w:sz w:val="18"/>
                <w:szCs w:val="18"/>
              </w:rPr>
            </w:pPr>
            <w:r>
              <w:rPr>
                <w:color w:val="000000"/>
                <w:sz w:val="18"/>
                <w:szCs w:val="18"/>
              </w:rPr>
              <w:t>780,000.00</w:t>
            </w:r>
          </w:p>
        </w:tc>
        <w:tc>
          <w:tcPr>
            <w:tcW w:w="1350" w:type="dxa"/>
            <w:tcBorders>
              <w:left w:val="nil"/>
            </w:tcBorders>
            <w:vAlign w:val="center"/>
          </w:tcPr>
          <w:p>
            <w:pPr>
              <w:jc w:val="center"/>
              <w:rPr>
                <w:color w:val="000000"/>
                <w:sz w:val="18"/>
                <w:szCs w:val="18"/>
              </w:rPr>
            </w:pPr>
            <w:r>
              <w:rPr>
                <w:color w:val="000000"/>
                <w:sz w:val="18"/>
                <w:szCs w:val="18"/>
              </w:rPr>
              <w:t>780,000.00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vAlign w:val="center"/>
          </w:tcPr>
          <w:p>
            <w:pPr>
              <w:widowControl/>
              <w:jc w:val="left"/>
              <w:textAlignment w:val="center"/>
              <w:rPr>
                <w:b/>
                <w:bCs/>
                <w:color w:val="000000"/>
                <w:sz w:val="18"/>
                <w:szCs w:val="18"/>
              </w:rPr>
            </w:pPr>
            <w:r>
              <w:rPr>
                <w:b/>
                <w:bCs/>
                <w:color w:val="000000"/>
                <w:kern w:val="0"/>
                <w:sz w:val="18"/>
                <w:szCs w:val="18"/>
              </w:rPr>
              <w:t xml:space="preserve">    </w:t>
            </w:r>
            <w:r>
              <w:rPr>
                <w:rFonts w:hint="eastAsia" w:hAnsi="宋体" w:cs="宋体"/>
                <w:b/>
                <w:bCs/>
                <w:color w:val="000000"/>
                <w:kern w:val="0"/>
                <w:sz w:val="18"/>
                <w:szCs w:val="18"/>
              </w:rPr>
              <w:t>大楼物业管理费</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其他城乡社区管理事务支出</w:t>
            </w:r>
          </w:p>
        </w:tc>
        <w:tc>
          <w:tcPr>
            <w:tcW w:w="1430" w:type="dxa"/>
            <w:tcBorders>
              <w:left w:val="nil"/>
            </w:tcBorders>
            <w:vAlign w:val="center"/>
          </w:tcPr>
          <w:p>
            <w:pPr>
              <w:jc w:val="center"/>
              <w:rPr>
                <w:color w:val="000000"/>
                <w:sz w:val="18"/>
                <w:szCs w:val="18"/>
              </w:rPr>
            </w:pPr>
            <w:r>
              <w:rPr>
                <w:color w:val="000000"/>
                <w:sz w:val="18"/>
                <w:szCs w:val="18"/>
              </w:rPr>
              <w:t>902,000.00</w:t>
            </w:r>
          </w:p>
        </w:tc>
        <w:tc>
          <w:tcPr>
            <w:tcW w:w="1350" w:type="dxa"/>
            <w:tcBorders>
              <w:left w:val="nil"/>
            </w:tcBorders>
            <w:vAlign w:val="center"/>
          </w:tcPr>
          <w:p>
            <w:pPr>
              <w:jc w:val="center"/>
              <w:rPr>
                <w:color w:val="000000"/>
                <w:sz w:val="18"/>
                <w:szCs w:val="18"/>
              </w:rPr>
            </w:pPr>
            <w:r>
              <w:rPr>
                <w:color w:val="000000"/>
                <w:sz w:val="18"/>
                <w:szCs w:val="18"/>
              </w:rPr>
              <w:t>902,000.00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vAlign w:val="center"/>
          </w:tcPr>
          <w:p>
            <w:pPr>
              <w:widowControl/>
              <w:jc w:val="left"/>
              <w:textAlignment w:val="center"/>
              <w:rPr>
                <w:b/>
                <w:bCs/>
                <w:color w:val="000000"/>
                <w:sz w:val="18"/>
                <w:szCs w:val="18"/>
              </w:rPr>
            </w:pPr>
            <w:r>
              <w:rPr>
                <w:b/>
                <w:bCs/>
                <w:color w:val="000000"/>
                <w:kern w:val="0"/>
                <w:sz w:val="18"/>
                <w:szCs w:val="18"/>
              </w:rPr>
              <w:t xml:space="preserve">    </w:t>
            </w:r>
            <w:r>
              <w:rPr>
                <w:rFonts w:hint="eastAsia" w:hAnsi="宋体" w:cs="宋体"/>
                <w:b/>
                <w:bCs/>
                <w:color w:val="000000"/>
                <w:kern w:val="0"/>
                <w:sz w:val="18"/>
                <w:szCs w:val="18"/>
              </w:rPr>
              <w:t>培训及安全生产</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其他城乡社区管理事务支出</w:t>
            </w:r>
          </w:p>
        </w:tc>
        <w:tc>
          <w:tcPr>
            <w:tcW w:w="1430" w:type="dxa"/>
            <w:tcBorders>
              <w:left w:val="nil"/>
            </w:tcBorders>
            <w:vAlign w:val="center"/>
          </w:tcPr>
          <w:p>
            <w:pPr>
              <w:jc w:val="center"/>
              <w:rPr>
                <w:color w:val="000000"/>
                <w:sz w:val="18"/>
                <w:szCs w:val="18"/>
              </w:rPr>
            </w:pPr>
            <w:r>
              <w:rPr>
                <w:color w:val="000000"/>
                <w:sz w:val="18"/>
                <w:szCs w:val="18"/>
              </w:rPr>
              <w:t>150,000.00</w:t>
            </w:r>
          </w:p>
        </w:tc>
        <w:tc>
          <w:tcPr>
            <w:tcW w:w="1350" w:type="dxa"/>
            <w:tcBorders>
              <w:left w:val="nil"/>
            </w:tcBorders>
            <w:vAlign w:val="center"/>
          </w:tcPr>
          <w:p>
            <w:pPr>
              <w:jc w:val="center"/>
              <w:rPr>
                <w:color w:val="000000"/>
                <w:sz w:val="18"/>
                <w:szCs w:val="18"/>
              </w:rPr>
            </w:pPr>
            <w:r>
              <w:rPr>
                <w:color w:val="000000"/>
                <w:sz w:val="18"/>
                <w:szCs w:val="18"/>
              </w:rPr>
              <w:t>150,000.00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vAlign w:val="center"/>
          </w:tcPr>
          <w:p>
            <w:pPr>
              <w:widowControl/>
              <w:jc w:val="left"/>
              <w:textAlignment w:val="center"/>
              <w:rPr>
                <w:b/>
                <w:bCs/>
                <w:color w:val="000000"/>
                <w:sz w:val="18"/>
                <w:szCs w:val="18"/>
              </w:rPr>
            </w:pPr>
            <w:r>
              <w:rPr>
                <w:b/>
                <w:bCs/>
                <w:color w:val="000000"/>
                <w:kern w:val="0"/>
                <w:sz w:val="18"/>
                <w:szCs w:val="18"/>
              </w:rPr>
              <w:t xml:space="preserve">    </w:t>
            </w:r>
            <w:r>
              <w:rPr>
                <w:rFonts w:hint="eastAsia" w:hAnsi="宋体" w:cs="宋体"/>
                <w:b/>
                <w:bCs/>
                <w:color w:val="000000"/>
                <w:kern w:val="0"/>
                <w:sz w:val="18"/>
                <w:szCs w:val="18"/>
              </w:rPr>
              <w:t>人防工程管理费用</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其他城乡社区管理事务支出</w:t>
            </w:r>
          </w:p>
        </w:tc>
        <w:tc>
          <w:tcPr>
            <w:tcW w:w="1430" w:type="dxa"/>
            <w:tcBorders>
              <w:left w:val="nil"/>
            </w:tcBorders>
            <w:vAlign w:val="center"/>
          </w:tcPr>
          <w:p>
            <w:pPr>
              <w:jc w:val="center"/>
              <w:rPr>
                <w:color w:val="000000"/>
                <w:sz w:val="18"/>
                <w:szCs w:val="18"/>
              </w:rPr>
            </w:pPr>
            <w:r>
              <w:rPr>
                <w:color w:val="000000"/>
                <w:sz w:val="18"/>
                <w:szCs w:val="18"/>
              </w:rPr>
              <w:t>380,000.00</w:t>
            </w:r>
          </w:p>
        </w:tc>
        <w:tc>
          <w:tcPr>
            <w:tcW w:w="1350" w:type="dxa"/>
            <w:tcBorders>
              <w:left w:val="nil"/>
            </w:tcBorders>
            <w:vAlign w:val="center"/>
          </w:tcPr>
          <w:p>
            <w:pPr>
              <w:jc w:val="center"/>
              <w:rPr>
                <w:color w:val="000000"/>
                <w:sz w:val="18"/>
                <w:szCs w:val="18"/>
              </w:rPr>
            </w:pPr>
            <w:r>
              <w:rPr>
                <w:color w:val="000000"/>
                <w:sz w:val="18"/>
                <w:szCs w:val="18"/>
              </w:rPr>
              <w:t>380,000.00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vAlign w:val="center"/>
          </w:tcPr>
          <w:p>
            <w:pPr>
              <w:widowControl/>
              <w:jc w:val="left"/>
              <w:textAlignment w:val="center"/>
              <w:rPr>
                <w:b/>
                <w:bCs/>
                <w:color w:val="000000"/>
                <w:sz w:val="18"/>
                <w:szCs w:val="18"/>
              </w:rPr>
            </w:pPr>
            <w:r>
              <w:rPr>
                <w:b/>
                <w:bCs/>
                <w:color w:val="000000"/>
                <w:kern w:val="0"/>
                <w:sz w:val="18"/>
                <w:szCs w:val="18"/>
              </w:rPr>
              <w:t xml:space="preserve">    </w:t>
            </w:r>
            <w:r>
              <w:rPr>
                <w:rFonts w:hint="eastAsia" w:hAnsi="宋体" w:cs="宋体"/>
                <w:b/>
                <w:bCs/>
                <w:color w:val="000000"/>
                <w:kern w:val="0"/>
                <w:sz w:val="18"/>
                <w:szCs w:val="18"/>
              </w:rPr>
              <w:t>市政工程质量监督</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其他城乡社区管理事务支出</w:t>
            </w:r>
          </w:p>
        </w:tc>
        <w:tc>
          <w:tcPr>
            <w:tcW w:w="1430" w:type="dxa"/>
            <w:tcBorders>
              <w:left w:val="nil"/>
            </w:tcBorders>
            <w:vAlign w:val="center"/>
          </w:tcPr>
          <w:p>
            <w:pPr>
              <w:jc w:val="center"/>
              <w:rPr>
                <w:color w:val="000000"/>
                <w:sz w:val="18"/>
                <w:szCs w:val="18"/>
              </w:rPr>
            </w:pPr>
            <w:r>
              <w:rPr>
                <w:color w:val="000000"/>
                <w:sz w:val="18"/>
                <w:szCs w:val="18"/>
              </w:rPr>
              <w:t>217,000.00</w:t>
            </w:r>
          </w:p>
        </w:tc>
        <w:tc>
          <w:tcPr>
            <w:tcW w:w="1350" w:type="dxa"/>
            <w:tcBorders>
              <w:left w:val="nil"/>
            </w:tcBorders>
            <w:vAlign w:val="center"/>
          </w:tcPr>
          <w:p>
            <w:pPr>
              <w:jc w:val="center"/>
              <w:rPr>
                <w:color w:val="000000"/>
                <w:sz w:val="18"/>
                <w:szCs w:val="18"/>
              </w:rPr>
            </w:pPr>
            <w:r>
              <w:rPr>
                <w:color w:val="000000"/>
                <w:sz w:val="18"/>
                <w:szCs w:val="18"/>
              </w:rPr>
              <w:t>217,000.00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vAlign w:val="center"/>
          </w:tcPr>
          <w:p>
            <w:pPr>
              <w:widowControl/>
              <w:jc w:val="left"/>
              <w:textAlignment w:val="center"/>
              <w:rPr>
                <w:b/>
                <w:bCs/>
                <w:color w:val="000000"/>
                <w:sz w:val="18"/>
                <w:szCs w:val="18"/>
              </w:rPr>
            </w:pPr>
            <w:r>
              <w:rPr>
                <w:b/>
                <w:bCs/>
                <w:color w:val="000000"/>
                <w:kern w:val="0"/>
                <w:sz w:val="18"/>
                <w:szCs w:val="18"/>
              </w:rPr>
              <w:t xml:space="preserve">    </w:t>
            </w:r>
            <w:r>
              <w:rPr>
                <w:rFonts w:hint="eastAsia" w:hAnsi="宋体" w:cs="宋体"/>
                <w:b/>
                <w:bCs/>
                <w:color w:val="000000"/>
                <w:kern w:val="0"/>
                <w:sz w:val="18"/>
                <w:szCs w:val="18"/>
              </w:rPr>
              <w:t>信息化运行与维护费</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其他城乡社区公共设施支出</w:t>
            </w:r>
          </w:p>
        </w:tc>
        <w:tc>
          <w:tcPr>
            <w:tcW w:w="1430" w:type="dxa"/>
            <w:tcBorders>
              <w:left w:val="nil"/>
            </w:tcBorders>
            <w:vAlign w:val="center"/>
          </w:tcPr>
          <w:p>
            <w:pPr>
              <w:jc w:val="center"/>
              <w:rPr>
                <w:color w:val="000000"/>
                <w:sz w:val="18"/>
                <w:szCs w:val="18"/>
              </w:rPr>
            </w:pPr>
            <w:r>
              <w:rPr>
                <w:color w:val="000000"/>
                <w:sz w:val="18"/>
                <w:szCs w:val="18"/>
              </w:rPr>
              <w:t>829,000.00</w:t>
            </w:r>
          </w:p>
        </w:tc>
        <w:tc>
          <w:tcPr>
            <w:tcW w:w="1350" w:type="dxa"/>
            <w:tcBorders>
              <w:left w:val="nil"/>
            </w:tcBorders>
            <w:vAlign w:val="center"/>
          </w:tcPr>
          <w:p>
            <w:pPr>
              <w:jc w:val="center"/>
              <w:rPr>
                <w:color w:val="000000"/>
                <w:sz w:val="18"/>
                <w:szCs w:val="18"/>
              </w:rPr>
            </w:pPr>
            <w:r>
              <w:rPr>
                <w:color w:val="000000"/>
                <w:sz w:val="18"/>
                <w:szCs w:val="18"/>
              </w:rPr>
              <w:t>829,000.00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vAlign w:val="center"/>
          </w:tcPr>
          <w:p>
            <w:pPr>
              <w:widowControl/>
              <w:jc w:val="left"/>
              <w:textAlignment w:val="center"/>
              <w:rPr>
                <w:b/>
                <w:bCs/>
                <w:color w:val="000000"/>
                <w:sz w:val="18"/>
                <w:szCs w:val="18"/>
              </w:rPr>
            </w:pPr>
            <w:r>
              <w:rPr>
                <w:b/>
                <w:bCs/>
                <w:color w:val="000000"/>
                <w:kern w:val="0"/>
                <w:sz w:val="18"/>
                <w:szCs w:val="18"/>
              </w:rPr>
              <w:t xml:space="preserve">    </w:t>
            </w:r>
            <w:r>
              <w:rPr>
                <w:rFonts w:hint="eastAsia" w:hAnsi="宋体" w:cs="宋体"/>
                <w:b/>
                <w:bCs/>
                <w:color w:val="000000"/>
                <w:kern w:val="0"/>
                <w:sz w:val="18"/>
                <w:szCs w:val="18"/>
              </w:rPr>
              <w:t>执法办案（业务）经费</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其他城乡社区管理事务支出</w:t>
            </w:r>
          </w:p>
        </w:tc>
        <w:tc>
          <w:tcPr>
            <w:tcW w:w="1430" w:type="dxa"/>
            <w:tcBorders>
              <w:left w:val="nil"/>
            </w:tcBorders>
            <w:vAlign w:val="center"/>
          </w:tcPr>
          <w:p>
            <w:pPr>
              <w:jc w:val="center"/>
              <w:rPr>
                <w:color w:val="000000"/>
                <w:sz w:val="18"/>
                <w:szCs w:val="18"/>
              </w:rPr>
            </w:pPr>
            <w:r>
              <w:rPr>
                <w:color w:val="000000"/>
                <w:sz w:val="18"/>
                <w:szCs w:val="18"/>
              </w:rPr>
              <w:t>380,000.00</w:t>
            </w:r>
          </w:p>
        </w:tc>
        <w:tc>
          <w:tcPr>
            <w:tcW w:w="1350" w:type="dxa"/>
            <w:tcBorders>
              <w:left w:val="nil"/>
            </w:tcBorders>
            <w:vAlign w:val="center"/>
          </w:tcPr>
          <w:p>
            <w:pPr>
              <w:jc w:val="center"/>
              <w:rPr>
                <w:color w:val="000000"/>
                <w:sz w:val="18"/>
                <w:szCs w:val="18"/>
              </w:rPr>
            </w:pPr>
            <w:r>
              <w:rPr>
                <w:color w:val="000000"/>
                <w:sz w:val="18"/>
                <w:szCs w:val="18"/>
              </w:rPr>
              <w:t>380,000.00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政策性项目支出</w:t>
            </w:r>
          </w:p>
        </w:tc>
        <w:tc>
          <w:tcPr>
            <w:tcW w:w="1374" w:type="dxa"/>
            <w:tcBorders>
              <w:left w:val="nil"/>
            </w:tcBorders>
            <w:vAlign w:val="center"/>
          </w:tcPr>
          <w:p>
            <w:pPr>
              <w:jc w:val="center"/>
              <w:rPr>
                <w:color w:val="000000"/>
                <w:sz w:val="18"/>
                <w:szCs w:val="18"/>
              </w:rPr>
            </w:pPr>
          </w:p>
        </w:tc>
        <w:tc>
          <w:tcPr>
            <w:tcW w:w="1430" w:type="dxa"/>
            <w:tcBorders>
              <w:left w:val="nil"/>
            </w:tcBorders>
            <w:vAlign w:val="center"/>
          </w:tcPr>
          <w:p>
            <w:pPr>
              <w:jc w:val="center"/>
              <w:rPr>
                <w:color w:val="000000"/>
                <w:sz w:val="18"/>
                <w:szCs w:val="18"/>
              </w:rPr>
            </w:pPr>
            <w:r>
              <w:rPr>
                <w:color w:val="000000"/>
                <w:sz w:val="18"/>
                <w:szCs w:val="18"/>
              </w:rPr>
              <w:t>315,516,900.00</w:t>
            </w:r>
          </w:p>
        </w:tc>
        <w:tc>
          <w:tcPr>
            <w:tcW w:w="1350" w:type="dxa"/>
            <w:tcBorders>
              <w:left w:val="nil"/>
            </w:tcBorders>
            <w:vAlign w:val="center"/>
          </w:tcPr>
          <w:p>
            <w:pPr>
              <w:jc w:val="center"/>
              <w:rPr>
                <w:color w:val="000000"/>
                <w:sz w:val="18"/>
                <w:szCs w:val="18"/>
              </w:rPr>
            </w:pPr>
            <w:r>
              <w:rPr>
                <w:color w:val="000000"/>
                <w:sz w:val="18"/>
                <w:szCs w:val="18"/>
              </w:rPr>
              <w:t>71,257,800.00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1,200,000.00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145,291,900.00</w:t>
            </w:r>
          </w:p>
        </w:tc>
        <w:tc>
          <w:tcPr>
            <w:tcW w:w="1125" w:type="dxa"/>
            <w:tcBorders>
              <w:left w:val="nil"/>
            </w:tcBorders>
            <w:vAlign w:val="center"/>
          </w:tcPr>
          <w:p>
            <w:pPr>
              <w:jc w:val="center"/>
              <w:rPr>
                <w:color w:val="000000"/>
                <w:sz w:val="18"/>
                <w:szCs w:val="18"/>
              </w:rPr>
            </w:pPr>
            <w:r>
              <w:rPr>
                <w:color w:val="000000"/>
                <w:sz w:val="18"/>
                <w:szCs w:val="18"/>
              </w:rPr>
              <w:t>95,000,000.00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2,767,200.00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暗渠清理</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其他国有土地使用权出让收入安排的支出</w:t>
            </w:r>
          </w:p>
        </w:tc>
        <w:tc>
          <w:tcPr>
            <w:tcW w:w="1430" w:type="dxa"/>
            <w:tcBorders>
              <w:left w:val="nil"/>
            </w:tcBorders>
            <w:vAlign w:val="center"/>
          </w:tcPr>
          <w:p>
            <w:pPr>
              <w:jc w:val="center"/>
              <w:rPr>
                <w:color w:val="000000"/>
                <w:sz w:val="18"/>
                <w:szCs w:val="18"/>
              </w:rPr>
            </w:pPr>
            <w:r>
              <w:rPr>
                <w:color w:val="000000"/>
                <w:sz w:val="18"/>
                <w:szCs w:val="18"/>
              </w:rPr>
              <w:t>2,400,000.00</w:t>
            </w:r>
          </w:p>
        </w:tc>
        <w:tc>
          <w:tcPr>
            <w:tcW w:w="1350" w:type="dxa"/>
            <w:tcBorders>
              <w:left w:val="nil"/>
            </w:tcBorders>
            <w:vAlign w:val="center"/>
          </w:tcPr>
          <w:p>
            <w:pPr>
              <w:jc w:val="center"/>
              <w:rPr>
                <w:color w:val="000000"/>
                <w:sz w:val="18"/>
                <w:szCs w:val="18"/>
              </w:rPr>
            </w:pPr>
            <w:r>
              <w:rPr>
                <w:color w:val="000000"/>
                <w:sz w:val="18"/>
                <w:szCs w:val="18"/>
              </w:rPr>
              <w:t>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2,400,000.00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保障性住房租赁补贴</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其他国有土地使用权出让收入安排的支出</w:t>
            </w:r>
          </w:p>
        </w:tc>
        <w:tc>
          <w:tcPr>
            <w:tcW w:w="1430" w:type="dxa"/>
            <w:tcBorders>
              <w:left w:val="nil"/>
            </w:tcBorders>
            <w:vAlign w:val="center"/>
          </w:tcPr>
          <w:p>
            <w:pPr>
              <w:jc w:val="center"/>
              <w:rPr>
                <w:color w:val="000000"/>
                <w:sz w:val="18"/>
                <w:szCs w:val="18"/>
              </w:rPr>
            </w:pPr>
            <w:r>
              <w:rPr>
                <w:color w:val="000000"/>
                <w:sz w:val="18"/>
                <w:szCs w:val="18"/>
              </w:rPr>
              <w:t>461,900.00</w:t>
            </w:r>
          </w:p>
        </w:tc>
        <w:tc>
          <w:tcPr>
            <w:tcW w:w="1350" w:type="dxa"/>
            <w:tcBorders>
              <w:left w:val="nil"/>
            </w:tcBorders>
            <w:vAlign w:val="center"/>
          </w:tcPr>
          <w:p>
            <w:pPr>
              <w:jc w:val="center"/>
              <w:rPr>
                <w:color w:val="000000"/>
                <w:sz w:val="18"/>
                <w:szCs w:val="18"/>
              </w:rPr>
            </w:pPr>
            <w:r>
              <w:rPr>
                <w:color w:val="000000"/>
                <w:sz w:val="18"/>
                <w:szCs w:val="18"/>
              </w:rPr>
              <w:t>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461,900.00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保障性住房租赁补贴</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其他城乡社区管理事务支出</w:t>
            </w:r>
          </w:p>
        </w:tc>
        <w:tc>
          <w:tcPr>
            <w:tcW w:w="1430" w:type="dxa"/>
            <w:tcBorders>
              <w:left w:val="nil"/>
            </w:tcBorders>
            <w:vAlign w:val="center"/>
          </w:tcPr>
          <w:p>
            <w:pPr>
              <w:jc w:val="center"/>
              <w:rPr>
                <w:color w:val="000000"/>
                <w:sz w:val="18"/>
                <w:szCs w:val="18"/>
              </w:rPr>
            </w:pPr>
            <w:r>
              <w:rPr>
                <w:color w:val="000000"/>
                <w:sz w:val="18"/>
                <w:szCs w:val="18"/>
              </w:rPr>
              <w:t>38,100.00</w:t>
            </w:r>
          </w:p>
        </w:tc>
        <w:tc>
          <w:tcPr>
            <w:tcW w:w="1350" w:type="dxa"/>
            <w:tcBorders>
              <w:left w:val="nil"/>
            </w:tcBorders>
            <w:vAlign w:val="center"/>
          </w:tcPr>
          <w:p>
            <w:pPr>
              <w:jc w:val="center"/>
              <w:rPr>
                <w:color w:val="000000"/>
                <w:sz w:val="18"/>
                <w:szCs w:val="18"/>
              </w:rPr>
            </w:pPr>
            <w:r>
              <w:rPr>
                <w:color w:val="000000"/>
                <w:sz w:val="18"/>
                <w:szCs w:val="18"/>
              </w:rPr>
              <w:t>38,100.00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标志标线标牌修复</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其他国有土地使用权出让收入安排的支出</w:t>
            </w:r>
          </w:p>
        </w:tc>
        <w:tc>
          <w:tcPr>
            <w:tcW w:w="1430" w:type="dxa"/>
            <w:tcBorders>
              <w:left w:val="nil"/>
            </w:tcBorders>
            <w:vAlign w:val="center"/>
          </w:tcPr>
          <w:p>
            <w:pPr>
              <w:jc w:val="center"/>
              <w:rPr>
                <w:color w:val="000000"/>
                <w:sz w:val="18"/>
                <w:szCs w:val="18"/>
              </w:rPr>
            </w:pPr>
            <w:r>
              <w:rPr>
                <w:color w:val="000000"/>
                <w:sz w:val="18"/>
                <w:szCs w:val="18"/>
              </w:rPr>
              <w:t>4,000,000.00</w:t>
            </w:r>
          </w:p>
        </w:tc>
        <w:tc>
          <w:tcPr>
            <w:tcW w:w="1350" w:type="dxa"/>
            <w:tcBorders>
              <w:left w:val="nil"/>
            </w:tcBorders>
            <w:vAlign w:val="center"/>
          </w:tcPr>
          <w:p>
            <w:pPr>
              <w:jc w:val="center"/>
              <w:rPr>
                <w:color w:val="000000"/>
                <w:sz w:val="18"/>
                <w:szCs w:val="18"/>
              </w:rPr>
            </w:pPr>
            <w:r>
              <w:rPr>
                <w:color w:val="000000"/>
                <w:sz w:val="18"/>
                <w:szCs w:val="18"/>
              </w:rPr>
              <w:t>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4,000,000.00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城乡低收入群众危旧房改造补助</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其他城乡社区管理事务支出</w:t>
            </w:r>
          </w:p>
        </w:tc>
        <w:tc>
          <w:tcPr>
            <w:tcW w:w="1430" w:type="dxa"/>
            <w:tcBorders>
              <w:left w:val="nil"/>
            </w:tcBorders>
            <w:vAlign w:val="center"/>
          </w:tcPr>
          <w:p>
            <w:pPr>
              <w:jc w:val="center"/>
              <w:rPr>
                <w:color w:val="000000"/>
                <w:sz w:val="18"/>
                <w:szCs w:val="18"/>
              </w:rPr>
            </w:pPr>
            <w:r>
              <w:rPr>
                <w:color w:val="000000"/>
                <w:sz w:val="18"/>
                <w:szCs w:val="18"/>
              </w:rPr>
              <w:t>2,500,000.00</w:t>
            </w:r>
          </w:p>
        </w:tc>
        <w:tc>
          <w:tcPr>
            <w:tcW w:w="1350" w:type="dxa"/>
            <w:tcBorders>
              <w:left w:val="nil"/>
            </w:tcBorders>
            <w:vAlign w:val="center"/>
          </w:tcPr>
          <w:p>
            <w:pPr>
              <w:jc w:val="center"/>
              <w:rPr>
                <w:color w:val="000000"/>
                <w:sz w:val="18"/>
                <w:szCs w:val="18"/>
              </w:rPr>
            </w:pPr>
            <w:r>
              <w:rPr>
                <w:color w:val="000000"/>
                <w:sz w:val="18"/>
                <w:szCs w:val="18"/>
              </w:rPr>
              <w:t>1,300,000.00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1,200,000.00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城镇污水管网养护经费</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其他国有土地使用权出让收入安排的支出</w:t>
            </w:r>
          </w:p>
        </w:tc>
        <w:tc>
          <w:tcPr>
            <w:tcW w:w="1430" w:type="dxa"/>
            <w:tcBorders>
              <w:left w:val="nil"/>
            </w:tcBorders>
            <w:vAlign w:val="center"/>
          </w:tcPr>
          <w:p>
            <w:pPr>
              <w:jc w:val="center"/>
              <w:rPr>
                <w:color w:val="000000"/>
                <w:sz w:val="18"/>
                <w:szCs w:val="18"/>
              </w:rPr>
            </w:pPr>
            <w:r>
              <w:rPr>
                <w:color w:val="000000"/>
                <w:sz w:val="18"/>
                <w:szCs w:val="18"/>
              </w:rPr>
              <w:t>11,000,000.00</w:t>
            </w:r>
          </w:p>
        </w:tc>
        <w:tc>
          <w:tcPr>
            <w:tcW w:w="1350" w:type="dxa"/>
            <w:tcBorders>
              <w:left w:val="nil"/>
            </w:tcBorders>
            <w:vAlign w:val="center"/>
          </w:tcPr>
          <w:p>
            <w:pPr>
              <w:jc w:val="center"/>
              <w:rPr>
                <w:color w:val="000000"/>
                <w:sz w:val="18"/>
                <w:szCs w:val="18"/>
              </w:rPr>
            </w:pPr>
            <w:r>
              <w:rPr>
                <w:color w:val="000000"/>
                <w:sz w:val="18"/>
                <w:szCs w:val="18"/>
              </w:rPr>
              <w:t>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11,000,000.00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春节氛围布置</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其他城乡社区公共设施支出</w:t>
            </w:r>
          </w:p>
        </w:tc>
        <w:tc>
          <w:tcPr>
            <w:tcW w:w="1430" w:type="dxa"/>
            <w:tcBorders>
              <w:left w:val="nil"/>
            </w:tcBorders>
            <w:vAlign w:val="center"/>
          </w:tcPr>
          <w:p>
            <w:pPr>
              <w:jc w:val="center"/>
              <w:rPr>
                <w:color w:val="000000"/>
                <w:sz w:val="18"/>
                <w:szCs w:val="18"/>
              </w:rPr>
            </w:pPr>
            <w:r>
              <w:rPr>
                <w:color w:val="000000"/>
                <w:sz w:val="18"/>
                <w:szCs w:val="18"/>
              </w:rPr>
              <w:t>1,000,000.00</w:t>
            </w:r>
          </w:p>
        </w:tc>
        <w:tc>
          <w:tcPr>
            <w:tcW w:w="1350" w:type="dxa"/>
            <w:tcBorders>
              <w:left w:val="nil"/>
            </w:tcBorders>
            <w:vAlign w:val="center"/>
          </w:tcPr>
          <w:p>
            <w:pPr>
              <w:jc w:val="center"/>
              <w:rPr>
                <w:color w:val="000000"/>
                <w:sz w:val="18"/>
                <w:szCs w:val="18"/>
              </w:rPr>
            </w:pPr>
            <w:r>
              <w:rPr>
                <w:color w:val="000000"/>
                <w:sz w:val="18"/>
                <w:szCs w:val="18"/>
              </w:rPr>
              <w:t>1,000,000.00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村镇基础设施建设补助</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其他城乡社区公共设施支出</w:t>
            </w:r>
          </w:p>
        </w:tc>
        <w:tc>
          <w:tcPr>
            <w:tcW w:w="1430" w:type="dxa"/>
            <w:tcBorders>
              <w:left w:val="nil"/>
            </w:tcBorders>
            <w:vAlign w:val="center"/>
          </w:tcPr>
          <w:p>
            <w:pPr>
              <w:jc w:val="center"/>
              <w:rPr>
                <w:color w:val="000000"/>
                <w:sz w:val="18"/>
                <w:szCs w:val="18"/>
              </w:rPr>
            </w:pPr>
            <w:r>
              <w:rPr>
                <w:color w:val="000000"/>
                <w:sz w:val="18"/>
                <w:szCs w:val="18"/>
              </w:rPr>
              <w:t>1,000,000.00</w:t>
            </w:r>
          </w:p>
        </w:tc>
        <w:tc>
          <w:tcPr>
            <w:tcW w:w="1350" w:type="dxa"/>
            <w:tcBorders>
              <w:left w:val="nil"/>
            </w:tcBorders>
            <w:vAlign w:val="center"/>
          </w:tcPr>
          <w:p>
            <w:pPr>
              <w:jc w:val="center"/>
              <w:rPr>
                <w:color w:val="000000"/>
                <w:sz w:val="18"/>
                <w:szCs w:val="18"/>
              </w:rPr>
            </w:pPr>
            <w:r>
              <w:rPr>
                <w:color w:val="000000"/>
                <w:sz w:val="18"/>
                <w:szCs w:val="18"/>
              </w:rPr>
              <w:t>1,000,000.00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方案及规划编制费</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城乡社区规划与管理</w:t>
            </w:r>
          </w:p>
        </w:tc>
        <w:tc>
          <w:tcPr>
            <w:tcW w:w="1430" w:type="dxa"/>
            <w:tcBorders>
              <w:left w:val="nil"/>
            </w:tcBorders>
            <w:vAlign w:val="center"/>
          </w:tcPr>
          <w:p>
            <w:pPr>
              <w:jc w:val="center"/>
              <w:rPr>
                <w:color w:val="000000"/>
                <w:sz w:val="18"/>
                <w:szCs w:val="18"/>
              </w:rPr>
            </w:pPr>
            <w:r>
              <w:rPr>
                <w:color w:val="000000"/>
                <w:sz w:val="18"/>
                <w:szCs w:val="18"/>
              </w:rPr>
              <w:t>2,885,000.00</w:t>
            </w:r>
          </w:p>
        </w:tc>
        <w:tc>
          <w:tcPr>
            <w:tcW w:w="1350" w:type="dxa"/>
            <w:tcBorders>
              <w:left w:val="nil"/>
            </w:tcBorders>
            <w:vAlign w:val="center"/>
          </w:tcPr>
          <w:p>
            <w:pPr>
              <w:jc w:val="center"/>
              <w:rPr>
                <w:color w:val="000000"/>
                <w:sz w:val="18"/>
                <w:szCs w:val="18"/>
              </w:rPr>
            </w:pPr>
            <w:r>
              <w:rPr>
                <w:color w:val="000000"/>
                <w:sz w:val="18"/>
                <w:szCs w:val="18"/>
              </w:rPr>
              <w:t>2,885,000.00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方案及规划编制费</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其他城乡社区管理事务支出</w:t>
            </w:r>
          </w:p>
        </w:tc>
        <w:tc>
          <w:tcPr>
            <w:tcW w:w="1430" w:type="dxa"/>
            <w:tcBorders>
              <w:left w:val="nil"/>
            </w:tcBorders>
            <w:vAlign w:val="center"/>
          </w:tcPr>
          <w:p>
            <w:pPr>
              <w:jc w:val="center"/>
              <w:rPr>
                <w:color w:val="000000"/>
                <w:sz w:val="18"/>
                <w:szCs w:val="18"/>
              </w:rPr>
            </w:pPr>
            <w:r>
              <w:rPr>
                <w:color w:val="000000"/>
                <w:sz w:val="18"/>
                <w:szCs w:val="18"/>
              </w:rPr>
              <w:t>800,000.00</w:t>
            </w:r>
          </w:p>
        </w:tc>
        <w:tc>
          <w:tcPr>
            <w:tcW w:w="1350" w:type="dxa"/>
            <w:tcBorders>
              <w:left w:val="nil"/>
            </w:tcBorders>
            <w:vAlign w:val="center"/>
          </w:tcPr>
          <w:p>
            <w:pPr>
              <w:jc w:val="center"/>
              <w:rPr>
                <w:color w:val="000000"/>
                <w:sz w:val="18"/>
                <w:szCs w:val="18"/>
              </w:rPr>
            </w:pPr>
            <w:r>
              <w:rPr>
                <w:color w:val="000000"/>
                <w:sz w:val="18"/>
                <w:szCs w:val="18"/>
              </w:rPr>
              <w:t>800,000.00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公房管理费用</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其他城乡社区管理事务支出</w:t>
            </w:r>
          </w:p>
        </w:tc>
        <w:tc>
          <w:tcPr>
            <w:tcW w:w="1430" w:type="dxa"/>
            <w:tcBorders>
              <w:left w:val="nil"/>
            </w:tcBorders>
            <w:vAlign w:val="center"/>
          </w:tcPr>
          <w:p>
            <w:pPr>
              <w:jc w:val="center"/>
              <w:rPr>
                <w:color w:val="000000"/>
                <w:sz w:val="18"/>
                <w:szCs w:val="18"/>
              </w:rPr>
            </w:pPr>
            <w:r>
              <w:rPr>
                <w:color w:val="000000"/>
                <w:sz w:val="18"/>
                <w:szCs w:val="18"/>
              </w:rPr>
              <w:t>1,240,000.00</w:t>
            </w:r>
          </w:p>
        </w:tc>
        <w:tc>
          <w:tcPr>
            <w:tcW w:w="1350" w:type="dxa"/>
            <w:tcBorders>
              <w:left w:val="nil"/>
            </w:tcBorders>
            <w:vAlign w:val="center"/>
          </w:tcPr>
          <w:p>
            <w:pPr>
              <w:jc w:val="center"/>
              <w:rPr>
                <w:color w:val="000000"/>
                <w:sz w:val="18"/>
                <w:szCs w:val="18"/>
              </w:rPr>
            </w:pPr>
            <w:r>
              <w:rPr>
                <w:color w:val="000000"/>
                <w:sz w:val="18"/>
                <w:szCs w:val="18"/>
              </w:rPr>
              <w:t>1,240,000.00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公共自行车运行管理费</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其他城乡社区管理事务支出</w:t>
            </w:r>
          </w:p>
        </w:tc>
        <w:tc>
          <w:tcPr>
            <w:tcW w:w="1430" w:type="dxa"/>
            <w:tcBorders>
              <w:left w:val="nil"/>
            </w:tcBorders>
            <w:vAlign w:val="center"/>
          </w:tcPr>
          <w:p>
            <w:pPr>
              <w:jc w:val="center"/>
              <w:rPr>
                <w:color w:val="000000"/>
                <w:sz w:val="18"/>
                <w:szCs w:val="18"/>
              </w:rPr>
            </w:pPr>
            <w:r>
              <w:rPr>
                <w:color w:val="000000"/>
                <w:sz w:val="18"/>
                <w:szCs w:val="18"/>
              </w:rPr>
              <w:t>2,000,000.00</w:t>
            </w:r>
          </w:p>
        </w:tc>
        <w:tc>
          <w:tcPr>
            <w:tcW w:w="1350" w:type="dxa"/>
            <w:tcBorders>
              <w:left w:val="nil"/>
            </w:tcBorders>
            <w:vAlign w:val="center"/>
          </w:tcPr>
          <w:p>
            <w:pPr>
              <w:jc w:val="center"/>
              <w:rPr>
                <w:color w:val="000000"/>
                <w:sz w:val="18"/>
                <w:szCs w:val="18"/>
              </w:rPr>
            </w:pPr>
            <w:r>
              <w:rPr>
                <w:color w:val="000000"/>
                <w:sz w:val="18"/>
                <w:szCs w:val="18"/>
              </w:rPr>
              <w:t>2,000,000.00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海绵城市省补资金</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其他城乡社区支出</w:t>
            </w:r>
          </w:p>
        </w:tc>
        <w:tc>
          <w:tcPr>
            <w:tcW w:w="1430" w:type="dxa"/>
            <w:tcBorders>
              <w:left w:val="nil"/>
            </w:tcBorders>
            <w:vAlign w:val="center"/>
          </w:tcPr>
          <w:p>
            <w:pPr>
              <w:jc w:val="center"/>
              <w:rPr>
                <w:color w:val="000000"/>
                <w:sz w:val="18"/>
                <w:szCs w:val="18"/>
              </w:rPr>
            </w:pPr>
            <w:r>
              <w:rPr>
                <w:color w:val="000000"/>
                <w:sz w:val="18"/>
                <w:szCs w:val="18"/>
              </w:rPr>
              <w:t>1,267,200.00</w:t>
            </w:r>
          </w:p>
        </w:tc>
        <w:tc>
          <w:tcPr>
            <w:tcW w:w="1350" w:type="dxa"/>
            <w:tcBorders>
              <w:left w:val="nil"/>
            </w:tcBorders>
            <w:vAlign w:val="center"/>
          </w:tcPr>
          <w:p>
            <w:pPr>
              <w:jc w:val="center"/>
              <w:rPr>
                <w:color w:val="000000"/>
                <w:sz w:val="18"/>
                <w:szCs w:val="18"/>
              </w:rPr>
            </w:pPr>
            <w:r>
              <w:rPr>
                <w:color w:val="000000"/>
                <w:sz w:val="18"/>
                <w:szCs w:val="18"/>
              </w:rPr>
              <w:t>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1,267,200.00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建筑防雷检测费</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建设市场管理与监督</w:t>
            </w:r>
          </w:p>
        </w:tc>
        <w:tc>
          <w:tcPr>
            <w:tcW w:w="1430" w:type="dxa"/>
            <w:tcBorders>
              <w:left w:val="nil"/>
            </w:tcBorders>
            <w:vAlign w:val="center"/>
          </w:tcPr>
          <w:p>
            <w:pPr>
              <w:jc w:val="center"/>
              <w:rPr>
                <w:color w:val="000000"/>
                <w:sz w:val="18"/>
                <w:szCs w:val="18"/>
              </w:rPr>
            </w:pPr>
            <w:r>
              <w:rPr>
                <w:color w:val="000000"/>
                <w:sz w:val="18"/>
                <w:szCs w:val="18"/>
              </w:rPr>
              <w:t>180,000.00</w:t>
            </w:r>
          </w:p>
        </w:tc>
        <w:tc>
          <w:tcPr>
            <w:tcW w:w="1350" w:type="dxa"/>
            <w:tcBorders>
              <w:left w:val="nil"/>
            </w:tcBorders>
            <w:vAlign w:val="center"/>
          </w:tcPr>
          <w:p>
            <w:pPr>
              <w:jc w:val="center"/>
              <w:rPr>
                <w:color w:val="000000"/>
                <w:sz w:val="18"/>
                <w:szCs w:val="18"/>
              </w:rPr>
            </w:pPr>
            <w:r>
              <w:rPr>
                <w:color w:val="000000"/>
                <w:sz w:val="18"/>
                <w:szCs w:val="18"/>
              </w:rPr>
              <w:t>180,000.00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建筑质量安全监管费用</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建设市场管理与监督</w:t>
            </w:r>
          </w:p>
        </w:tc>
        <w:tc>
          <w:tcPr>
            <w:tcW w:w="1430" w:type="dxa"/>
            <w:tcBorders>
              <w:left w:val="nil"/>
            </w:tcBorders>
            <w:vAlign w:val="center"/>
          </w:tcPr>
          <w:p>
            <w:pPr>
              <w:jc w:val="center"/>
              <w:rPr>
                <w:color w:val="000000"/>
                <w:sz w:val="18"/>
                <w:szCs w:val="18"/>
              </w:rPr>
            </w:pPr>
            <w:r>
              <w:rPr>
                <w:color w:val="000000"/>
                <w:sz w:val="18"/>
                <w:szCs w:val="18"/>
              </w:rPr>
              <w:t>380,000.00</w:t>
            </w:r>
          </w:p>
        </w:tc>
        <w:tc>
          <w:tcPr>
            <w:tcW w:w="1350" w:type="dxa"/>
            <w:tcBorders>
              <w:left w:val="nil"/>
            </w:tcBorders>
            <w:vAlign w:val="center"/>
          </w:tcPr>
          <w:p>
            <w:pPr>
              <w:jc w:val="center"/>
              <w:rPr>
                <w:color w:val="000000"/>
                <w:sz w:val="18"/>
                <w:szCs w:val="18"/>
              </w:rPr>
            </w:pPr>
            <w:r>
              <w:rPr>
                <w:color w:val="000000"/>
                <w:sz w:val="18"/>
                <w:szCs w:val="18"/>
              </w:rPr>
              <w:t>380,000.00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锦屏公园管护费</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其他城乡社区公共设施支出</w:t>
            </w:r>
          </w:p>
        </w:tc>
        <w:tc>
          <w:tcPr>
            <w:tcW w:w="1430" w:type="dxa"/>
            <w:tcBorders>
              <w:left w:val="nil"/>
            </w:tcBorders>
            <w:vAlign w:val="center"/>
          </w:tcPr>
          <w:p>
            <w:pPr>
              <w:jc w:val="center"/>
              <w:rPr>
                <w:color w:val="000000"/>
                <w:sz w:val="18"/>
                <w:szCs w:val="18"/>
              </w:rPr>
            </w:pPr>
            <w:r>
              <w:rPr>
                <w:color w:val="000000"/>
                <w:sz w:val="18"/>
                <w:szCs w:val="18"/>
              </w:rPr>
              <w:t>2,405,000.00</w:t>
            </w:r>
          </w:p>
        </w:tc>
        <w:tc>
          <w:tcPr>
            <w:tcW w:w="1350" w:type="dxa"/>
            <w:tcBorders>
              <w:left w:val="nil"/>
            </w:tcBorders>
            <w:vAlign w:val="center"/>
          </w:tcPr>
          <w:p>
            <w:pPr>
              <w:jc w:val="center"/>
              <w:rPr>
                <w:color w:val="000000"/>
                <w:sz w:val="18"/>
                <w:szCs w:val="18"/>
              </w:rPr>
            </w:pPr>
            <w:r>
              <w:rPr>
                <w:color w:val="000000"/>
                <w:sz w:val="18"/>
                <w:szCs w:val="18"/>
              </w:rPr>
              <w:t>2,405,000.00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经常性绿化养护费</w:t>
            </w:r>
            <w:r>
              <w:rPr>
                <w:b/>
                <w:bCs/>
                <w:color w:val="000000"/>
                <w:sz w:val="18"/>
                <w:szCs w:val="18"/>
              </w:rPr>
              <w:t>(</w:t>
            </w:r>
            <w:r>
              <w:rPr>
                <w:rFonts w:hint="eastAsia" w:hAnsi="宋体" w:cs="宋体"/>
                <w:b/>
                <w:bCs/>
                <w:color w:val="000000"/>
                <w:sz w:val="18"/>
                <w:szCs w:val="18"/>
              </w:rPr>
              <w:t>海绵城市设施维护</w:t>
            </w:r>
            <w:r>
              <w:rPr>
                <w:b/>
                <w:bCs/>
                <w:color w:val="000000"/>
                <w:sz w:val="18"/>
                <w:szCs w:val="18"/>
              </w:rPr>
              <w:t>)</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其他城市基础设施配套费安排的支出</w:t>
            </w:r>
          </w:p>
        </w:tc>
        <w:tc>
          <w:tcPr>
            <w:tcW w:w="1430" w:type="dxa"/>
            <w:tcBorders>
              <w:left w:val="nil"/>
            </w:tcBorders>
            <w:vAlign w:val="center"/>
          </w:tcPr>
          <w:p>
            <w:pPr>
              <w:jc w:val="center"/>
              <w:rPr>
                <w:color w:val="000000"/>
                <w:sz w:val="18"/>
                <w:szCs w:val="18"/>
              </w:rPr>
            </w:pPr>
            <w:r>
              <w:rPr>
                <w:color w:val="000000"/>
                <w:sz w:val="18"/>
                <w:szCs w:val="18"/>
              </w:rPr>
              <w:t>19,750,000.00</w:t>
            </w:r>
          </w:p>
        </w:tc>
        <w:tc>
          <w:tcPr>
            <w:tcW w:w="1350" w:type="dxa"/>
            <w:tcBorders>
              <w:left w:val="nil"/>
            </w:tcBorders>
            <w:vAlign w:val="center"/>
          </w:tcPr>
          <w:p>
            <w:pPr>
              <w:jc w:val="center"/>
              <w:rPr>
                <w:color w:val="000000"/>
                <w:sz w:val="18"/>
                <w:szCs w:val="18"/>
              </w:rPr>
            </w:pPr>
            <w:r>
              <w:rPr>
                <w:color w:val="000000"/>
                <w:sz w:val="18"/>
                <w:szCs w:val="18"/>
              </w:rPr>
              <w:t>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19,750,000.00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景观亮化维修</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其他城乡社区公共设施支出</w:t>
            </w:r>
          </w:p>
        </w:tc>
        <w:tc>
          <w:tcPr>
            <w:tcW w:w="1430" w:type="dxa"/>
            <w:tcBorders>
              <w:left w:val="nil"/>
            </w:tcBorders>
            <w:vAlign w:val="center"/>
          </w:tcPr>
          <w:p>
            <w:pPr>
              <w:jc w:val="center"/>
              <w:rPr>
                <w:color w:val="000000"/>
                <w:sz w:val="18"/>
                <w:szCs w:val="18"/>
              </w:rPr>
            </w:pPr>
            <w:r>
              <w:rPr>
                <w:color w:val="000000"/>
                <w:sz w:val="18"/>
                <w:szCs w:val="18"/>
              </w:rPr>
              <w:t>750,000.00</w:t>
            </w:r>
          </w:p>
        </w:tc>
        <w:tc>
          <w:tcPr>
            <w:tcW w:w="1350" w:type="dxa"/>
            <w:tcBorders>
              <w:left w:val="nil"/>
            </w:tcBorders>
            <w:vAlign w:val="center"/>
          </w:tcPr>
          <w:p>
            <w:pPr>
              <w:jc w:val="center"/>
              <w:rPr>
                <w:color w:val="000000"/>
                <w:sz w:val="18"/>
                <w:szCs w:val="18"/>
              </w:rPr>
            </w:pPr>
            <w:r>
              <w:rPr>
                <w:color w:val="000000"/>
                <w:sz w:val="18"/>
                <w:szCs w:val="18"/>
              </w:rPr>
              <w:t>750,000.00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历史建筑测绘挂牌</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其他城乡社区管理事务支出</w:t>
            </w:r>
          </w:p>
        </w:tc>
        <w:tc>
          <w:tcPr>
            <w:tcW w:w="1430" w:type="dxa"/>
            <w:tcBorders>
              <w:left w:val="nil"/>
            </w:tcBorders>
            <w:vAlign w:val="center"/>
          </w:tcPr>
          <w:p>
            <w:pPr>
              <w:jc w:val="center"/>
              <w:rPr>
                <w:color w:val="000000"/>
                <w:sz w:val="18"/>
                <w:szCs w:val="18"/>
              </w:rPr>
            </w:pPr>
            <w:r>
              <w:rPr>
                <w:color w:val="000000"/>
                <w:sz w:val="18"/>
                <w:szCs w:val="18"/>
              </w:rPr>
              <w:t>1,250,000.00</w:t>
            </w:r>
          </w:p>
        </w:tc>
        <w:tc>
          <w:tcPr>
            <w:tcW w:w="1350" w:type="dxa"/>
            <w:tcBorders>
              <w:left w:val="nil"/>
            </w:tcBorders>
            <w:vAlign w:val="center"/>
          </w:tcPr>
          <w:p>
            <w:pPr>
              <w:jc w:val="center"/>
              <w:rPr>
                <w:color w:val="000000"/>
                <w:sz w:val="18"/>
                <w:szCs w:val="18"/>
              </w:rPr>
            </w:pPr>
            <w:r>
              <w:rPr>
                <w:color w:val="000000"/>
                <w:sz w:val="18"/>
                <w:szCs w:val="18"/>
              </w:rPr>
              <w:t>1,250,000.00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路灯电费</w:t>
            </w:r>
            <w:r>
              <w:rPr>
                <w:b/>
                <w:bCs/>
                <w:color w:val="000000"/>
                <w:sz w:val="18"/>
                <w:szCs w:val="18"/>
              </w:rPr>
              <w:t xml:space="preserve"> </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其他城乡社区公共设施支出</w:t>
            </w:r>
          </w:p>
        </w:tc>
        <w:tc>
          <w:tcPr>
            <w:tcW w:w="1430" w:type="dxa"/>
            <w:tcBorders>
              <w:left w:val="nil"/>
            </w:tcBorders>
            <w:vAlign w:val="center"/>
          </w:tcPr>
          <w:p>
            <w:pPr>
              <w:jc w:val="center"/>
              <w:rPr>
                <w:color w:val="000000"/>
                <w:sz w:val="18"/>
                <w:szCs w:val="18"/>
              </w:rPr>
            </w:pPr>
            <w:r>
              <w:rPr>
                <w:color w:val="000000"/>
                <w:sz w:val="18"/>
                <w:szCs w:val="18"/>
              </w:rPr>
              <w:t>16,380,000.00</w:t>
            </w:r>
          </w:p>
        </w:tc>
        <w:tc>
          <w:tcPr>
            <w:tcW w:w="1350" w:type="dxa"/>
            <w:tcBorders>
              <w:left w:val="nil"/>
            </w:tcBorders>
            <w:vAlign w:val="center"/>
          </w:tcPr>
          <w:p>
            <w:pPr>
              <w:jc w:val="center"/>
              <w:rPr>
                <w:color w:val="000000"/>
                <w:sz w:val="18"/>
                <w:szCs w:val="18"/>
              </w:rPr>
            </w:pPr>
            <w:r>
              <w:rPr>
                <w:color w:val="000000"/>
                <w:sz w:val="18"/>
                <w:szCs w:val="18"/>
              </w:rPr>
              <w:t>16,380,000.00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路灯维护费</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其他城乡社区管理事务支出</w:t>
            </w:r>
          </w:p>
        </w:tc>
        <w:tc>
          <w:tcPr>
            <w:tcW w:w="1430" w:type="dxa"/>
            <w:tcBorders>
              <w:left w:val="nil"/>
            </w:tcBorders>
            <w:vAlign w:val="center"/>
          </w:tcPr>
          <w:p>
            <w:pPr>
              <w:jc w:val="center"/>
              <w:rPr>
                <w:color w:val="000000"/>
                <w:sz w:val="18"/>
                <w:szCs w:val="18"/>
              </w:rPr>
            </w:pPr>
            <w:r>
              <w:rPr>
                <w:color w:val="000000"/>
                <w:sz w:val="18"/>
                <w:szCs w:val="18"/>
              </w:rPr>
              <w:t>3,700,000.00</w:t>
            </w:r>
          </w:p>
        </w:tc>
        <w:tc>
          <w:tcPr>
            <w:tcW w:w="1350" w:type="dxa"/>
            <w:tcBorders>
              <w:left w:val="nil"/>
            </w:tcBorders>
            <w:vAlign w:val="center"/>
          </w:tcPr>
          <w:p>
            <w:pPr>
              <w:jc w:val="center"/>
              <w:rPr>
                <w:color w:val="000000"/>
                <w:sz w:val="18"/>
                <w:szCs w:val="18"/>
              </w:rPr>
            </w:pPr>
            <w:r>
              <w:rPr>
                <w:color w:val="000000"/>
                <w:sz w:val="18"/>
                <w:szCs w:val="18"/>
              </w:rPr>
              <w:t>3,700,000.00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绿化项目租地费</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其他城乡社区管理事务支出</w:t>
            </w:r>
          </w:p>
        </w:tc>
        <w:tc>
          <w:tcPr>
            <w:tcW w:w="1430" w:type="dxa"/>
            <w:tcBorders>
              <w:left w:val="nil"/>
            </w:tcBorders>
            <w:vAlign w:val="center"/>
          </w:tcPr>
          <w:p>
            <w:pPr>
              <w:jc w:val="center"/>
              <w:rPr>
                <w:color w:val="000000"/>
                <w:sz w:val="18"/>
                <w:szCs w:val="18"/>
              </w:rPr>
            </w:pPr>
            <w:r>
              <w:rPr>
                <w:color w:val="000000"/>
                <w:sz w:val="18"/>
                <w:szCs w:val="18"/>
              </w:rPr>
              <w:t>804,200.00</w:t>
            </w:r>
          </w:p>
        </w:tc>
        <w:tc>
          <w:tcPr>
            <w:tcW w:w="1350" w:type="dxa"/>
            <w:tcBorders>
              <w:left w:val="nil"/>
            </w:tcBorders>
            <w:vAlign w:val="center"/>
          </w:tcPr>
          <w:p>
            <w:pPr>
              <w:jc w:val="center"/>
              <w:rPr>
                <w:color w:val="000000"/>
                <w:sz w:val="18"/>
                <w:szCs w:val="18"/>
              </w:rPr>
            </w:pPr>
            <w:r>
              <w:rPr>
                <w:color w:val="000000"/>
                <w:sz w:val="18"/>
                <w:szCs w:val="18"/>
              </w:rPr>
              <w:t>804,200.00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农村环境整治（传统村落保护）</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农村环境保护</w:t>
            </w:r>
          </w:p>
        </w:tc>
        <w:tc>
          <w:tcPr>
            <w:tcW w:w="1430" w:type="dxa"/>
            <w:tcBorders>
              <w:left w:val="nil"/>
            </w:tcBorders>
            <w:vAlign w:val="center"/>
          </w:tcPr>
          <w:p>
            <w:pPr>
              <w:jc w:val="center"/>
              <w:rPr>
                <w:color w:val="000000"/>
                <w:sz w:val="18"/>
                <w:szCs w:val="18"/>
              </w:rPr>
            </w:pPr>
            <w:r>
              <w:rPr>
                <w:color w:val="000000"/>
                <w:sz w:val="18"/>
                <w:szCs w:val="18"/>
              </w:rPr>
              <w:t>1,500,000.00</w:t>
            </w:r>
          </w:p>
        </w:tc>
        <w:tc>
          <w:tcPr>
            <w:tcW w:w="1350" w:type="dxa"/>
            <w:tcBorders>
              <w:left w:val="nil"/>
            </w:tcBorders>
            <w:vAlign w:val="center"/>
          </w:tcPr>
          <w:p>
            <w:pPr>
              <w:jc w:val="center"/>
              <w:rPr>
                <w:color w:val="000000"/>
                <w:sz w:val="18"/>
                <w:szCs w:val="18"/>
              </w:rPr>
            </w:pPr>
            <w:r>
              <w:rPr>
                <w:color w:val="000000"/>
                <w:sz w:val="18"/>
                <w:szCs w:val="18"/>
              </w:rPr>
              <w:t>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1,500,000.00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农村生活污水治理设施运行维护费及运行状态监测费</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其他城市基础设施配套费安排的支出</w:t>
            </w:r>
          </w:p>
        </w:tc>
        <w:tc>
          <w:tcPr>
            <w:tcW w:w="1430" w:type="dxa"/>
            <w:tcBorders>
              <w:left w:val="nil"/>
            </w:tcBorders>
            <w:vAlign w:val="center"/>
          </w:tcPr>
          <w:p>
            <w:pPr>
              <w:jc w:val="center"/>
              <w:rPr>
                <w:color w:val="000000"/>
                <w:sz w:val="18"/>
                <w:szCs w:val="18"/>
              </w:rPr>
            </w:pPr>
            <w:r>
              <w:rPr>
                <w:color w:val="000000"/>
                <w:sz w:val="18"/>
                <w:szCs w:val="18"/>
              </w:rPr>
              <w:t>12,070,000.00</w:t>
            </w:r>
          </w:p>
        </w:tc>
        <w:tc>
          <w:tcPr>
            <w:tcW w:w="1350" w:type="dxa"/>
            <w:tcBorders>
              <w:left w:val="nil"/>
            </w:tcBorders>
            <w:vAlign w:val="center"/>
          </w:tcPr>
          <w:p>
            <w:pPr>
              <w:jc w:val="center"/>
              <w:rPr>
                <w:color w:val="000000"/>
                <w:sz w:val="18"/>
                <w:szCs w:val="18"/>
              </w:rPr>
            </w:pPr>
            <w:r>
              <w:rPr>
                <w:color w:val="000000"/>
                <w:sz w:val="18"/>
                <w:szCs w:val="18"/>
              </w:rPr>
              <w:t>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12,070,000.00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农村生活污水治理设施运行维护费及运行状态监测费</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其他国有土地使用权出让收入安排的支出</w:t>
            </w:r>
          </w:p>
        </w:tc>
        <w:tc>
          <w:tcPr>
            <w:tcW w:w="1430" w:type="dxa"/>
            <w:tcBorders>
              <w:left w:val="nil"/>
            </w:tcBorders>
            <w:vAlign w:val="center"/>
          </w:tcPr>
          <w:p>
            <w:pPr>
              <w:jc w:val="center"/>
              <w:rPr>
                <w:color w:val="000000"/>
                <w:sz w:val="18"/>
                <w:szCs w:val="18"/>
              </w:rPr>
            </w:pPr>
            <w:r>
              <w:rPr>
                <w:color w:val="000000"/>
                <w:sz w:val="18"/>
                <w:szCs w:val="18"/>
              </w:rPr>
              <w:t>1,430,000.00</w:t>
            </w:r>
          </w:p>
        </w:tc>
        <w:tc>
          <w:tcPr>
            <w:tcW w:w="1350" w:type="dxa"/>
            <w:tcBorders>
              <w:left w:val="nil"/>
            </w:tcBorders>
            <w:vAlign w:val="center"/>
          </w:tcPr>
          <w:p>
            <w:pPr>
              <w:jc w:val="center"/>
              <w:rPr>
                <w:color w:val="000000"/>
                <w:sz w:val="18"/>
                <w:szCs w:val="18"/>
              </w:rPr>
            </w:pPr>
            <w:r>
              <w:rPr>
                <w:color w:val="000000"/>
                <w:sz w:val="18"/>
                <w:szCs w:val="18"/>
              </w:rPr>
              <w:t>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1,430,000.00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农污设施部分提升改造及纳入城污建设</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其他国有土地使用权出让收入安排的支出</w:t>
            </w:r>
          </w:p>
        </w:tc>
        <w:tc>
          <w:tcPr>
            <w:tcW w:w="1430" w:type="dxa"/>
            <w:tcBorders>
              <w:left w:val="nil"/>
            </w:tcBorders>
            <w:vAlign w:val="center"/>
          </w:tcPr>
          <w:p>
            <w:pPr>
              <w:jc w:val="center"/>
              <w:rPr>
                <w:color w:val="000000"/>
                <w:sz w:val="18"/>
                <w:szCs w:val="18"/>
              </w:rPr>
            </w:pPr>
            <w:r>
              <w:rPr>
                <w:color w:val="000000"/>
                <w:sz w:val="18"/>
                <w:szCs w:val="18"/>
              </w:rPr>
              <w:t>23,000,000.00</w:t>
            </w:r>
          </w:p>
        </w:tc>
        <w:tc>
          <w:tcPr>
            <w:tcW w:w="1350" w:type="dxa"/>
            <w:tcBorders>
              <w:left w:val="nil"/>
            </w:tcBorders>
            <w:vAlign w:val="center"/>
          </w:tcPr>
          <w:p>
            <w:pPr>
              <w:jc w:val="center"/>
              <w:rPr>
                <w:color w:val="000000"/>
                <w:sz w:val="18"/>
                <w:szCs w:val="18"/>
              </w:rPr>
            </w:pPr>
            <w:r>
              <w:rPr>
                <w:color w:val="000000"/>
                <w:sz w:val="18"/>
                <w:szCs w:val="18"/>
              </w:rPr>
              <w:t>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23,000,000.00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农污设施部分提升改造及纳入城污建设</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其他城乡社区公共设施支出</w:t>
            </w:r>
          </w:p>
        </w:tc>
        <w:tc>
          <w:tcPr>
            <w:tcW w:w="1430" w:type="dxa"/>
            <w:tcBorders>
              <w:left w:val="nil"/>
            </w:tcBorders>
            <w:vAlign w:val="center"/>
          </w:tcPr>
          <w:p>
            <w:pPr>
              <w:jc w:val="center"/>
              <w:rPr>
                <w:color w:val="000000"/>
                <w:sz w:val="18"/>
                <w:szCs w:val="18"/>
              </w:rPr>
            </w:pPr>
            <w:r>
              <w:rPr>
                <w:color w:val="000000"/>
                <w:sz w:val="18"/>
                <w:szCs w:val="18"/>
              </w:rPr>
              <w:t>27,000,000.00</w:t>
            </w:r>
          </w:p>
        </w:tc>
        <w:tc>
          <w:tcPr>
            <w:tcW w:w="1350" w:type="dxa"/>
            <w:tcBorders>
              <w:left w:val="nil"/>
            </w:tcBorders>
            <w:vAlign w:val="center"/>
          </w:tcPr>
          <w:p>
            <w:pPr>
              <w:jc w:val="center"/>
              <w:rPr>
                <w:color w:val="000000"/>
                <w:sz w:val="18"/>
                <w:szCs w:val="18"/>
              </w:rPr>
            </w:pPr>
            <w:r>
              <w:rPr>
                <w:color w:val="000000"/>
                <w:sz w:val="18"/>
                <w:szCs w:val="18"/>
              </w:rPr>
              <w:t>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27,000,000.00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企业离退休干部费用</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其他城乡社区管理事务支出</w:t>
            </w:r>
          </w:p>
        </w:tc>
        <w:tc>
          <w:tcPr>
            <w:tcW w:w="1430" w:type="dxa"/>
            <w:tcBorders>
              <w:left w:val="nil"/>
            </w:tcBorders>
            <w:vAlign w:val="center"/>
          </w:tcPr>
          <w:p>
            <w:pPr>
              <w:jc w:val="center"/>
              <w:rPr>
                <w:color w:val="000000"/>
                <w:sz w:val="18"/>
                <w:szCs w:val="18"/>
              </w:rPr>
            </w:pPr>
            <w:r>
              <w:rPr>
                <w:color w:val="000000"/>
                <w:sz w:val="18"/>
                <w:szCs w:val="18"/>
              </w:rPr>
              <w:t>74,000.00</w:t>
            </w:r>
          </w:p>
        </w:tc>
        <w:tc>
          <w:tcPr>
            <w:tcW w:w="1350" w:type="dxa"/>
            <w:tcBorders>
              <w:left w:val="nil"/>
            </w:tcBorders>
            <w:vAlign w:val="center"/>
          </w:tcPr>
          <w:p>
            <w:pPr>
              <w:jc w:val="center"/>
              <w:rPr>
                <w:color w:val="000000"/>
                <w:sz w:val="18"/>
                <w:szCs w:val="18"/>
              </w:rPr>
            </w:pPr>
            <w:r>
              <w:rPr>
                <w:color w:val="000000"/>
                <w:sz w:val="18"/>
                <w:szCs w:val="18"/>
              </w:rPr>
              <w:t>74,000.00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全市危房保险及应急处置费用</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其他城乡社区公共设施支出</w:t>
            </w:r>
          </w:p>
        </w:tc>
        <w:tc>
          <w:tcPr>
            <w:tcW w:w="1430" w:type="dxa"/>
            <w:tcBorders>
              <w:left w:val="nil"/>
            </w:tcBorders>
            <w:vAlign w:val="center"/>
          </w:tcPr>
          <w:p>
            <w:pPr>
              <w:jc w:val="center"/>
              <w:rPr>
                <w:color w:val="000000"/>
                <w:sz w:val="18"/>
                <w:szCs w:val="18"/>
              </w:rPr>
            </w:pPr>
            <w:r>
              <w:rPr>
                <w:color w:val="000000"/>
                <w:sz w:val="18"/>
                <w:szCs w:val="18"/>
              </w:rPr>
              <w:t>3,568,000.00</w:t>
            </w:r>
          </w:p>
        </w:tc>
        <w:tc>
          <w:tcPr>
            <w:tcW w:w="1350" w:type="dxa"/>
            <w:tcBorders>
              <w:left w:val="nil"/>
            </w:tcBorders>
            <w:vAlign w:val="center"/>
          </w:tcPr>
          <w:p>
            <w:pPr>
              <w:jc w:val="center"/>
              <w:rPr>
                <w:color w:val="000000"/>
                <w:sz w:val="18"/>
                <w:szCs w:val="18"/>
              </w:rPr>
            </w:pPr>
            <w:r>
              <w:rPr>
                <w:color w:val="000000"/>
                <w:sz w:val="18"/>
                <w:szCs w:val="18"/>
              </w:rPr>
              <w:t>3,568,000.00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绕环城绿道及前溪综合保洁等工作</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城乡社区环境卫生</w:t>
            </w:r>
          </w:p>
        </w:tc>
        <w:tc>
          <w:tcPr>
            <w:tcW w:w="1430" w:type="dxa"/>
            <w:tcBorders>
              <w:left w:val="nil"/>
            </w:tcBorders>
            <w:vAlign w:val="center"/>
          </w:tcPr>
          <w:p>
            <w:pPr>
              <w:jc w:val="center"/>
              <w:rPr>
                <w:color w:val="000000"/>
                <w:sz w:val="18"/>
                <w:szCs w:val="18"/>
              </w:rPr>
            </w:pPr>
            <w:r>
              <w:rPr>
                <w:color w:val="000000"/>
                <w:sz w:val="18"/>
                <w:szCs w:val="18"/>
              </w:rPr>
              <w:t>1,000,000.00</w:t>
            </w:r>
          </w:p>
        </w:tc>
        <w:tc>
          <w:tcPr>
            <w:tcW w:w="1350" w:type="dxa"/>
            <w:tcBorders>
              <w:left w:val="nil"/>
            </w:tcBorders>
            <w:vAlign w:val="center"/>
          </w:tcPr>
          <w:p>
            <w:pPr>
              <w:jc w:val="center"/>
              <w:rPr>
                <w:color w:val="000000"/>
                <w:sz w:val="18"/>
                <w:szCs w:val="18"/>
              </w:rPr>
            </w:pPr>
            <w:r>
              <w:rPr>
                <w:color w:val="000000"/>
                <w:sz w:val="18"/>
                <w:szCs w:val="18"/>
              </w:rPr>
              <w:t>1,000,000.00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人防警报设备采购、维护管理费用</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其他城乡社区管理事务支出</w:t>
            </w:r>
          </w:p>
        </w:tc>
        <w:tc>
          <w:tcPr>
            <w:tcW w:w="1430" w:type="dxa"/>
            <w:tcBorders>
              <w:left w:val="nil"/>
            </w:tcBorders>
            <w:vAlign w:val="center"/>
          </w:tcPr>
          <w:p>
            <w:pPr>
              <w:jc w:val="center"/>
              <w:rPr>
                <w:color w:val="000000"/>
                <w:sz w:val="18"/>
                <w:szCs w:val="18"/>
              </w:rPr>
            </w:pPr>
            <w:r>
              <w:rPr>
                <w:color w:val="000000"/>
                <w:sz w:val="18"/>
                <w:szCs w:val="18"/>
              </w:rPr>
              <w:t>345,500.00</w:t>
            </w:r>
          </w:p>
        </w:tc>
        <w:tc>
          <w:tcPr>
            <w:tcW w:w="1350" w:type="dxa"/>
            <w:tcBorders>
              <w:left w:val="nil"/>
            </w:tcBorders>
            <w:vAlign w:val="center"/>
          </w:tcPr>
          <w:p>
            <w:pPr>
              <w:jc w:val="center"/>
              <w:rPr>
                <w:color w:val="000000"/>
                <w:sz w:val="18"/>
                <w:szCs w:val="18"/>
              </w:rPr>
            </w:pPr>
            <w:r>
              <w:rPr>
                <w:color w:val="000000"/>
                <w:sz w:val="18"/>
                <w:szCs w:val="18"/>
              </w:rPr>
              <w:t>345,500.00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施工图图审费用</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建设市场管理与监督</w:t>
            </w:r>
          </w:p>
        </w:tc>
        <w:tc>
          <w:tcPr>
            <w:tcW w:w="1430" w:type="dxa"/>
            <w:tcBorders>
              <w:left w:val="nil"/>
            </w:tcBorders>
            <w:vAlign w:val="center"/>
          </w:tcPr>
          <w:p>
            <w:pPr>
              <w:jc w:val="center"/>
              <w:rPr>
                <w:color w:val="000000"/>
                <w:sz w:val="18"/>
                <w:szCs w:val="18"/>
              </w:rPr>
            </w:pPr>
            <w:r>
              <w:rPr>
                <w:color w:val="000000"/>
                <w:sz w:val="18"/>
                <w:szCs w:val="18"/>
              </w:rPr>
              <w:t>9,000,000.00</w:t>
            </w:r>
          </w:p>
        </w:tc>
        <w:tc>
          <w:tcPr>
            <w:tcW w:w="1350" w:type="dxa"/>
            <w:tcBorders>
              <w:left w:val="nil"/>
            </w:tcBorders>
            <w:vAlign w:val="center"/>
          </w:tcPr>
          <w:p>
            <w:pPr>
              <w:jc w:val="center"/>
              <w:rPr>
                <w:color w:val="000000"/>
                <w:sz w:val="18"/>
                <w:szCs w:val="18"/>
              </w:rPr>
            </w:pPr>
            <w:r>
              <w:rPr>
                <w:color w:val="000000"/>
                <w:sz w:val="18"/>
                <w:szCs w:val="18"/>
              </w:rPr>
              <w:t>9,000,000.00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市区绿化美化提升经费</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其他城乡社区公共设施支出</w:t>
            </w:r>
          </w:p>
        </w:tc>
        <w:tc>
          <w:tcPr>
            <w:tcW w:w="1430" w:type="dxa"/>
            <w:tcBorders>
              <w:left w:val="nil"/>
            </w:tcBorders>
            <w:vAlign w:val="center"/>
          </w:tcPr>
          <w:p>
            <w:pPr>
              <w:jc w:val="center"/>
              <w:rPr>
                <w:color w:val="000000"/>
                <w:sz w:val="18"/>
                <w:szCs w:val="18"/>
              </w:rPr>
            </w:pPr>
            <w:r>
              <w:rPr>
                <w:color w:val="000000"/>
                <w:sz w:val="18"/>
                <w:szCs w:val="18"/>
              </w:rPr>
              <w:t>2,500,000.00</w:t>
            </w:r>
          </w:p>
        </w:tc>
        <w:tc>
          <w:tcPr>
            <w:tcW w:w="1350" w:type="dxa"/>
            <w:tcBorders>
              <w:left w:val="nil"/>
            </w:tcBorders>
            <w:vAlign w:val="center"/>
          </w:tcPr>
          <w:p>
            <w:pPr>
              <w:jc w:val="center"/>
              <w:rPr>
                <w:color w:val="000000"/>
                <w:sz w:val="18"/>
                <w:szCs w:val="18"/>
              </w:rPr>
            </w:pPr>
            <w:r>
              <w:rPr>
                <w:color w:val="000000"/>
                <w:sz w:val="18"/>
                <w:szCs w:val="18"/>
              </w:rPr>
              <w:t>2,500,000.00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市政养护费（海绵城市设施维护）</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其他城市基础设施配套费安排的支出</w:t>
            </w:r>
          </w:p>
        </w:tc>
        <w:tc>
          <w:tcPr>
            <w:tcW w:w="1430" w:type="dxa"/>
            <w:tcBorders>
              <w:left w:val="nil"/>
            </w:tcBorders>
            <w:vAlign w:val="center"/>
          </w:tcPr>
          <w:p>
            <w:pPr>
              <w:jc w:val="center"/>
              <w:rPr>
                <w:color w:val="000000"/>
                <w:sz w:val="18"/>
                <w:szCs w:val="18"/>
              </w:rPr>
            </w:pPr>
            <w:r>
              <w:rPr>
                <w:color w:val="000000"/>
                <w:sz w:val="18"/>
                <w:szCs w:val="18"/>
              </w:rPr>
              <w:t>28,180,000.00</w:t>
            </w:r>
          </w:p>
        </w:tc>
        <w:tc>
          <w:tcPr>
            <w:tcW w:w="1350" w:type="dxa"/>
            <w:tcBorders>
              <w:left w:val="nil"/>
            </w:tcBorders>
            <w:vAlign w:val="center"/>
          </w:tcPr>
          <w:p>
            <w:pPr>
              <w:jc w:val="center"/>
              <w:rPr>
                <w:color w:val="000000"/>
                <w:sz w:val="18"/>
                <w:szCs w:val="18"/>
              </w:rPr>
            </w:pPr>
            <w:r>
              <w:rPr>
                <w:color w:val="000000"/>
                <w:sz w:val="18"/>
                <w:szCs w:val="18"/>
              </w:rPr>
              <w:t>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28,180,000.00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温岭市加装电梯补贴及监理费用</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其他城乡社区公共设施支出</w:t>
            </w:r>
          </w:p>
        </w:tc>
        <w:tc>
          <w:tcPr>
            <w:tcW w:w="1430" w:type="dxa"/>
            <w:tcBorders>
              <w:left w:val="nil"/>
            </w:tcBorders>
            <w:vAlign w:val="center"/>
          </w:tcPr>
          <w:p>
            <w:pPr>
              <w:jc w:val="center"/>
              <w:rPr>
                <w:color w:val="000000"/>
                <w:sz w:val="18"/>
                <w:szCs w:val="18"/>
              </w:rPr>
            </w:pPr>
            <w:r>
              <w:rPr>
                <w:color w:val="000000"/>
                <w:sz w:val="18"/>
                <w:szCs w:val="18"/>
              </w:rPr>
              <w:t>4,800,000.00</w:t>
            </w:r>
          </w:p>
        </w:tc>
        <w:tc>
          <w:tcPr>
            <w:tcW w:w="1350" w:type="dxa"/>
            <w:tcBorders>
              <w:left w:val="nil"/>
            </w:tcBorders>
            <w:vAlign w:val="center"/>
          </w:tcPr>
          <w:p>
            <w:pPr>
              <w:jc w:val="center"/>
              <w:rPr>
                <w:color w:val="000000"/>
                <w:sz w:val="18"/>
                <w:szCs w:val="18"/>
              </w:rPr>
            </w:pPr>
            <w:r>
              <w:rPr>
                <w:color w:val="000000"/>
                <w:sz w:val="18"/>
                <w:szCs w:val="18"/>
              </w:rPr>
              <w:t>4,800,000.00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污水零直排建设工程</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其他国有土地使用权出让收入安排的支出</w:t>
            </w:r>
          </w:p>
        </w:tc>
        <w:tc>
          <w:tcPr>
            <w:tcW w:w="1430" w:type="dxa"/>
            <w:tcBorders>
              <w:left w:val="nil"/>
            </w:tcBorders>
            <w:vAlign w:val="center"/>
          </w:tcPr>
          <w:p>
            <w:pPr>
              <w:jc w:val="center"/>
              <w:rPr>
                <w:color w:val="000000"/>
                <w:sz w:val="18"/>
                <w:szCs w:val="18"/>
              </w:rPr>
            </w:pPr>
            <w:r>
              <w:rPr>
                <w:color w:val="000000"/>
                <w:sz w:val="18"/>
                <w:szCs w:val="18"/>
              </w:rPr>
              <w:t>32,000,000.00</w:t>
            </w:r>
          </w:p>
        </w:tc>
        <w:tc>
          <w:tcPr>
            <w:tcW w:w="1350" w:type="dxa"/>
            <w:tcBorders>
              <w:left w:val="nil"/>
            </w:tcBorders>
            <w:vAlign w:val="center"/>
          </w:tcPr>
          <w:p>
            <w:pPr>
              <w:jc w:val="center"/>
              <w:rPr>
                <w:color w:val="000000"/>
                <w:sz w:val="18"/>
                <w:szCs w:val="18"/>
              </w:rPr>
            </w:pPr>
            <w:r>
              <w:rPr>
                <w:color w:val="000000"/>
                <w:sz w:val="18"/>
                <w:szCs w:val="18"/>
              </w:rPr>
              <w:t>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32,000,000.00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污水零直排建设工程</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其他城乡社区公共设施支出</w:t>
            </w:r>
          </w:p>
        </w:tc>
        <w:tc>
          <w:tcPr>
            <w:tcW w:w="1430" w:type="dxa"/>
            <w:tcBorders>
              <w:left w:val="nil"/>
            </w:tcBorders>
            <w:vAlign w:val="center"/>
          </w:tcPr>
          <w:p>
            <w:pPr>
              <w:jc w:val="center"/>
              <w:rPr>
                <w:color w:val="000000"/>
                <w:sz w:val="18"/>
                <w:szCs w:val="18"/>
              </w:rPr>
            </w:pPr>
            <w:r>
              <w:rPr>
                <w:color w:val="000000"/>
                <w:sz w:val="18"/>
                <w:szCs w:val="18"/>
              </w:rPr>
              <w:t>49,000,000.00</w:t>
            </w:r>
          </w:p>
        </w:tc>
        <w:tc>
          <w:tcPr>
            <w:tcW w:w="1350" w:type="dxa"/>
            <w:tcBorders>
              <w:left w:val="nil"/>
            </w:tcBorders>
            <w:vAlign w:val="center"/>
          </w:tcPr>
          <w:p>
            <w:pPr>
              <w:jc w:val="center"/>
              <w:rPr>
                <w:color w:val="000000"/>
                <w:sz w:val="18"/>
                <w:szCs w:val="18"/>
              </w:rPr>
            </w:pPr>
            <w:r>
              <w:rPr>
                <w:color w:val="000000"/>
                <w:sz w:val="18"/>
                <w:szCs w:val="18"/>
              </w:rPr>
              <w:t>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49,000,000.00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物业管理运行经费</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其他城乡社区管理事务支出</w:t>
            </w:r>
          </w:p>
        </w:tc>
        <w:tc>
          <w:tcPr>
            <w:tcW w:w="1430" w:type="dxa"/>
            <w:tcBorders>
              <w:left w:val="nil"/>
            </w:tcBorders>
            <w:vAlign w:val="center"/>
          </w:tcPr>
          <w:p>
            <w:pPr>
              <w:jc w:val="center"/>
              <w:rPr>
                <w:color w:val="000000"/>
                <w:sz w:val="18"/>
                <w:szCs w:val="18"/>
              </w:rPr>
            </w:pPr>
            <w:r>
              <w:rPr>
                <w:color w:val="000000"/>
                <w:sz w:val="18"/>
                <w:szCs w:val="18"/>
              </w:rPr>
              <w:t>358,000.00</w:t>
            </w:r>
          </w:p>
        </w:tc>
        <w:tc>
          <w:tcPr>
            <w:tcW w:w="1350" w:type="dxa"/>
            <w:tcBorders>
              <w:left w:val="nil"/>
            </w:tcBorders>
            <w:vAlign w:val="center"/>
          </w:tcPr>
          <w:p>
            <w:pPr>
              <w:jc w:val="center"/>
              <w:rPr>
                <w:color w:val="000000"/>
                <w:sz w:val="18"/>
                <w:szCs w:val="18"/>
              </w:rPr>
            </w:pPr>
            <w:r>
              <w:rPr>
                <w:color w:val="000000"/>
                <w:sz w:val="18"/>
                <w:szCs w:val="18"/>
              </w:rPr>
              <w:t>358,000.00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雨水管网市场化养护</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其他城乡社区公共设施支出</w:t>
            </w:r>
          </w:p>
        </w:tc>
        <w:tc>
          <w:tcPr>
            <w:tcW w:w="1430" w:type="dxa"/>
            <w:tcBorders>
              <w:left w:val="nil"/>
            </w:tcBorders>
            <w:vAlign w:val="center"/>
          </w:tcPr>
          <w:p>
            <w:pPr>
              <w:jc w:val="center"/>
              <w:rPr>
                <w:color w:val="000000"/>
                <w:sz w:val="18"/>
                <w:szCs w:val="18"/>
              </w:rPr>
            </w:pPr>
            <w:r>
              <w:rPr>
                <w:color w:val="000000"/>
                <w:sz w:val="18"/>
                <w:szCs w:val="18"/>
              </w:rPr>
              <w:t>1,500,000.00</w:t>
            </w:r>
          </w:p>
        </w:tc>
        <w:tc>
          <w:tcPr>
            <w:tcW w:w="1350" w:type="dxa"/>
            <w:tcBorders>
              <w:left w:val="nil"/>
            </w:tcBorders>
            <w:vAlign w:val="center"/>
          </w:tcPr>
          <w:p>
            <w:pPr>
              <w:jc w:val="center"/>
              <w:rPr>
                <w:color w:val="000000"/>
                <w:sz w:val="18"/>
                <w:szCs w:val="18"/>
              </w:rPr>
            </w:pPr>
            <w:r>
              <w:rPr>
                <w:color w:val="000000"/>
                <w:sz w:val="18"/>
                <w:szCs w:val="18"/>
              </w:rPr>
              <w:t>1,500,000.00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镇级污水处理设施及城镇覆盖村污水管网建设</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其他国有土地使用权出让收入安排的支出</w:t>
            </w:r>
          </w:p>
        </w:tc>
        <w:tc>
          <w:tcPr>
            <w:tcW w:w="1430" w:type="dxa"/>
            <w:tcBorders>
              <w:left w:val="nil"/>
            </w:tcBorders>
            <w:vAlign w:val="center"/>
          </w:tcPr>
          <w:p>
            <w:pPr>
              <w:jc w:val="center"/>
              <w:rPr>
                <w:color w:val="000000"/>
                <w:sz w:val="18"/>
                <w:szCs w:val="18"/>
              </w:rPr>
            </w:pPr>
            <w:r>
              <w:rPr>
                <w:color w:val="000000"/>
                <w:sz w:val="18"/>
                <w:szCs w:val="18"/>
              </w:rPr>
              <w:t>11,000,000.00</w:t>
            </w:r>
          </w:p>
        </w:tc>
        <w:tc>
          <w:tcPr>
            <w:tcW w:w="1350" w:type="dxa"/>
            <w:tcBorders>
              <w:left w:val="nil"/>
            </w:tcBorders>
            <w:vAlign w:val="center"/>
          </w:tcPr>
          <w:p>
            <w:pPr>
              <w:jc w:val="center"/>
              <w:rPr>
                <w:color w:val="000000"/>
                <w:sz w:val="18"/>
                <w:szCs w:val="18"/>
              </w:rPr>
            </w:pPr>
            <w:r>
              <w:rPr>
                <w:color w:val="000000"/>
                <w:sz w:val="18"/>
                <w:szCs w:val="18"/>
              </w:rPr>
              <w:t>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11,000,000.00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镇级污水处理设施及城镇覆盖村污水管网建设</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其他城乡社区公共设施支出</w:t>
            </w:r>
          </w:p>
        </w:tc>
        <w:tc>
          <w:tcPr>
            <w:tcW w:w="1430" w:type="dxa"/>
            <w:tcBorders>
              <w:left w:val="nil"/>
            </w:tcBorders>
            <w:vAlign w:val="center"/>
          </w:tcPr>
          <w:p>
            <w:pPr>
              <w:jc w:val="center"/>
              <w:rPr>
                <w:color w:val="000000"/>
                <w:sz w:val="18"/>
                <w:szCs w:val="18"/>
              </w:rPr>
            </w:pPr>
            <w:r>
              <w:rPr>
                <w:color w:val="000000"/>
                <w:sz w:val="18"/>
                <w:szCs w:val="18"/>
              </w:rPr>
              <w:t>19,000,000.00</w:t>
            </w:r>
          </w:p>
        </w:tc>
        <w:tc>
          <w:tcPr>
            <w:tcW w:w="1350" w:type="dxa"/>
            <w:tcBorders>
              <w:left w:val="nil"/>
            </w:tcBorders>
            <w:vAlign w:val="center"/>
          </w:tcPr>
          <w:p>
            <w:pPr>
              <w:jc w:val="center"/>
              <w:rPr>
                <w:color w:val="000000"/>
                <w:sz w:val="18"/>
                <w:szCs w:val="18"/>
              </w:rPr>
            </w:pPr>
            <w:r>
              <w:rPr>
                <w:color w:val="000000"/>
                <w:sz w:val="18"/>
                <w:szCs w:val="18"/>
              </w:rPr>
              <w:t>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19,000,000.00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治乱提质环境整治工程</w:t>
            </w:r>
            <w:r>
              <w:rPr>
                <w:b/>
                <w:bCs/>
                <w:color w:val="000000"/>
                <w:sz w:val="18"/>
                <w:szCs w:val="18"/>
              </w:rPr>
              <w:t xml:space="preserve"> </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其他城乡社区公共设施支出</w:t>
            </w:r>
          </w:p>
        </w:tc>
        <w:tc>
          <w:tcPr>
            <w:tcW w:w="1430" w:type="dxa"/>
            <w:tcBorders>
              <w:left w:val="nil"/>
            </w:tcBorders>
            <w:vAlign w:val="center"/>
          </w:tcPr>
          <w:p>
            <w:pPr>
              <w:jc w:val="center"/>
              <w:rPr>
                <w:color w:val="000000"/>
                <w:sz w:val="18"/>
                <w:szCs w:val="18"/>
              </w:rPr>
            </w:pPr>
            <w:r>
              <w:rPr>
                <w:color w:val="000000"/>
                <w:sz w:val="18"/>
                <w:szCs w:val="18"/>
              </w:rPr>
              <w:t>10,000,000.00</w:t>
            </w:r>
          </w:p>
        </w:tc>
        <w:tc>
          <w:tcPr>
            <w:tcW w:w="1350" w:type="dxa"/>
            <w:tcBorders>
              <w:left w:val="nil"/>
            </w:tcBorders>
            <w:vAlign w:val="center"/>
          </w:tcPr>
          <w:p>
            <w:pPr>
              <w:jc w:val="center"/>
              <w:rPr>
                <w:color w:val="000000"/>
                <w:sz w:val="18"/>
                <w:szCs w:val="18"/>
              </w:rPr>
            </w:pPr>
            <w:r>
              <w:rPr>
                <w:color w:val="000000"/>
                <w:sz w:val="18"/>
                <w:szCs w:val="18"/>
              </w:rPr>
              <w:t>10,000,000.00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主城区雨水管网</w:t>
            </w:r>
            <w:r>
              <w:rPr>
                <w:b/>
                <w:bCs/>
                <w:color w:val="000000"/>
                <w:sz w:val="18"/>
                <w:szCs w:val="18"/>
              </w:rPr>
              <w:t>CCTV</w:t>
            </w:r>
            <w:r>
              <w:rPr>
                <w:rFonts w:hint="eastAsia" w:hAnsi="宋体" w:cs="宋体"/>
                <w:b/>
                <w:bCs/>
                <w:color w:val="000000"/>
                <w:sz w:val="18"/>
                <w:szCs w:val="18"/>
              </w:rPr>
              <w:t>检测</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其他城乡社区公共设施支出</w:t>
            </w:r>
          </w:p>
        </w:tc>
        <w:tc>
          <w:tcPr>
            <w:tcW w:w="1430" w:type="dxa"/>
            <w:tcBorders>
              <w:left w:val="nil"/>
            </w:tcBorders>
            <w:vAlign w:val="center"/>
          </w:tcPr>
          <w:p>
            <w:pPr>
              <w:jc w:val="center"/>
              <w:rPr>
                <w:color w:val="000000"/>
                <w:sz w:val="18"/>
                <w:szCs w:val="18"/>
              </w:rPr>
            </w:pPr>
            <w:r>
              <w:rPr>
                <w:color w:val="000000"/>
                <w:sz w:val="18"/>
                <w:szCs w:val="18"/>
              </w:rPr>
              <w:t>2,000,000.00</w:t>
            </w:r>
          </w:p>
        </w:tc>
        <w:tc>
          <w:tcPr>
            <w:tcW w:w="1350" w:type="dxa"/>
            <w:tcBorders>
              <w:left w:val="nil"/>
            </w:tcBorders>
            <w:vAlign w:val="center"/>
          </w:tcPr>
          <w:p>
            <w:pPr>
              <w:jc w:val="center"/>
              <w:rPr>
                <w:color w:val="000000"/>
                <w:sz w:val="18"/>
                <w:szCs w:val="18"/>
              </w:rPr>
            </w:pPr>
            <w:r>
              <w:rPr>
                <w:color w:val="000000"/>
                <w:sz w:val="18"/>
                <w:szCs w:val="18"/>
              </w:rPr>
              <w:t>2,000,000.00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发展建设类项目支出</w:t>
            </w:r>
          </w:p>
        </w:tc>
        <w:tc>
          <w:tcPr>
            <w:tcW w:w="1374" w:type="dxa"/>
            <w:tcBorders>
              <w:left w:val="nil"/>
            </w:tcBorders>
            <w:vAlign w:val="center"/>
          </w:tcPr>
          <w:p>
            <w:pPr>
              <w:jc w:val="center"/>
              <w:rPr>
                <w:color w:val="000000"/>
                <w:sz w:val="18"/>
                <w:szCs w:val="18"/>
              </w:rPr>
            </w:pPr>
          </w:p>
        </w:tc>
        <w:tc>
          <w:tcPr>
            <w:tcW w:w="1430" w:type="dxa"/>
            <w:tcBorders>
              <w:left w:val="nil"/>
            </w:tcBorders>
            <w:vAlign w:val="center"/>
          </w:tcPr>
          <w:p>
            <w:pPr>
              <w:jc w:val="center"/>
              <w:rPr>
                <w:color w:val="000000"/>
                <w:sz w:val="18"/>
                <w:szCs w:val="18"/>
              </w:rPr>
            </w:pPr>
            <w:r>
              <w:rPr>
                <w:color w:val="000000"/>
                <w:sz w:val="18"/>
                <w:szCs w:val="18"/>
              </w:rPr>
              <w:t>49,132,989.00</w:t>
            </w:r>
          </w:p>
        </w:tc>
        <w:tc>
          <w:tcPr>
            <w:tcW w:w="1350" w:type="dxa"/>
            <w:tcBorders>
              <w:left w:val="nil"/>
            </w:tcBorders>
            <w:vAlign w:val="center"/>
          </w:tcPr>
          <w:p>
            <w:pPr>
              <w:jc w:val="center"/>
              <w:rPr>
                <w:color w:val="000000"/>
                <w:sz w:val="18"/>
                <w:szCs w:val="18"/>
              </w:rPr>
            </w:pPr>
            <w:r>
              <w:rPr>
                <w:color w:val="000000"/>
                <w:sz w:val="18"/>
                <w:szCs w:val="18"/>
              </w:rPr>
              <w:t>26,632,989.00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22,500,000.00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w:t>
            </w:r>
            <w:r>
              <w:rPr>
                <w:rFonts w:hint="eastAsia" w:hAnsi="宋体" w:cs="宋体"/>
                <w:b/>
                <w:bCs/>
                <w:color w:val="000000"/>
                <w:sz w:val="18"/>
                <w:szCs w:val="18"/>
              </w:rPr>
              <w:t>建设经费</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其他国有土地使用权出让收入安排的支出</w:t>
            </w:r>
          </w:p>
        </w:tc>
        <w:tc>
          <w:tcPr>
            <w:tcW w:w="1430" w:type="dxa"/>
            <w:tcBorders>
              <w:left w:val="nil"/>
            </w:tcBorders>
            <w:vAlign w:val="center"/>
          </w:tcPr>
          <w:p>
            <w:pPr>
              <w:jc w:val="center"/>
              <w:rPr>
                <w:color w:val="000000"/>
                <w:sz w:val="18"/>
                <w:szCs w:val="18"/>
              </w:rPr>
            </w:pPr>
            <w:r>
              <w:rPr>
                <w:color w:val="000000"/>
                <w:sz w:val="18"/>
                <w:szCs w:val="18"/>
              </w:rPr>
              <w:t>12,000,000.00</w:t>
            </w:r>
          </w:p>
        </w:tc>
        <w:tc>
          <w:tcPr>
            <w:tcW w:w="1350" w:type="dxa"/>
            <w:tcBorders>
              <w:left w:val="nil"/>
            </w:tcBorders>
            <w:vAlign w:val="center"/>
          </w:tcPr>
          <w:p>
            <w:pPr>
              <w:jc w:val="center"/>
              <w:rPr>
                <w:color w:val="000000"/>
                <w:sz w:val="18"/>
                <w:szCs w:val="18"/>
              </w:rPr>
            </w:pPr>
            <w:r>
              <w:rPr>
                <w:color w:val="000000"/>
                <w:sz w:val="18"/>
                <w:szCs w:val="18"/>
              </w:rPr>
              <w:t>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12,000,000.00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办公设备购置</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其他城乡社区管理事务支出</w:t>
            </w:r>
          </w:p>
        </w:tc>
        <w:tc>
          <w:tcPr>
            <w:tcW w:w="1430" w:type="dxa"/>
            <w:tcBorders>
              <w:left w:val="nil"/>
            </w:tcBorders>
            <w:vAlign w:val="center"/>
          </w:tcPr>
          <w:p>
            <w:pPr>
              <w:jc w:val="center"/>
              <w:rPr>
                <w:color w:val="000000"/>
                <w:sz w:val="18"/>
                <w:szCs w:val="18"/>
              </w:rPr>
            </w:pPr>
            <w:r>
              <w:rPr>
                <w:color w:val="000000"/>
                <w:sz w:val="18"/>
                <w:szCs w:val="18"/>
              </w:rPr>
              <w:t>411,800.00</w:t>
            </w:r>
          </w:p>
        </w:tc>
        <w:tc>
          <w:tcPr>
            <w:tcW w:w="1350" w:type="dxa"/>
            <w:tcBorders>
              <w:left w:val="nil"/>
            </w:tcBorders>
            <w:vAlign w:val="center"/>
          </w:tcPr>
          <w:p>
            <w:pPr>
              <w:jc w:val="center"/>
              <w:rPr>
                <w:color w:val="000000"/>
                <w:sz w:val="18"/>
                <w:szCs w:val="18"/>
              </w:rPr>
            </w:pPr>
            <w:r>
              <w:rPr>
                <w:color w:val="000000"/>
                <w:sz w:val="18"/>
                <w:szCs w:val="18"/>
              </w:rPr>
              <w:t>411,800.00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保障房运行管理及维护经费</w:t>
            </w:r>
            <w:r>
              <w:rPr>
                <w:b/>
                <w:bCs/>
                <w:color w:val="000000"/>
                <w:sz w:val="18"/>
                <w:szCs w:val="18"/>
              </w:rPr>
              <w:t xml:space="preserve">    </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廉租住房支出</w:t>
            </w:r>
          </w:p>
        </w:tc>
        <w:tc>
          <w:tcPr>
            <w:tcW w:w="1430" w:type="dxa"/>
            <w:tcBorders>
              <w:left w:val="nil"/>
            </w:tcBorders>
            <w:vAlign w:val="center"/>
          </w:tcPr>
          <w:p>
            <w:pPr>
              <w:jc w:val="center"/>
              <w:rPr>
                <w:color w:val="000000"/>
                <w:sz w:val="18"/>
                <w:szCs w:val="18"/>
              </w:rPr>
            </w:pPr>
            <w:r>
              <w:rPr>
                <w:color w:val="000000"/>
                <w:sz w:val="18"/>
                <w:szCs w:val="18"/>
              </w:rPr>
              <w:t>8,000,000.00</w:t>
            </w:r>
          </w:p>
        </w:tc>
        <w:tc>
          <w:tcPr>
            <w:tcW w:w="1350" w:type="dxa"/>
            <w:tcBorders>
              <w:left w:val="nil"/>
            </w:tcBorders>
            <w:vAlign w:val="center"/>
          </w:tcPr>
          <w:p>
            <w:pPr>
              <w:jc w:val="center"/>
              <w:rPr>
                <w:color w:val="000000"/>
                <w:sz w:val="18"/>
                <w:szCs w:val="18"/>
              </w:rPr>
            </w:pPr>
            <w:r>
              <w:rPr>
                <w:color w:val="000000"/>
                <w:sz w:val="18"/>
                <w:szCs w:val="18"/>
              </w:rPr>
              <w:t>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8,000,000.00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东辉阁修缮</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其他城乡社区公共设施支出</w:t>
            </w:r>
          </w:p>
        </w:tc>
        <w:tc>
          <w:tcPr>
            <w:tcW w:w="1430" w:type="dxa"/>
            <w:tcBorders>
              <w:left w:val="nil"/>
            </w:tcBorders>
            <w:vAlign w:val="center"/>
          </w:tcPr>
          <w:p>
            <w:pPr>
              <w:jc w:val="center"/>
              <w:rPr>
                <w:color w:val="000000"/>
                <w:sz w:val="18"/>
                <w:szCs w:val="18"/>
              </w:rPr>
            </w:pPr>
            <w:r>
              <w:rPr>
                <w:color w:val="000000"/>
                <w:sz w:val="18"/>
                <w:szCs w:val="18"/>
              </w:rPr>
              <w:t>480,000.00</w:t>
            </w:r>
          </w:p>
        </w:tc>
        <w:tc>
          <w:tcPr>
            <w:tcW w:w="1350" w:type="dxa"/>
            <w:tcBorders>
              <w:left w:val="nil"/>
            </w:tcBorders>
            <w:vAlign w:val="center"/>
          </w:tcPr>
          <w:p>
            <w:pPr>
              <w:jc w:val="center"/>
              <w:rPr>
                <w:color w:val="000000"/>
                <w:sz w:val="18"/>
                <w:szCs w:val="18"/>
              </w:rPr>
            </w:pPr>
            <w:r>
              <w:rPr>
                <w:color w:val="000000"/>
                <w:sz w:val="18"/>
                <w:szCs w:val="18"/>
              </w:rPr>
              <w:t>480,000.00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锦屏公园木栈道维修</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其他城乡社区公共设施支出</w:t>
            </w:r>
          </w:p>
        </w:tc>
        <w:tc>
          <w:tcPr>
            <w:tcW w:w="1430" w:type="dxa"/>
            <w:tcBorders>
              <w:left w:val="nil"/>
            </w:tcBorders>
            <w:vAlign w:val="center"/>
          </w:tcPr>
          <w:p>
            <w:pPr>
              <w:jc w:val="center"/>
              <w:rPr>
                <w:color w:val="000000"/>
                <w:sz w:val="18"/>
                <w:szCs w:val="18"/>
              </w:rPr>
            </w:pPr>
            <w:r>
              <w:rPr>
                <w:color w:val="000000"/>
                <w:sz w:val="18"/>
                <w:szCs w:val="18"/>
              </w:rPr>
              <w:t>800,000.00</w:t>
            </w:r>
          </w:p>
        </w:tc>
        <w:tc>
          <w:tcPr>
            <w:tcW w:w="1350" w:type="dxa"/>
            <w:tcBorders>
              <w:left w:val="nil"/>
            </w:tcBorders>
            <w:vAlign w:val="center"/>
          </w:tcPr>
          <w:p>
            <w:pPr>
              <w:jc w:val="center"/>
              <w:rPr>
                <w:color w:val="000000"/>
                <w:sz w:val="18"/>
                <w:szCs w:val="18"/>
              </w:rPr>
            </w:pPr>
            <w:r>
              <w:rPr>
                <w:color w:val="000000"/>
                <w:sz w:val="18"/>
                <w:szCs w:val="18"/>
              </w:rPr>
              <w:t>800,000.00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绿道桥下通道及东辉阁亮化改造</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其他城乡社区公共设施支出</w:t>
            </w:r>
          </w:p>
        </w:tc>
        <w:tc>
          <w:tcPr>
            <w:tcW w:w="1430" w:type="dxa"/>
            <w:tcBorders>
              <w:left w:val="nil"/>
            </w:tcBorders>
            <w:vAlign w:val="center"/>
          </w:tcPr>
          <w:p>
            <w:pPr>
              <w:jc w:val="center"/>
              <w:rPr>
                <w:color w:val="000000"/>
                <w:sz w:val="18"/>
                <w:szCs w:val="18"/>
              </w:rPr>
            </w:pPr>
            <w:r>
              <w:rPr>
                <w:color w:val="000000"/>
                <w:sz w:val="18"/>
                <w:szCs w:val="18"/>
              </w:rPr>
              <w:t>2,000,000.00</w:t>
            </w:r>
          </w:p>
        </w:tc>
        <w:tc>
          <w:tcPr>
            <w:tcW w:w="1350" w:type="dxa"/>
            <w:tcBorders>
              <w:left w:val="nil"/>
            </w:tcBorders>
            <w:vAlign w:val="center"/>
          </w:tcPr>
          <w:p>
            <w:pPr>
              <w:jc w:val="center"/>
              <w:rPr>
                <w:color w:val="000000"/>
                <w:sz w:val="18"/>
                <w:szCs w:val="18"/>
              </w:rPr>
            </w:pPr>
            <w:r>
              <w:rPr>
                <w:color w:val="000000"/>
                <w:sz w:val="18"/>
                <w:szCs w:val="18"/>
              </w:rPr>
              <w:t>2,000,000.00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桥梁检测工程费用</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其他城乡社区公共设施支出</w:t>
            </w:r>
          </w:p>
        </w:tc>
        <w:tc>
          <w:tcPr>
            <w:tcW w:w="1430" w:type="dxa"/>
            <w:tcBorders>
              <w:left w:val="nil"/>
            </w:tcBorders>
            <w:vAlign w:val="center"/>
          </w:tcPr>
          <w:p>
            <w:pPr>
              <w:jc w:val="center"/>
              <w:rPr>
                <w:color w:val="000000"/>
                <w:sz w:val="18"/>
                <w:szCs w:val="18"/>
              </w:rPr>
            </w:pPr>
            <w:r>
              <w:rPr>
                <w:color w:val="000000"/>
                <w:sz w:val="18"/>
                <w:szCs w:val="18"/>
              </w:rPr>
              <w:t>500,000.00</w:t>
            </w:r>
          </w:p>
        </w:tc>
        <w:tc>
          <w:tcPr>
            <w:tcW w:w="1350" w:type="dxa"/>
            <w:tcBorders>
              <w:left w:val="nil"/>
            </w:tcBorders>
            <w:vAlign w:val="center"/>
          </w:tcPr>
          <w:p>
            <w:pPr>
              <w:jc w:val="center"/>
              <w:rPr>
                <w:color w:val="000000"/>
                <w:sz w:val="18"/>
                <w:szCs w:val="18"/>
              </w:rPr>
            </w:pPr>
            <w:r>
              <w:rPr>
                <w:color w:val="000000"/>
                <w:sz w:val="18"/>
                <w:szCs w:val="18"/>
              </w:rPr>
              <w:t>500,000.00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桥头接线修复工程</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其他城乡社区公共设施支出</w:t>
            </w:r>
          </w:p>
        </w:tc>
        <w:tc>
          <w:tcPr>
            <w:tcW w:w="1430" w:type="dxa"/>
            <w:tcBorders>
              <w:left w:val="nil"/>
            </w:tcBorders>
            <w:vAlign w:val="center"/>
          </w:tcPr>
          <w:p>
            <w:pPr>
              <w:jc w:val="center"/>
              <w:rPr>
                <w:color w:val="000000"/>
                <w:sz w:val="18"/>
                <w:szCs w:val="18"/>
              </w:rPr>
            </w:pPr>
            <w:r>
              <w:rPr>
                <w:color w:val="000000"/>
                <w:sz w:val="18"/>
                <w:szCs w:val="18"/>
              </w:rPr>
              <w:t>1,500,000.00</w:t>
            </w:r>
          </w:p>
        </w:tc>
        <w:tc>
          <w:tcPr>
            <w:tcW w:w="1350" w:type="dxa"/>
            <w:tcBorders>
              <w:left w:val="nil"/>
            </w:tcBorders>
            <w:vAlign w:val="center"/>
          </w:tcPr>
          <w:p>
            <w:pPr>
              <w:jc w:val="center"/>
              <w:rPr>
                <w:color w:val="000000"/>
                <w:sz w:val="18"/>
                <w:szCs w:val="18"/>
              </w:rPr>
            </w:pPr>
            <w:r>
              <w:rPr>
                <w:color w:val="000000"/>
                <w:sz w:val="18"/>
                <w:szCs w:val="18"/>
              </w:rPr>
              <w:t>1,500,000.00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市政设施购置费</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其他城乡社区公共设施支出</w:t>
            </w:r>
          </w:p>
        </w:tc>
        <w:tc>
          <w:tcPr>
            <w:tcW w:w="1430" w:type="dxa"/>
            <w:tcBorders>
              <w:left w:val="nil"/>
            </w:tcBorders>
            <w:vAlign w:val="center"/>
          </w:tcPr>
          <w:p>
            <w:pPr>
              <w:jc w:val="center"/>
              <w:rPr>
                <w:color w:val="000000"/>
                <w:sz w:val="18"/>
                <w:szCs w:val="18"/>
              </w:rPr>
            </w:pPr>
            <w:r>
              <w:rPr>
                <w:color w:val="000000"/>
                <w:sz w:val="18"/>
                <w:szCs w:val="18"/>
              </w:rPr>
              <w:t>1,000,000.00</w:t>
            </w:r>
          </w:p>
        </w:tc>
        <w:tc>
          <w:tcPr>
            <w:tcW w:w="1350" w:type="dxa"/>
            <w:tcBorders>
              <w:left w:val="nil"/>
            </w:tcBorders>
            <w:vAlign w:val="center"/>
          </w:tcPr>
          <w:p>
            <w:pPr>
              <w:jc w:val="center"/>
              <w:rPr>
                <w:color w:val="000000"/>
                <w:sz w:val="18"/>
                <w:szCs w:val="18"/>
              </w:rPr>
            </w:pPr>
            <w:r>
              <w:rPr>
                <w:color w:val="000000"/>
                <w:sz w:val="18"/>
                <w:szCs w:val="18"/>
              </w:rPr>
              <w:t>1,000,000.00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西环路与万昌西路西北角口袋公园改造</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其他城乡社区公共设施支出</w:t>
            </w:r>
          </w:p>
        </w:tc>
        <w:tc>
          <w:tcPr>
            <w:tcW w:w="1430" w:type="dxa"/>
            <w:tcBorders>
              <w:left w:val="nil"/>
            </w:tcBorders>
            <w:vAlign w:val="center"/>
          </w:tcPr>
          <w:p>
            <w:pPr>
              <w:jc w:val="center"/>
              <w:rPr>
                <w:color w:val="000000"/>
                <w:sz w:val="18"/>
                <w:szCs w:val="18"/>
              </w:rPr>
            </w:pPr>
            <w:r>
              <w:rPr>
                <w:color w:val="000000"/>
                <w:sz w:val="18"/>
                <w:szCs w:val="18"/>
              </w:rPr>
              <w:t>1,200,000.00</w:t>
            </w:r>
          </w:p>
        </w:tc>
        <w:tc>
          <w:tcPr>
            <w:tcW w:w="1350" w:type="dxa"/>
            <w:tcBorders>
              <w:left w:val="nil"/>
            </w:tcBorders>
            <w:vAlign w:val="center"/>
          </w:tcPr>
          <w:p>
            <w:pPr>
              <w:jc w:val="center"/>
              <w:rPr>
                <w:color w:val="000000"/>
                <w:sz w:val="18"/>
                <w:szCs w:val="18"/>
              </w:rPr>
            </w:pPr>
            <w:r>
              <w:rPr>
                <w:color w:val="000000"/>
                <w:sz w:val="18"/>
                <w:szCs w:val="18"/>
              </w:rPr>
              <w:t>1,200,000.00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以前年度结算款</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其他城乡社区公共设施支出</w:t>
            </w:r>
          </w:p>
        </w:tc>
        <w:tc>
          <w:tcPr>
            <w:tcW w:w="1430" w:type="dxa"/>
            <w:tcBorders>
              <w:left w:val="nil"/>
            </w:tcBorders>
            <w:vAlign w:val="center"/>
          </w:tcPr>
          <w:p>
            <w:pPr>
              <w:jc w:val="center"/>
              <w:rPr>
                <w:color w:val="000000"/>
                <w:sz w:val="18"/>
                <w:szCs w:val="18"/>
              </w:rPr>
            </w:pPr>
            <w:r>
              <w:rPr>
                <w:color w:val="000000"/>
                <w:sz w:val="18"/>
                <w:szCs w:val="18"/>
              </w:rPr>
              <w:t>6,441,189.00</w:t>
            </w:r>
          </w:p>
        </w:tc>
        <w:tc>
          <w:tcPr>
            <w:tcW w:w="1350" w:type="dxa"/>
            <w:tcBorders>
              <w:left w:val="nil"/>
            </w:tcBorders>
            <w:vAlign w:val="center"/>
          </w:tcPr>
          <w:p>
            <w:pPr>
              <w:jc w:val="center"/>
              <w:rPr>
                <w:color w:val="000000"/>
                <w:sz w:val="18"/>
                <w:szCs w:val="18"/>
              </w:rPr>
            </w:pPr>
            <w:r>
              <w:rPr>
                <w:color w:val="000000"/>
                <w:sz w:val="18"/>
                <w:szCs w:val="18"/>
              </w:rPr>
              <w:t>6,441,189.00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雨水管网非开挖修复</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其他城乡社区公共设施支出</w:t>
            </w:r>
          </w:p>
        </w:tc>
        <w:tc>
          <w:tcPr>
            <w:tcW w:w="1430" w:type="dxa"/>
            <w:tcBorders>
              <w:left w:val="nil"/>
            </w:tcBorders>
            <w:vAlign w:val="center"/>
          </w:tcPr>
          <w:p>
            <w:pPr>
              <w:jc w:val="center"/>
              <w:rPr>
                <w:color w:val="000000"/>
                <w:sz w:val="18"/>
                <w:szCs w:val="18"/>
              </w:rPr>
            </w:pPr>
            <w:r>
              <w:rPr>
                <w:color w:val="000000"/>
                <w:sz w:val="18"/>
                <w:szCs w:val="18"/>
              </w:rPr>
              <w:t>4,500,000.00</w:t>
            </w:r>
          </w:p>
        </w:tc>
        <w:tc>
          <w:tcPr>
            <w:tcW w:w="1350" w:type="dxa"/>
            <w:tcBorders>
              <w:left w:val="nil"/>
            </w:tcBorders>
            <w:vAlign w:val="center"/>
          </w:tcPr>
          <w:p>
            <w:pPr>
              <w:jc w:val="center"/>
              <w:rPr>
                <w:color w:val="000000"/>
                <w:sz w:val="18"/>
                <w:szCs w:val="18"/>
              </w:rPr>
            </w:pPr>
            <w:r>
              <w:rPr>
                <w:color w:val="000000"/>
                <w:sz w:val="18"/>
                <w:szCs w:val="18"/>
              </w:rPr>
              <w:t>4,500,000.00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中央通道城北互通亮化工程</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其他城市基础设施配套费安</w:t>
            </w:r>
          </w:p>
        </w:tc>
        <w:tc>
          <w:tcPr>
            <w:tcW w:w="1430" w:type="dxa"/>
            <w:tcBorders>
              <w:left w:val="nil"/>
            </w:tcBorders>
            <w:vAlign w:val="center"/>
          </w:tcPr>
          <w:p>
            <w:pPr>
              <w:jc w:val="center"/>
              <w:rPr>
                <w:color w:val="000000"/>
                <w:sz w:val="18"/>
                <w:szCs w:val="18"/>
              </w:rPr>
            </w:pPr>
            <w:r>
              <w:rPr>
                <w:color w:val="000000"/>
                <w:sz w:val="18"/>
                <w:szCs w:val="18"/>
              </w:rPr>
              <w:t>2,500,000.00</w:t>
            </w:r>
          </w:p>
        </w:tc>
        <w:tc>
          <w:tcPr>
            <w:tcW w:w="1350" w:type="dxa"/>
            <w:tcBorders>
              <w:left w:val="nil"/>
            </w:tcBorders>
            <w:vAlign w:val="center"/>
          </w:tcPr>
          <w:p>
            <w:pPr>
              <w:jc w:val="center"/>
              <w:rPr>
                <w:color w:val="000000"/>
                <w:sz w:val="18"/>
                <w:szCs w:val="18"/>
              </w:rPr>
            </w:pPr>
            <w:r>
              <w:rPr>
                <w:color w:val="000000"/>
                <w:sz w:val="18"/>
                <w:szCs w:val="18"/>
              </w:rPr>
              <w:t>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2,500,000.00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主城区排污口及雨污混接整治</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其他城乡社区公共设施支出</w:t>
            </w:r>
          </w:p>
        </w:tc>
        <w:tc>
          <w:tcPr>
            <w:tcW w:w="1430" w:type="dxa"/>
            <w:tcBorders>
              <w:left w:val="nil"/>
            </w:tcBorders>
            <w:vAlign w:val="center"/>
          </w:tcPr>
          <w:p>
            <w:pPr>
              <w:jc w:val="center"/>
              <w:rPr>
                <w:color w:val="000000"/>
                <w:sz w:val="18"/>
                <w:szCs w:val="18"/>
              </w:rPr>
            </w:pPr>
            <w:r>
              <w:rPr>
                <w:color w:val="000000"/>
                <w:sz w:val="18"/>
                <w:szCs w:val="18"/>
              </w:rPr>
              <w:t>1,800,000.00</w:t>
            </w:r>
          </w:p>
        </w:tc>
        <w:tc>
          <w:tcPr>
            <w:tcW w:w="1350" w:type="dxa"/>
            <w:tcBorders>
              <w:left w:val="nil"/>
            </w:tcBorders>
            <w:vAlign w:val="center"/>
          </w:tcPr>
          <w:p>
            <w:pPr>
              <w:jc w:val="center"/>
              <w:rPr>
                <w:color w:val="000000"/>
                <w:sz w:val="18"/>
                <w:szCs w:val="18"/>
              </w:rPr>
            </w:pPr>
            <w:r>
              <w:rPr>
                <w:color w:val="000000"/>
                <w:sz w:val="18"/>
                <w:szCs w:val="18"/>
              </w:rPr>
              <w:t>1,800,000.00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主城区人行道整治工程</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其他城乡社区公共设施支出</w:t>
            </w:r>
          </w:p>
        </w:tc>
        <w:tc>
          <w:tcPr>
            <w:tcW w:w="1430" w:type="dxa"/>
            <w:tcBorders>
              <w:left w:val="nil"/>
            </w:tcBorders>
            <w:vAlign w:val="center"/>
          </w:tcPr>
          <w:p>
            <w:pPr>
              <w:jc w:val="center"/>
              <w:rPr>
                <w:color w:val="000000"/>
                <w:sz w:val="18"/>
                <w:szCs w:val="18"/>
              </w:rPr>
            </w:pPr>
            <w:r>
              <w:rPr>
                <w:color w:val="000000"/>
                <w:sz w:val="18"/>
                <w:szCs w:val="18"/>
              </w:rPr>
              <w:t>6,000,000.00</w:t>
            </w:r>
          </w:p>
        </w:tc>
        <w:tc>
          <w:tcPr>
            <w:tcW w:w="1350" w:type="dxa"/>
            <w:tcBorders>
              <w:left w:val="nil"/>
            </w:tcBorders>
            <w:vAlign w:val="center"/>
          </w:tcPr>
          <w:p>
            <w:pPr>
              <w:jc w:val="center"/>
              <w:rPr>
                <w:color w:val="000000"/>
                <w:sz w:val="18"/>
                <w:szCs w:val="18"/>
              </w:rPr>
            </w:pPr>
            <w:r>
              <w:rPr>
                <w:color w:val="000000"/>
                <w:sz w:val="18"/>
                <w:szCs w:val="18"/>
              </w:rPr>
              <w:t>6,000,000.00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温岭市住房保障和房管事务中心</w:t>
            </w:r>
          </w:p>
        </w:tc>
        <w:tc>
          <w:tcPr>
            <w:tcW w:w="1374" w:type="dxa"/>
            <w:tcBorders>
              <w:left w:val="nil"/>
            </w:tcBorders>
            <w:vAlign w:val="center"/>
          </w:tcPr>
          <w:p>
            <w:pPr>
              <w:jc w:val="center"/>
              <w:rPr>
                <w:color w:val="000000"/>
                <w:sz w:val="18"/>
                <w:szCs w:val="18"/>
              </w:rPr>
            </w:pPr>
          </w:p>
        </w:tc>
        <w:tc>
          <w:tcPr>
            <w:tcW w:w="1430" w:type="dxa"/>
            <w:tcBorders>
              <w:left w:val="nil"/>
            </w:tcBorders>
            <w:vAlign w:val="center"/>
          </w:tcPr>
          <w:p>
            <w:pPr>
              <w:jc w:val="center"/>
              <w:rPr>
                <w:color w:val="000000"/>
                <w:sz w:val="18"/>
                <w:szCs w:val="18"/>
              </w:rPr>
            </w:pPr>
            <w:r>
              <w:rPr>
                <w:color w:val="000000"/>
                <w:sz w:val="18"/>
                <w:szCs w:val="18"/>
              </w:rPr>
              <w:t>11,733,960.20</w:t>
            </w:r>
          </w:p>
        </w:tc>
        <w:tc>
          <w:tcPr>
            <w:tcW w:w="1350" w:type="dxa"/>
            <w:tcBorders>
              <w:left w:val="nil"/>
            </w:tcBorders>
            <w:vAlign w:val="center"/>
          </w:tcPr>
          <w:p>
            <w:pPr>
              <w:jc w:val="center"/>
              <w:rPr>
                <w:color w:val="000000"/>
                <w:sz w:val="18"/>
                <w:szCs w:val="18"/>
              </w:rPr>
            </w:pPr>
            <w:r>
              <w:rPr>
                <w:color w:val="000000"/>
                <w:sz w:val="18"/>
                <w:szCs w:val="18"/>
              </w:rPr>
              <w:t>11,733,960.20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基本支出</w:t>
            </w:r>
          </w:p>
        </w:tc>
        <w:tc>
          <w:tcPr>
            <w:tcW w:w="1374" w:type="dxa"/>
            <w:tcBorders>
              <w:left w:val="nil"/>
            </w:tcBorders>
            <w:vAlign w:val="center"/>
          </w:tcPr>
          <w:p>
            <w:pPr>
              <w:jc w:val="center"/>
              <w:rPr>
                <w:color w:val="000000"/>
                <w:sz w:val="18"/>
                <w:szCs w:val="18"/>
              </w:rPr>
            </w:pPr>
          </w:p>
        </w:tc>
        <w:tc>
          <w:tcPr>
            <w:tcW w:w="1430" w:type="dxa"/>
            <w:tcBorders>
              <w:left w:val="nil"/>
            </w:tcBorders>
            <w:vAlign w:val="center"/>
          </w:tcPr>
          <w:p>
            <w:pPr>
              <w:jc w:val="center"/>
              <w:rPr>
                <w:color w:val="000000"/>
                <w:sz w:val="18"/>
                <w:szCs w:val="18"/>
              </w:rPr>
            </w:pPr>
            <w:r>
              <w:rPr>
                <w:color w:val="000000"/>
                <w:sz w:val="18"/>
                <w:szCs w:val="18"/>
              </w:rPr>
              <w:t>11,733,960.20</w:t>
            </w:r>
          </w:p>
        </w:tc>
        <w:tc>
          <w:tcPr>
            <w:tcW w:w="1350" w:type="dxa"/>
            <w:tcBorders>
              <w:left w:val="nil"/>
            </w:tcBorders>
            <w:vAlign w:val="center"/>
          </w:tcPr>
          <w:p>
            <w:pPr>
              <w:jc w:val="center"/>
              <w:rPr>
                <w:color w:val="000000"/>
                <w:sz w:val="18"/>
                <w:szCs w:val="18"/>
              </w:rPr>
            </w:pPr>
            <w:r>
              <w:rPr>
                <w:color w:val="000000"/>
                <w:sz w:val="18"/>
                <w:szCs w:val="18"/>
              </w:rPr>
              <w:t>11,733,960.20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工资福利支出</w:t>
            </w:r>
          </w:p>
        </w:tc>
        <w:tc>
          <w:tcPr>
            <w:tcW w:w="1374" w:type="dxa"/>
            <w:tcBorders>
              <w:left w:val="nil"/>
            </w:tcBorders>
            <w:vAlign w:val="center"/>
          </w:tcPr>
          <w:p>
            <w:pPr>
              <w:jc w:val="center"/>
              <w:rPr>
                <w:color w:val="000000"/>
                <w:sz w:val="18"/>
                <w:szCs w:val="18"/>
              </w:rPr>
            </w:pPr>
          </w:p>
        </w:tc>
        <w:tc>
          <w:tcPr>
            <w:tcW w:w="1430" w:type="dxa"/>
            <w:tcBorders>
              <w:left w:val="nil"/>
            </w:tcBorders>
            <w:vAlign w:val="center"/>
          </w:tcPr>
          <w:p>
            <w:pPr>
              <w:jc w:val="center"/>
              <w:rPr>
                <w:color w:val="000000"/>
                <w:sz w:val="18"/>
                <w:szCs w:val="18"/>
              </w:rPr>
            </w:pPr>
            <w:r>
              <w:rPr>
                <w:color w:val="000000"/>
                <w:sz w:val="18"/>
                <w:szCs w:val="18"/>
              </w:rPr>
              <w:t>9,951,925.20</w:t>
            </w:r>
          </w:p>
        </w:tc>
        <w:tc>
          <w:tcPr>
            <w:tcW w:w="1350" w:type="dxa"/>
            <w:tcBorders>
              <w:left w:val="nil"/>
            </w:tcBorders>
            <w:vAlign w:val="center"/>
          </w:tcPr>
          <w:p>
            <w:pPr>
              <w:jc w:val="center"/>
              <w:rPr>
                <w:color w:val="000000"/>
                <w:sz w:val="18"/>
                <w:szCs w:val="18"/>
              </w:rPr>
            </w:pPr>
            <w:r>
              <w:rPr>
                <w:color w:val="000000"/>
                <w:sz w:val="18"/>
                <w:szCs w:val="18"/>
              </w:rPr>
              <w:t>9,951,925.20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工资福利支出</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机关事业单位基本养老保险缴费支出</w:t>
            </w:r>
          </w:p>
        </w:tc>
        <w:tc>
          <w:tcPr>
            <w:tcW w:w="1430" w:type="dxa"/>
            <w:tcBorders>
              <w:left w:val="nil"/>
            </w:tcBorders>
            <w:vAlign w:val="center"/>
          </w:tcPr>
          <w:p>
            <w:pPr>
              <w:jc w:val="center"/>
              <w:rPr>
                <w:color w:val="000000"/>
                <w:sz w:val="18"/>
                <w:szCs w:val="18"/>
              </w:rPr>
            </w:pPr>
            <w:r>
              <w:rPr>
                <w:color w:val="000000"/>
                <w:sz w:val="18"/>
                <w:szCs w:val="18"/>
              </w:rPr>
              <w:t>756,220.80</w:t>
            </w:r>
          </w:p>
        </w:tc>
        <w:tc>
          <w:tcPr>
            <w:tcW w:w="1350" w:type="dxa"/>
            <w:tcBorders>
              <w:left w:val="nil"/>
            </w:tcBorders>
            <w:vAlign w:val="center"/>
          </w:tcPr>
          <w:p>
            <w:pPr>
              <w:jc w:val="center"/>
              <w:rPr>
                <w:color w:val="000000"/>
                <w:sz w:val="18"/>
                <w:szCs w:val="18"/>
              </w:rPr>
            </w:pPr>
            <w:r>
              <w:rPr>
                <w:color w:val="000000"/>
                <w:sz w:val="18"/>
                <w:szCs w:val="18"/>
              </w:rPr>
              <w:t>756,220.80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工资福利支出</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机关事业单位职业年金缴费支出</w:t>
            </w:r>
          </w:p>
        </w:tc>
        <w:tc>
          <w:tcPr>
            <w:tcW w:w="1430" w:type="dxa"/>
            <w:tcBorders>
              <w:left w:val="nil"/>
            </w:tcBorders>
            <w:vAlign w:val="center"/>
          </w:tcPr>
          <w:p>
            <w:pPr>
              <w:jc w:val="center"/>
              <w:rPr>
                <w:color w:val="000000"/>
                <w:sz w:val="18"/>
                <w:szCs w:val="18"/>
              </w:rPr>
            </w:pPr>
            <w:r>
              <w:rPr>
                <w:color w:val="000000"/>
                <w:sz w:val="18"/>
                <w:szCs w:val="18"/>
              </w:rPr>
              <w:t>378,110.40</w:t>
            </w:r>
          </w:p>
        </w:tc>
        <w:tc>
          <w:tcPr>
            <w:tcW w:w="1350" w:type="dxa"/>
            <w:tcBorders>
              <w:left w:val="nil"/>
            </w:tcBorders>
            <w:vAlign w:val="center"/>
          </w:tcPr>
          <w:p>
            <w:pPr>
              <w:jc w:val="center"/>
              <w:rPr>
                <w:color w:val="000000"/>
                <w:sz w:val="18"/>
                <w:szCs w:val="18"/>
              </w:rPr>
            </w:pPr>
            <w:r>
              <w:rPr>
                <w:color w:val="000000"/>
                <w:sz w:val="18"/>
                <w:szCs w:val="18"/>
              </w:rPr>
              <w:t>378,110.40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工资福利支出</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其他城乡社区管理事务支出</w:t>
            </w:r>
          </w:p>
        </w:tc>
        <w:tc>
          <w:tcPr>
            <w:tcW w:w="1430" w:type="dxa"/>
            <w:tcBorders>
              <w:left w:val="nil"/>
            </w:tcBorders>
            <w:vAlign w:val="center"/>
          </w:tcPr>
          <w:p>
            <w:pPr>
              <w:jc w:val="center"/>
              <w:rPr>
                <w:color w:val="000000"/>
                <w:sz w:val="18"/>
                <w:szCs w:val="18"/>
              </w:rPr>
            </w:pPr>
            <w:r>
              <w:rPr>
                <w:color w:val="000000"/>
                <w:sz w:val="18"/>
                <w:szCs w:val="18"/>
              </w:rPr>
              <w:t>8,817,594.00</w:t>
            </w:r>
          </w:p>
        </w:tc>
        <w:tc>
          <w:tcPr>
            <w:tcW w:w="1350" w:type="dxa"/>
            <w:tcBorders>
              <w:left w:val="nil"/>
            </w:tcBorders>
            <w:vAlign w:val="center"/>
          </w:tcPr>
          <w:p>
            <w:pPr>
              <w:jc w:val="center"/>
              <w:rPr>
                <w:color w:val="000000"/>
                <w:sz w:val="18"/>
                <w:szCs w:val="18"/>
              </w:rPr>
            </w:pPr>
            <w:r>
              <w:rPr>
                <w:color w:val="000000"/>
                <w:sz w:val="18"/>
                <w:szCs w:val="18"/>
              </w:rPr>
              <w:t>8,817,594.00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其他基本支出</w:t>
            </w:r>
          </w:p>
        </w:tc>
        <w:tc>
          <w:tcPr>
            <w:tcW w:w="1374" w:type="dxa"/>
            <w:tcBorders>
              <w:left w:val="nil"/>
            </w:tcBorders>
            <w:vAlign w:val="center"/>
          </w:tcPr>
          <w:p>
            <w:pPr>
              <w:jc w:val="center"/>
              <w:rPr>
                <w:color w:val="000000"/>
                <w:sz w:val="18"/>
                <w:szCs w:val="18"/>
              </w:rPr>
            </w:pPr>
          </w:p>
        </w:tc>
        <w:tc>
          <w:tcPr>
            <w:tcW w:w="1430" w:type="dxa"/>
            <w:tcBorders>
              <w:left w:val="nil"/>
            </w:tcBorders>
            <w:vAlign w:val="center"/>
          </w:tcPr>
          <w:p>
            <w:pPr>
              <w:jc w:val="center"/>
              <w:rPr>
                <w:color w:val="000000"/>
                <w:sz w:val="18"/>
                <w:szCs w:val="18"/>
              </w:rPr>
            </w:pPr>
            <w:r>
              <w:rPr>
                <w:color w:val="000000"/>
                <w:sz w:val="18"/>
                <w:szCs w:val="18"/>
              </w:rPr>
              <w:t>1,262,200.00</w:t>
            </w:r>
          </w:p>
        </w:tc>
        <w:tc>
          <w:tcPr>
            <w:tcW w:w="1350" w:type="dxa"/>
            <w:tcBorders>
              <w:left w:val="nil"/>
            </w:tcBorders>
            <w:vAlign w:val="center"/>
          </w:tcPr>
          <w:p>
            <w:pPr>
              <w:jc w:val="center"/>
              <w:rPr>
                <w:color w:val="000000"/>
                <w:sz w:val="18"/>
                <w:szCs w:val="18"/>
              </w:rPr>
            </w:pPr>
            <w:r>
              <w:rPr>
                <w:color w:val="000000"/>
                <w:sz w:val="18"/>
                <w:szCs w:val="18"/>
              </w:rPr>
              <w:t>1,262,200.00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其他基本支出</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其他城乡社区管理事务支出</w:t>
            </w:r>
          </w:p>
        </w:tc>
        <w:tc>
          <w:tcPr>
            <w:tcW w:w="1430" w:type="dxa"/>
            <w:tcBorders>
              <w:left w:val="nil"/>
            </w:tcBorders>
            <w:vAlign w:val="center"/>
          </w:tcPr>
          <w:p>
            <w:pPr>
              <w:jc w:val="center"/>
              <w:rPr>
                <w:color w:val="000000"/>
                <w:sz w:val="18"/>
                <w:szCs w:val="18"/>
              </w:rPr>
            </w:pPr>
            <w:r>
              <w:rPr>
                <w:color w:val="000000"/>
                <w:sz w:val="18"/>
                <w:szCs w:val="18"/>
              </w:rPr>
              <w:t>1,262,200.00</w:t>
            </w:r>
          </w:p>
        </w:tc>
        <w:tc>
          <w:tcPr>
            <w:tcW w:w="1350" w:type="dxa"/>
            <w:tcBorders>
              <w:left w:val="nil"/>
            </w:tcBorders>
            <w:vAlign w:val="center"/>
          </w:tcPr>
          <w:p>
            <w:pPr>
              <w:jc w:val="center"/>
              <w:rPr>
                <w:color w:val="000000"/>
                <w:sz w:val="18"/>
                <w:szCs w:val="18"/>
              </w:rPr>
            </w:pPr>
            <w:r>
              <w:rPr>
                <w:color w:val="000000"/>
                <w:sz w:val="18"/>
                <w:szCs w:val="18"/>
              </w:rPr>
              <w:t>1,262,200.00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对个人和家庭的补助支出</w:t>
            </w:r>
          </w:p>
        </w:tc>
        <w:tc>
          <w:tcPr>
            <w:tcW w:w="1374" w:type="dxa"/>
            <w:tcBorders>
              <w:left w:val="nil"/>
            </w:tcBorders>
            <w:vAlign w:val="center"/>
          </w:tcPr>
          <w:p>
            <w:pPr>
              <w:jc w:val="center"/>
              <w:rPr>
                <w:color w:val="000000"/>
                <w:sz w:val="18"/>
                <w:szCs w:val="18"/>
              </w:rPr>
            </w:pPr>
          </w:p>
        </w:tc>
        <w:tc>
          <w:tcPr>
            <w:tcW w:w="1430" w:type="dxa"/>
            <w:tcBorders>
              <w:left w:val="nil"/>
            </w:tcBorders>
            <w:vAlign w:val="center"/>
          </w:tcPr>
          <w:p>
            <w:pPr>
              <w:jc w:val="center"/>
              <w:rPr>
                <w:color w:val="000000"/>
                <w:sz w:val="18"/>
                <w:szCs w:val="18"/>
              </w:rPr>
            </w:pPr>
            <w:r>
              <w:rPr>
                <w:color w:val="000000"/>
                <w:sz w:val="18"/>
                <w:szCs w:val="18"/>
              </w:rPr>
              <w:t>519,835.00</w:t>
            </w:r>
          </w:p>
        </w:tc>
        <w:tc>
          <w:tcPr>
            <w:tcW w:w="1350" w:type="dxa"/>
            <w:tcBorders>
              <w:left w:val="nil"/>
            </w:tcBorders>
            <w:vAlign w:val="center"/>
          </w:tcPr>
          <w:p>
            <w:pPr>
              <w:jc w:val="center"/>
              <w:rPr>
                <w:color w:val="000000"/>
                <w:sz w:val="18"/>
                <w:szCs w:val="18"/>
              </w:rPr>
            </w:pPr>
            <w:r>
              <w:rPr>
                <w:color w:val="000000"/>
                <w:sz w:val="18"/>
                <w:szCs w:val="18"/>
              </w:rPr>
              <w:t>519,835.00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对个人和家庭的补助支出</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其他城乡社区管理事务支出</w:t>
            </w:r>
          </w:p>
        </w:tc>
        <w:tc>
          <w:tcPr>
            <w:tcW w:w="1430" w:type="dxa"/>
            <w:tcBorders>
              <w:left w:val="nil"/>
            </w:tcBorders>
            <w:vAlign w:val="center"/>
          </w:tcPr>
          <w:p>
            <w:pPr>
              <w:jc w:val="center"/>
              <w:rPr>
                <w:color w:val="000000"/>
                <w:sz w:val="18"/>
                <w:szCs w:val="18"/>
              </w:rPr>
            </w:pPr>
            <w:r>
              <w:rPr>
                <w:color w:val="000000"/>
                <w:sz w:val="18"/>
                <w:szCs w:val="18"/>
              </w:rPr>
              <w:t>519,835.00</w:t>
            </w:r>
          </w:p>
        </w:tc>
        <w:tc>
          <w:tcPr>
            <w:tcW w:w="1350" w:type="dxa"/>
            <w:tcBorders>
              <w:left w:val="nil"/>
            </w:tcBorders>
            <w:vAlign w:val="center"/>
          </w:tcPr>
          <w:p>
            <w:pPr>
              <w:jc w:val="center"/>
              <w:rPr>
                <w:color w:val="000000"/>
                <w:sz w:val="18"/>
                <w:szCs w:val="18"/>
              </w:rPr>
            </w:pPr>
            <w:r>
              <w:rPr>
                <w:color w:val="000000"/>
                <w:sz w:val="18"/>
                <w:szCs w:val="18"/>
              </w:rPr>
              <w:t>519,835.00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温岭市建筑工程质量安全事务中心</w:t>
            </w:r>
          </w:p>
        </w:tc>
        <w:tc>
          <w:tcPr>
            <w:tcW w:w="1374" w:type="dxa"/>
            <w:tcBorders>
              <w:left w:val="nil"/>
            </w:tcBorders>
            <w:vAlign w:val="center"/>
          </w:tcPr>
          <w:p>
            <w:pPr>
              <w:jc w:val="center"/>
              <w:rPr>
                <w:color w:val="000000"/>
                <w:sz w:val="18"/>
                <w:szCs w:val="18"/>
              </w:rPr>
            </w:pPr>
          </w:p>
        </w:tc>
        <w:tc>
          <w:tcPr>
            <w:tcW w:w="1430" w:type="dxa"/>
            <w:tcBorders>
              <w:left w:val="nil"/>
            </w:tcBorders>
            <w:vAlign w:val="center"/>
          </w:tcPr>
          <w:p>
            <w:pPr>
              <w:jc w:val="center"/>
              <w:rPr>
                <w:color w:val="000000"/>
                <w:sz w:val="18"/>
                <w:szCs w:val="18"/>
              </w:rPr>
            </w:pPr>
            <w:r>
              <w:rPr>
                <w:color w:val="000000"/>
                <w:sz w:val="18"/>
                <w:szCs w:val="18"/>
              </w:rPr>
              <w:t>7,908,235.28</w:t>
            </w:r>
          </w:p>
        </w:tc>
        <w:tc>
          <w:tcPr>
            <w:tcW w:w="1350" w:type="dxa"/>
            <w:tcBorders>
              <w:left w:val="nil"/>
            </w:tcBorders>
            <w:vAlign w:val="center"/>
          </w:tcPr>
          <w:p>
            <w:pPr>
              <w:jc w:val="center"/>
              <w:rPr>
                <w:color w:val="000000"/>
                <w:sz w:val="18"/>
                <w:szCs w:val="18"/>
              </w:rPr>
            </w:pPr>
            <w:r>
              <w:rPr>
                <w:color w:val="000000"/>
                <w:sz w:val="18"/>
                <w:szCs w:val="18"/>
              </w:rPr>
              <w:t>3,183,493.72</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4,724,741.56</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基本支出</w:t>
            </w:r>
          </w:p>
        </w:tc>
        <w:tc>
          <w:tcPr>
            <w:tcW w:w="1374" w:type="dxa"/>
            <w:tcBorders>
              <w:left w:val="nil"/>
            </w:tcBorders>
            <w:vAlign w:val="center"/>
          </w:tcPr>
          <w:p>
            <w:pPr>
              <w:jc w:val="center"/>
              <w:rPr>
                <w:color w:val="000000"/>
                <w:sz w:val="18"/>
                <w:szCs w:val="18"/>
              </w:rPr>
            </w:pPr>
          </w:p>
        </w:tc>
        <w:tc>
          <w:tcPr>
            <w:tcW w:w="1430" w:type="dxa"/>
            <w:tcBorders>
              <w:left w:val="nil"/>
            </w:tcBorders>
            <w:vAlign w:val="center"/>
          </w:tcPr>
          <w:p>
            <w:pPr>
              <w:jc w:val="center"/>
              <w:rPr>
                <w:color w:val="000000"/>
                <w:sz w:val="18"/>
                <w:szCs w:val="18"/>
              </w:rPr>
            </w:pPr>
            <w:r>
              <w:rPr>
                <w:color w:val="000000"/>
                <w:sz w:val="18"/>
                <w:szCs w:val="18"/>
              </w:rPr>
              <w:t>6,208,235.28</w:t>
            </w:r>
          </w:p>
        </w:tc>
        <w:tc>
          <w:tcPr>
            <w:tcW w:w="1350" w:type="dxa"/>
            <w:tcBorders>
              <w:left w:val="nil"/>
            </w:tcBorders>
            <w:vAlign w:val="center"/>
          </w:tcPr>
          <w:p>
            <w:pPr>
              <w:jc w:val="center"/>
              <w:rPr>
                <w:color w:val="000000"/>
                <w:sz w:val="18"/>
                <w:szCs w:val="18"/>
              </w:rPr>
            </w:pPr>
            <w:r>
              <w:rPr>
                <w:color w:val="000000"/>
                <w:sz w:val="18"/>
                <w:szCs w:val="18"/>
              </w:rPr>
              <w:t>1,775,315.28</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4,432,920.00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工资福利支出</w:t>
            </w:r>
          </w:p>
        </w:tc>
        <w:tc>
          <w:tcPr>
            <w:tcW w:w="1374" w:type="dxa"/>
            <w:tcBorders>
              <w:left w:val="nil"/>
            </w:tcBorders>
            <w:vAlign w:val="center"/>
          </w:tcPr>
          <w:p>
            <w:pPr>
              <w:jc w:val="center"/>
              <w:rPr>
                <w:color w:val="000000"/>
                <w:sz w:val="18"/>
                <w:szCs w:val="18"/>
              </w:rPr>
            </w:pPr>
          </w:p>
        </w:tc>
        <w:tc>
          <w:tcPr>
            <w:tcW w:w="1430" w:type="dxa"/>
            <w:tcBorders>
              <w:left w:val="nil"/>
            </w:tcBorders>
            <w:vAlign w:val="center"/>
          </w:tcPr>
          <w:p>
            <w:pPr>
              <w:jc w:val="center"/>
              <w:rPr>
                <w:color w:val="000000"/>
                <w:sz w:val="18"/>
                <w:szCs w:val="18"/>
              </w:rPr>
            </w:pPr>
            <w:r>
              <w:rPr>
                <w:color w:val="000000"/>
                <w:sz w:val="18"/>
                <w:szCs w:val="18"/>
              </w:rPr>
              <w:t>5,620,310.28</w:t>
            </w:r>
          </w:p>
        </w:tc>
        <w:tc>
          <w:tcPr>
            <w:tcW w:w="1350" w:type="dxa"/>
            <w:tcBorders>
              <w:left w:val="nil"/>
            </w:tcBorders>
            <w:vAlign w:val="center"/>
          </w:tcPr>
          <w:p>
            <w:pPr>
              <w:jc w:val="center"/>
              <w:rPr>
                <w:color w:val="000000"/>
                <w:sz w:val="18"/>
                <w:szCs w:val="18"/>
              </w:rPr>
            </w:pPr>
            <w:r>
              <w:rPr>
                <w:color w:val="000000"/>
                <w:sz w:val="18"/>
                <w:szCs w:val="18"/>
              </w:rPr>
              <w:t>1,189,690.28</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4,430,620.00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工资福利支出</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机关事业单位基本养老保险缴费支出</w:t>
            </w:r>
          </w:p>
        </w:tc>
        <w:tc>
          <w:tcPr>
            <w:tcW w:w="1430" w:type="dxa"/>
            <w:tcBorders>
              <w:left w:val="nil"/>
            </w:tcBorders>
            <w:vAlign w:val="center"/>
          </w:tcPr>
          <w:p>
            <w:pPr>
              <w:jc w:val="center"/>
              <w:rPr>
                <w:color w:val="000000"/>
                <w:sz w:val="18"/>
                <w:szCs w:val="18"/>
              </w:rPr>
            </w:pPr>
            <w:r>
              <w:rPr>
                <w:color w:val="000000"/>
                <w:sz w:val="18"/>
                <w:szCs w:val="18"/>
              </w:rPr>
              <w:t>435,323.52</w:t>
            </w:r>
          </w:p>
        </w:tc>
        <w:tc>
          <w:tcPr>
            <w:tcW w:w="1350" w:type="dxa"/>
            <w:tcBorders>
              <w:left w:val="nil"/>
            </w:tcBorders>
            <w:vAlign w:val="center"/>
          </w:tcPr>
          <w:p>
            <w:pPr>
              <w:jc w:val="center"/>
              <w:rPr>
                <w:color w:val="000000"/>
                <w:sz w:val="18"/>
                <w:szCs w:val="18"/>
              </w:rPr>
            </w:pPr>
            <w:r>
              <w:rPr>
                <w:color w:val="000000"/>
                <w:sz w:val="18"/>
                <w:szCs w:val="18"/>
              </w:rPr>
              <w:t>435,323.52</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工资福利支出</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机关事业单位职业年金缴费支出</w:t>
            </w:r>
          </w:p>
        </w:tc>
        <w:tc>
          <w:tcPr>
            <w:tcW w:w="1430" w:type="dxa"/>
            <w:tcBorders>
              <w:left w:val="nil"/>
            </w:tcBorders>
            <w:vAlign w:val="center"/>
          </w:tcPr>
          <w:p>
            <w:pPr>
              <w:jc w:val="center"/>
              <w:rPr>
                <w:color w:val="000000"/>
                <w:sz w:val="18"/>
                <w:szCs w:val="18"/>
              </w:rPr>
            </w:pPr>
            <w:r>
              <w:rPr>
                <w:color w:val="000000"/>
                <w:sz w:val="18"/>
                <w:szCs w:val="18"/>
              </w:rPr>
              <w:t>217,661.76</w:t>
            </w:r>
          </w:p>
        </w:tc>
        <w:tc>
          <w:tcPr>
            <w:tcW w:w="1350" w:type="dxa"/>
            <w:tcBorders>
              <w:left w:val="nil"/>
            </w:tcBorders>
            <w:vAlign w:val="center"/>
          </w:tcPr>
          <w:p>
            <w:pPr>
              <w:jc w:val="center"/>
              <w:rPr>
                <w:color w:val="000000"/>
                <w:sz w:val="18"/>
                <w:szCs w:val="18"/>
              </w:rPr>
            </w:pPr>
            <w:r>
              <w:rPr>
                <w:color w:val="000000"/>
                <w:sz w:val="18"/>
                <w:szCs w:val="18"/>
              </w:rPr>
              <w:t>217,661.76</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工资福利支出</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其他城乡社区管理事务支出</w:t>
            </w:r>
          </w:p>
        </w:tc>
        <w:tc>
          <w:tcPr>
            <w:tcW w:w="1430" w:type="dxa"/>
            <w:tcBorders>
              <w:left w:val="nil"/>
            </w:tcBorders>
            <w:vAlign w:val="center"/>
          </w:tcPr>
          <w:p>
            <w:pPr>
              <w:jc w:val="center"/>
              <w:rPr>
                <w:color w:val="000000"/>
                <w:sz w:val="18"/>
                <w:szCs w:val="18"/>
              </w:rPr>
            </w:pPr>
            <w:r>
              <w:rPr>
                <w:color w:val="000000"/>
                <w:sz w:val="18"/>
                <w:szCs w:val="18"/>
              </w:rPr>
              <w:t>4,967,325.00</w:t>
            </w:r>
          </w:p>
        </w:tc>
        <w:tc>
          <w:tcPr>
            <w:tcW w:w="1350" w:type="dxa"/>
            <w:tcBorders>
              <w:left w:val="nil"/>
            </w:tcBorders>
            <w:vAlign w:val="center"/>
          </w:tcPr>
          <w:p>
            <w:pPr>
              <w:jc w:val="center"/>
              <w:rPr>
                <w:color w:val="000000"/>
                <w:sz w:val="18"/>
                <w:szCs w:val="18"/>
              </w:rPr>
            </w:pPr>
            <w:r>
              <w:rPr>
                <w:color w:val="000000"/>
                <w:sz w:val="18"/>
                <w:szCs w:val="18"/>
              </w:rPr>
              <w:t>536,705.00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4,430,620.00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其他基本支出</w:t>
            </w:r>
          </w:p>
        </w:tc>
        <w:tc>
          <w:tcPr>
            <w:tcW w:w="1374" w:type="dxa"/>
            <w:tcBorders>
              <w:left w:val="nil"/>
            </w:tcBorders>
            <w:vAlign w:val="center"/>
          </w:tcPr>
          <w:p>
            <w:pPr>
              <w:jc w:val="center"/>
              <w:rPr>
                <w:color w:val="000000"/>
                <w:sz w:val="18"/>
                <w:szCs w:val="18"/>
              </w:rPr>
            </w:pPr>
          </w:p>
        </w:tc>
        <w:tc>
          <w:tcPr>
            <w:tcW w:w="1430" w:type="dxa"/>
            <w:tcBorders>
              <w:left w:val="nil"/>
            </w:tcBorders>
            <w:vAlign w:val="center"/>
          </w:tcPr>
          <w:p>
            <w:pPr>
              <w:jc w:val="center"/>
              <w:rPr>
                <w:color w:val="000000"/>
                <w:sz w:val="18"/>
                <w:szCs w:val="18"/>
              </w:rPr>
            </w:pPr>
            <w:r>
              <w:rPr>
                <w:color w:val="000000"/>
                <w:sz w:val="18"/>
                <w:szCs w:val="18"/>
              </w:rPr>
              <w:t>555,800.00</w:t>
            </w:r>
          </w:p>
        </w:tc>
        <w:tc>
          <w:tcPr>
            <w:tcW w:w="1350" w:type="dxa"/>
            <w:tcBorders>
              <w:left w:val="nil"/>
            </w:tcBorders>
            <w:vAlign w:val="center"/>
          </w:tcPr>
          <w:p>
            <w:pPr>
              <w:jc w:val="center"/>
              <w:rPr>
                <w:color w:val="000000"/>
                <w:sz w:val="18"/>
                <w:szCs w:val="18"/>
              </w:rPr>
            </w:pPr>
            <w:r>
              <w:rPr>
                <w:color w:val="000000"/>
                <w:sz w:val="18"/>
                <w:szCs w:val="18"/>
              </w:rPr>
              <w:t>555,800.00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其他基本支出</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其他城乡社区管理事务支出</w:t>
            </w:r>
          </w:p>
        </w:tc>
        <w:tc>
          <w:tcPr>
            <w:tcW w:w="1430" w:type="dxa"/>
            <w:tcBorders>
              <w:left w:val="nil"/>
            </w:tcBorders>
            <w:vAlign w:val="center"/>
          </w:tcPr>
          <w:p>
            <w:pPr>
              <w:jc w:val="center"/>
              <w:rPr>
                <w:color w:val="000000"/>
                <w:sz w:val="18"/>
                <w:szCs w:val="18"/>
              </w:rPr>
            </w:pPr>
            <w:r>
              <w:rPr>
                <w:color w:val="000000"/>
                <w:sz w:val="18"/>
                <w:szCs w:val="18"/>
              </w:rPr>
              <w:t>555,800.00</w:t>
            </w:r>
          </w:p>
        </w:tc>
        <w:tc>
          <w:tcPr>
            <w:tcW w:w="1350" w:type="dxa"/>
            <w:tcBorders>
              <w:left w:val="nil"/>
            </w:tcBorders>
            <w:vAlign w:val="center"/>
          </w:tcPr>
          <w:p>
            <w:pPr>
              <w:jc w:val="center"/>
              <w:rPr>
                <w:color w:val="000000"/>
                <w:sz w:val="18"/>
                <w:szCs w:val="18"/>
              </w:rPr>
            </w:pPr>
            <w:r>
              <w:rPr>
                <w:color w:val="000000"/>
                <w:sz w:val="18"/>
                <w:szCs w:val="18"/>
              </w:rPr>
              <w:t>555,800.00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对个人和家庭的补助支出</w:t>
            </w:r>
          </w:p>
        </w:tc>
        <w:tc>
          <w:tcPr>
            <w:tcW w:w="1374" w:type="dxa"/>
            <w:tcBorders>
              <w:left w:val="nil"/>
            </w:tcBorders>
            <w:vAlign w:val="center"/>
          </w:tcPr>
          <w:p>
            <w:pPr>
              <w:jc w:val="center"/>
              <w:rPr>
                <w:color w:val="000000"/>
                <w:sz w:val="18"/>
                <w:szCs w:val="18"/>
              </w:rPr>
            </w:pPr>
          </w:p>
        </w:tc>
        <w:tc>
          <w:tcPr>
            <w:tcW w:w="1430" w:type="dxa"/>
            <w:tcBorders>
              <w:left w:val="nil"/>
            </w:tcBorders>
            <w:vAlign w:val="center"/>
          </w:tcPr>
          <w:p>
            <w:pPr>
              <w:jc w:val="center"/>
              <w:rPr>
                <w:color w:val="000000"/>
                <w:sz w:val="18"/>
                <w:szCs w:val="18"/>
              </w:rPr>
            </w:pPr>
            <w:r>
              <w:rPr>
                <w:color w:val="000000"/>
                <w:sz w:val="18"/>
                <w:szCs w:val="18"/>
              </w:rPr>
              <w:t>32,125.00</w:t>
            </w:r>
          </w:p>
        </w:tc>
        <w:tc>
          <w:tcPr>
            <w:tcW w:w="1350" w:type="dxa"/>
            <w:tcBorders>
              <w:left w:val="nil"/>
            </w:tcBorders>
            <w:vAlign w:val="center"/>
          </w:tcPr>
          <w:p>
            <w:pPr>
              <w:jc w:val="center"/>
              <w:rPr>
                <w:color w:val="000000"/>
                <w:sz w:val="18"/>
                <w:szCs w:val="18"/>
              </w:rPr>
            </w:pPr>
            <w:r>
              <w:rPr>
                <w:color w:val="000000"/>
                <w:sz w:val="18"/>
                <w:szCs w:val="18"/>
              </w:rPr>
              <w:t>29,825.00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2,300.00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对个人和家庭的补助支出</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其他城乡社区管理事务支出</w:t>
            </w:r>
          </w:p>
        </w:tc>
        <w:tc>
          <w:tcPr>
            <w:tcW w:w="1430" w:type="dxa"/>
            <w:tcBorders>
              <w:left w:val="nil"/>
            </w:tcBorders>
            <w:vAlign w:val="center"/>
          </w:tcPr>
          <w:p>
            <w:pPr>
              <w:jc w:val="center"/>
              <w:rPr>
                <w:color w:val="000000"/>
                <w:sz w:val="18"/>
                <w:szCs w:val="18"/>
              </w:rPr>
            </w:pPr>
            <w:r>
              <w:rPr>
                <w:color w:val="000000"/>
                <w:sz w:val="18"/>
                <w:szCs w:val="18"/>
              </w:rPr>
              <w:t>32,125.00</w:t>
            </w:r>
          </w:p>
        </w:tc>
        <w:tc>
          <w:tcPr>
            <w:tcW w:w="1350" w:type="dxa"/>
            <w:tcBorders>
              <w:left w:val="nil"/>
            </w:tcBorders>
            <w:vAlign w:val="center"/>
          </w:tcPr>
          <w:p>
            <w:pPr>
              <w:jc w:val="center"/>
              <w:rPr>
                <w:color w:val="000000"/>
                <w:sz w:val="18"/>
                <w:szCs w:val="18"/>
              </w:rPr>
            </w:pPr>
            <w:r>
              <w:rPr>
                <w:color w:val="000000"/>
                <w:sz w:val="18"/>
                <w:szCs w:val="18"/>
              </w:rPr>
              <w:t>29,825.00</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2,300.00</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项目支出</w:t>
            </w:r>
          </w:p>
        </w:tc>
        <w:tc>
          <w:tcPr>
            <w:tcW w:w="1374" w:type="dxa"/>
            <w:tcBorders>
              <w:left w:val="nil"/>
            </w:tcBorders>
            <w:vAlign w:val="center"/>
          </w:tcPr>
          <w:p>
            <w:pPr>
              <w:jc w:val="center"/>
              <w:rPr>
                <w:color w:val="000000"/>
                <w:sz w:val="18"/>
                <w:szCs w:val="18"/>
              </w:rPr>
            </w:pPr>
          </w:p>
        </w:tc>
        <w:tc>
          <w:tcPr>
            <w:tcW w:w="1430" w:type="dxa"/>
            <w:tcBorders>
              <w:left w:val="nil"/>
            </w:tcBorders>
            <w:vAlign w:val="center"/>
          </w:tcPr>
          <w:p>
            <w:pPr>
              <w:jc w:val="center"/>
              <w:rPr>
                <w:color w:val="000000"/>
                <w:sz w:val="18"/>
                <w:szCs w:val="18"/>
              </w:rPr>
            </w:pPr>
            <w:r>
              <w:rPr>
                <w:color w:val="000000"/>
                <w:sz w:val="18"/>
                <w:szCs w:val="18"/>
              </w:rPr>
              <w:t>1,700,000.00</w:t>
            </w:r>
          </w:p>
        </w:tc>
        <w:tc>
          <w:tcPr>
            <w:tcW w:w="1350" w:type="dxa"/>
            <w:tcBorders>
              <w:left w:val="nil"/>
            </w:tcBorders>
            <w:vAlign w:val="center"/>
          </w:tcPr>
          <w:p>
            <w:pPr>
              <w:jc w:val="center"/>
              <w:rPr>
                <w:color w:val="000000"/>
                <w:sz w:val="18"/>
                <w:szCs w:val="18"/>
              </w:rPr>
            </w:pPr>
            <w:r>
              <w:rPr>
                <w:color w:val="000000"/>
                <w:sz w:val="18"/>
                <w:szCs w:val="18"/>
              </w:rPr>
              <w:t>1,408,178.44</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291,821.56</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政策性项目支出</w:t>
            </w:r>
          </w:p>
        </w:tc>
        <w:tc>
          <w:tcPr>
            <w:tcW w:w="1374" w:type="dxa"/>
            <w:tcBorders>
              <w:left w:val="nil"/>
            </w:tcBorders>
            <w:vAlign w:val="center"/>
          </w:tcPr>
          <w:p>
            <w:pPr>
              <w:jc w:val="center"/>
              <w:rPr>
                <w:color w:val="000000"/>
                <w:sz w:val="18"/>
                <w:szCs w:val="18"/>
              </w:rPr>
            </w:pPr>
          </w:p>
        </w:tc>
        <w:tc>
          <w:tcPr>
            <w:tcW w:w="1430" w:type="dxa"/>
            <w:tcBorders>
              <w:left w:val="nil"/>
            </w:tcBorders>
            <w:vAlign w:val="center"/>
          </w:tcPr>
          <w:p>
            <w:pPr>
              <w:jc w:val="center"/>
              <w:rPr>
                <w:color w:val="000000"/>
                <w:sz w:val="18"/>
                <w:szCs w:val="18"/>
              </w:rPr>
            </w:pPr>
            <w:r>
              <w:rPr>
                <w:color w:val="000000"/>
                <w:sz w:val="18"/>
                <w:szCs w:val="18"/>
              </w:rPr>
              <w:t>1,700,000.00</w:t>
            </w:r>
          </w:p>
        </w:tc>
        <w:tc>
          <w:tcPr>
            <w:tcW w:w="1350" w:type="dxa"/>
            <w:tcBorders>
              <w:left w:val="nil"/>
            </w:tcBorders>
            <w:vAlign w:val="center"/>
          </w:tcPr>
          <w:p>
            <w:pPr>
              <w:jc w:val="center"/>
              <w:rPr>
                <w:color w:val="000000"/>
                <w:sz w:val="18"/>
                <w:szCs w:val="18"/>
              </w:rPr>
            </w:pPr>
            <w:r>
              <w:rPr>
                <w:color w:val="000000"/>
                <w:sz w:val="18"/>
                <w:szCs w:val="18"/>
              </w:rPr>
              <w:t>1,408,178.44</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291,821.56</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5" w:type="dxa"/>
          </w:tcPr>
          <w:p>
            <w:pPr>
              <w:jc w:val="left"/>
              <w:rPr>
                <w:b/>
                <w:bCs/>
                <w:color w:val="000000"/>
                <w:sz w:val="18"/>
                <w:szCs w:val="18"/>
              </w:rPr>
            </w:pPr>
            <w:r>
              <w:rPr>
                <w:b/>
                <w:bCs/>
                <w:color w:val="000000"/>
                <w:sz w:val="18"/>
                <w:szCs w:val="18"/>
              </w:rPr>
              <w:t xml:space="preserve">    </w:t>
            </w:r>
            <w:r>
              <w:rPr>
                <w:rFonts w:hint="eastAsia" w:hAnsi="宋体" w:cs="宋体"/>
                <w:b/>
                <w:bCs/>
                <w:color w:val="000000"/>
                <w:sz w:val="18"/>
                <w:szCs w:val="18"/>
              </w:rPr>
              <w:t>建筑工程质量安全监督检查管理费</w:t>
            </w:r>
          </w:p>
        </w:tc>
        <w:tc>
          <w:tcPr>
            <w:tcW w:w="1374" w:type="dxa"/>
            <w:tcBorders>
              <w:left w:val="nil"/>
            </w:tcBorders>
            <w:vAlign w:val="center"/>
          </w:tcPr>
          <w:p>
            <w:pPr>
              <w:jc w:val="center"/>
              <w:rPr>
                <w:color w:val="000000"/>
                <w:sz w:val="18"/>
                <w:szCs w:val="18"/>
              </w:rPr>
            </w:pPr>
            <w:r>
              <w:rPr>
                <w:rFonts w:hint="eastAsia" w:hAnsi="宋体" w:cs="宋体"/>
                <w:color w:val="000000"/>
                <w:sz w:val="18"/>
                <w:szCs w:val="18"/>
              </w:rPr>
              <w:t>其他城乡社区管理事务支出</w:t>
            </w:r>
          </w:p>
        </w:tc>
        <w:tc>
          <w:tcPr>
            <w:tcW w:w="1430" w:type="dxa"/>
            <w:tcBorders>
              <w:left w:val="nil"/>
            </w:tcBorders>
            <w:vAlign w:val="center"/>
          </w:tcPr>
          <w:p>
            <w:pPr>
              <w:jc w:val="center"/>
              <w:rPr>
                <w:color w:val="000000"/>
                <w:sz w:val="18"/>
                <w:szCs w:val="18"/>
              </w:rPr>
            </w:pPr>
            <w:r>
              <w:rPr>
                <w:color w:val="000000"/>
                <w:sz w:val="18"/>
                <w:szCs w:val="18"/>
              </w:rPr>
              <w:t>1,700,000.00</w:t>
            </w:r>
          </w:p>
        </w:tc>
        <w:tc>
          <w:tcPr>
            <w:tcW w:w="1350" w:type="dxa"/>
            <w:tcBorders>
              <w:left w:val="nil"/>
            </w:tcBorders>
            <w:vAlign w:val="center"/>
          </w:tcPr>
          <w:p>
            <w:pPr>
              <w:jc w:val="center"/>
              <w:rPr>
                <w:color w:val="000000"/>
                <w:sz w:val="18"/>
                <w:szCs w:val="18"/>
              </w:rPr>
            </w:pPr>
            <w:r>
              <w:rPr>
                <w:color w:val="000000"/>
                <w:sz w:val="18"/>
                <w:szCs w:val="18"/>
              </w:rPr>
              <w:t>1,408,178.44</w:t>
            </w:r>
          </w:p>
        </w:tc>
        <w:tc>
          <w:tcPr>
            <w:tcW w:w="720" w:type="dxa"/>
            <w:tcBorders>
              <w:left w:val="nil"/>
            </w:tcBorders>
            <w:vAlign w:val="center"/>
          </w:tcPr>
          <w:p>
            <w:pPr>
              <w:jc w:val="center"/>
              <w:rPr>
                <w:color w:val="000000"/>
                <w:sz w:val="18"/>
                <w:szCs w:val="18"/>
              </w:rPr>
            </w:pPr>
            <w:r>
              <w:rPr>
                <w:color w:val="000000"/>
                <w:sz w:val="18"/>
                <w:szCs w:val="18"/>
              </w:rPr>
              <w:t>0.00</w:t>
            </w:r>
          </w:p>
        </w:tc>
        <w:tc>
          <w:tcPr>
            <w:tcW w:w="1247" w:type="dxa"/>
            <w:tcBorders>
              <w:left w:val="nil"/>
            </w:tcBorders>
            <w:vAlign w:val="center"/>
          </w:tcPr>
          <w:p>
            <w:pPr>
              <w:jc w:val="center"/>
              <w:rPr>
                <w:color w:val="000000"/>
                <w:sz w:val="18"/>
                <w:szCs w:val="18"/>
              </w:rPr>
            </w:pPr>
            <w:r>
              <w:rPr>
                <w:color w:val="000000"/>
                <w:sz w:val="18"/>
                <w:szCs w:val="18"/>
              </w:rPr>
              <w:t>0.00</w:t>
            </w:r>
          </w:p>
        </w:tc>
        <w:tc>
          <w:tcPr>
            <w:tcW w:w="1246" w:type="dxa"/>
            <w:tcBorders>
              <w:left w:val="nil"/>
            </w:tcBorders>
            <w:vAlign w:val="center"/>
          </w:tcPr>
          <w:p>
            <w:pPr>
              <w:jc w:val="center"/>
              <w:rPr>
                <w:color w:val="000000"/>
                <w:sz w:val="18"/>
                <w:szCs w:val="18"/>
              </w:rPr>
            </w:pPr>
            <w:r>
              <w:rPr>
                <w:color w:val="000000"/>
                <w:sz w:val="18"/>
                <w:szCs w:val="18"/>
              </w:rPr>
              <w:t>291,821.56</w:t>
            </w:r>
          </w:p>
        </w:tc>
        <w:tc>
          <w:tcPr>
            <w:tcW w:w="1450"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751" w:type="dxa"/>
            <w:tcBorders>
              <w:left w:val="nil"/>
            </w:tcBorders>
            <w:vAlign w:val="center"/>
          </w:tcPr>
          <w:p>
            <w:pPr>
              <w:jc w:val="center"/>
              <w:rPr>
                <w:color w:val="000000"/>
                <w:sz w:val="18"/>
                <w:szCs w:val="18"/>
              </w:rPr>
            </w:pPr>
            <w:r>
              <w:rPr>
                <w:color w:val="000000"/>
                <w:sz w:val="18"/>
                <w:szCs w:val="18"/>
              </w:rPr>
              <w:t>0.00</w:t>
            </w:r>
          </w:p>
        </w:tc>
        <w:tc>
          <w:tcPr>
            <w:tcW w:w="1125" w:type="dxa"/>
            <w:tcBorders>
              <w:left w:val="nil"/>
            </w:tcBorders>
            <w:vAlign w:val="center"/>
          </w:tcPr>
          <w:p>
            <w:pPr>
              <w:jc w:val="center"/>
              <w:rPr>
                <w:color w:val="000000"/>
                <w:sz w:val="18"/>
                <w:szCs w:val="18"/>
              </w:rPr>
            </w:pPr>
            <w:r>
              <w:rPr>
                <w:color w:val="000000"/>
                <w:sz w:val="18"/>
                <w:szCs w:val="18"/>
              </w:rPr>
              <w:t>0.00</w:t>
            </w:r>
          </w:p>
        </w:tc>
        <w:tc>
          <w:tcPr>
            <w:tcW w:w="644" w:type="dxa"/>
            <w:tcBorders>
              <w:left w:val="nil"/>
            </w:tcBorders>
            <w:vAlign w:val="center"/>
          </w:tcPr>
          <w:p>
            <w:pPr>
              <w:jc w:val="center"/>
              <w:rPr>
                <w:color w:val="000000"/>
                <w:sz w:val="18"/>
                <w:szCs w:val="18"/>
              </w:rPr>
            </w:pPr>
            <w:r>
              <w:rPr>
                <w:color w:val="000000"/>
                <w:sz w:val="18"/>
                <w:szCs w:val="18"/>
              </w:rPr>
              <w:t>0.00</w:t>
            </w:r>
          </w:p>
        </w:tc>
        <w:tc>
          <w:tcPr>
            <w:tcW w:w="782" w:type="dxa"/>
            <w:tcBorders>
              <w:left w:val="nil"/>
            </w:tcBorders>
            <w:vAlign w:val="center"/>
          </w:tcPr>
          <w:p>
            <w:pPr>
              <w:jc w:val="center"/>
              <w:rPr>
                <w:color w:val="000000"/>
                <w:sz w:val="18"/>
                <w:szCs w:val="18"/>
              </w:rPr>
            </w:pPr>
            <w:r>
              <w:rPr>
                <w:color w:val="000000"/>
                <w:sz w:val="18"/>
                <w:szCs w:val="18"/>
              </w:rPr>
              <w:t>0.00</w:t>
            </w:r>
          </w:p>
        </w:tc>
      </w:tr>
    </w:tbl>
    <w:p>
      <w:pPr>
        <w:spacing w:line="580" w:lineRule="exact"/>
        <w:jc w:val="left"/>
        <w:rPr>
          <w:rFonts w:ascii="仿宋_GB2312" w:hAnsi="仿宋" w:eastAsia="仿宋_GB2312" w:cs="仿宋_GB2312"/>
          <w:sz w:val="32"/>
          <w:szCs w:val="32"/>
        </w:rPr>
      </w:pPr>
      <w:r>
        <w:rPr>
          <w:rFonts w:hint="eastAsia" w:ascii="仿宋_GB2312" w:hAnsi="黑体" w:eastAsia="仿宋_GB2312" w:cs="仿宋_GB2312"/>
          <w:sz w:val="32"/>
          <w:szCs w:val="32"/>
        </w:rPr>
        <w:t>附件</w:t>
      </w:r>
      <w:r>
        <w:rPr>
          <w:rFonts w:ascii="仿宋_GB2312" w:hAnsi="仿宋" w:eastAsia="仿宋_GB2312" w:cs="仿宋_GB2312"/>
          <w:sz w:val="32"/>
          <w:szCs w:val="32"/>
        </w:rPr>
        <w:t>9</w:t>
      </w:r>
    </w:p>
    <w:p>
      <w:pPr>
        <w:spacing w:line="580" w:lineRule="exact"/>
        <w:jc w:val="left"/>
        <w:rPr>
          <w:rFonts w:eastAsia="仿宋_GB2312"/>
          <w:sz w:val="32"/>
          <w:szCs w:val="32"/>
        </w:rPr>
      </w:pPr>
    </w:p>
    <w:p>
      <w:pPr>
        <w:spacing w:line="580" w:lineRule="exact"/>
        <w:jc w:val="center"/>
        <w:rPr>
          <w:rFonts w:ascii="宋体" w:cs="宋体"/>
          <w:sz w:val="18"/>
          <w:szCs w:val="18"/>
        </w:rPr>
      </w:pPr>
      <w:r>
        <w:rPr>
          <w:rFonts w:hint="eastAsia" w:ascii="方正小标宋简体" w:hAnsi="黑体" w:eastAsia="方正小标宋简体" w:cs="方正小标宋简体"/>
          <w:sz w:val="36"/>
          <w:szCs w:val="36"/>
        </w:rPr>
        <w:t>部门（单位）采购预算表</w:t>
      </w:r>
      <w:r>
        <w:rPr>
          <w:rFonts w:ascii="方正小标宋简体" w:hAnsi="宋体" w:eastAsia="方正小标宋简体" w:cs="方正小标宋简体"/>
          <w:sz w:val="36"/>
          <w:szCs w:val="36"/>
        </w:rPr>
        <w:t>(</w:t>
      </w:r>
      <w:r>
        <w:rPr>
          <w:rFonts w:hint="eastAsia" w:ascii="方正小标宋简体" w:hAnsi="宋体" w:eastAsia="方正小标宋简体" w:cs="方正小标宋简体"/>
          <w:sz w:val="36"/>
          <w:szCs w:val="36"/>
        </w:rPr>
        <w:t>表</w:t>
      </w:r>
      <w:r>
        <w:rPr>
          <w:rFonts w:ascii="方正小标宋简体" w:hAnsi="宋体" w:eastAsia="方正小标宋简体" w:cs="方正小标宋简体"/>
          <w:sz w:val="36"/>
          <w:szCs w:val="36"/>
        </w:rPr>
        <w:t>09</w:t>
      </w:r>
      <w:r>
        <w:rPr>
          <w:rFonts w:hint="eastAsia" w:ascii="方正小标宋简体" w:hAnsi="宋体" w:eastAsia="方正小标宋简体" w:cs="方正小标宋简体"/>
          <w:sz w:val="36"/>
          <w:szCs w:val="36"/>
        </w:rPr>
        <w:t>）</w:t>
      </w:r>
      <w:r>
        <w:rPr>
          <w:rFonts w:ascii="宋体" w:hAnsi="宋体" w:cs="宋体"/>
          <w:sz w:val="18"/>
          <w:szCs w:val="18"/>
        </w:rPr>
        <w:t xml:space="preserve">   </w:t>
      </w:r>
    </w:p>
    <w:p>
      <w:pPr>
        <w:spacing w:line="580" w:lineRule="exact"/>
        <w:jc w:val="center"/>
        <w:rPr>
          <w:rFonts w:ascii="方正小标宋简体" w:eastAsia="方正小标宋简体"/>
          <w:sz w:val="32"/>
          <w:szCs w:val="32"/>
        </w:rPr>
      </w:pPr>
      <w:r>
        <w:rPr>
          <w:rFonts w:hint="eastAsia" w:ascii="宋体" w:hAnsi="宋体" w:cs="宋体"/>
          <w:sz w:val="18"/>
          <w:szCs w:val="18"/>
        </w:rPr>
        <w:t>单位：元</w:t>
      </w:r>
    </w:p>
    <w:tbl>
      <w:tblPr>
        <w:tblStyle w:val="7"/>
        <w:tblW w:w="15109" w:type="dxa"/>
        <w:tblInd w:w="-754" w:type="dxa"/>
        <w:tblLayout w:type="fixed"/>
        <w:tblCellMar>
          <w:top w:w="0" w:type="dxa"/>
          <w:left w:w="108" w:type="dxa"/>
          <w:bottom w:w="0" w:type="dxa"/>
          <w:right w:w="108" w:type="dxa"/>
        </w:tblCellMar>
      </w:tblPr>
      <w:tblGrid>
        <w:gridCol w:w="1696"/>
        <w:gridCol w:w="1020"/>
        <w:gridCol w:w="780"/>
        <w:gridCol w:w="645"/>
        <w:gridCol w:w="630"/>
        <w:gridCol w:w="495"/>
        <w:gridCol w:w="660"/>
        <w:gridCol w:w="1087"/>
        <w:gridCol w:w="1134"/>
        <w:gridCol w:w="1050"/>
        <w:gridCol w:w="636"/>
        <w:gridCol w:w="626"/>
        <w:gridCol w:w="859"/>
        <w:gridCol w:w="1322"/>
        <w:gridCol w:w="585"/>
        <w:gridCol w:w="585"/>
        <w:gridCol w:w="690"/>
        <w:gridCol w:w="609"/>
      </w:tblGrid>
      <w:tr>
        <w:tblPrEx>
          <w:tblLayout w:type="fixed"/>
          <w:tblCellMar>
            <w:top w:w="0" w:type="dxa"/>
            <w:left w:w="108" w:type="dxa"/>
            <w:bottom w:w="0" w:type="dxa"/>
            <w:right w:w="108" w:type="dxa"/>
          </w:tblCellMar>
        </w:tblPrEx>
        <w:trPr>
          <w:trHeight w:val="737" w:hRule="atLeast"/>
          <w:tblHeader/>
        </w:trPr>
        <w:tc>
          <w:tcPr>
            <w:tcW w:w="1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 w:val="18"/>
                <w:szCs w:val="18"/>
              </w:rPr>
            </w:pPr>
            <w:r>
              <w:rPr>
                <w:rFonts w:hint="eastAsia" w:hAnsi="宋体" w:cs="宋体"/>
                <w:b/>
                <w:bCs/>
                <w:sz w:val="18"/>
                <w:szCs w:val="18"/>
              </w:rPr>
              <w:t>单位名称</w:t>
            </w:r>
            <w:r>
              <w:rPr>
                <w:b/>
                <w:bCs/>
                <w:sz w:val="18"/>
                <w:szCs w:val="18"/>
              </w:rPr>
              <w:t>(</w:t>
            </w:r>
            <w:r>
              <w:rPr>
                <w:rFonts w:hint="eastAsia" w:hAnsi="宋体" w:cs="宋体"/>
                <w:b/>
                <w:bCs/>
                <w:sz w:val="18"/>
                <w:szCs w:val="18"/>
              </w:rPr>
              <w:t>支出项目</w:t>
            </w:r>
            <w:r>
              <w:rPr>
                <w:b/>
                <w:bCs/>
                <w:sz w:val="18"/>
                <w:szCs w:val="18"/>
              </w:rPr>
              <w:t xml:space="preserve"> </w:t>
            </w:r>
            <w:r>
              <w:rPr>
                <w:rFonts w:hint="eastAsia" w:hAnsi="宋体" w:cs="宋体"/>
                <w:b/>
                <w:bCs/>
                <w:sz w:val="18"/>
                <w:szCs w:val="18"/>
              </w:rPr>
              <w:t>采购项目</w:t>
            </w:r>
            <w:r>
              <w:rPr>
                <w:b/>
                <w:bCs/>
                <w:sz w:val="18"/>
                <w:szCs w:val="18"/>
              </w:rPr>
              <w:t>)</w:t>
            </w:r>
          </w:p>
        </w:tc>
        <w:tc>
          <w:tcPr>
            <w:tcW w:w="1020" w:type="dxa"/>
            <w:tcBorders>
              <w:top w:val="single" w:color="auto" w:sz="4" w:space="0"/>
              <w:left w:val="nil"/>
              <w:bottom w:val="single" w:color="auto" w:sz="4" w:space="0"/>
              <w:right w:val="single" w:color="auto" w:sz="4" w:space="0"/>
            </w:tcBorders>
            <w:vAlign w:val="center"/>
          </w:tcPr>
          <w:p>
            <w:pPr>
              <w:spacing w:line="240" w:lineRule="exact"/>
              <w:jc w:val="center"/>
              <w:rPr>
                <w:b/>
                <w:bCs/>
                <w:sz w:val="18"/>
                <w:szCs w:val="18"/>
              </w:rPr>
            </w:pPr>
            <w:r>
              <w:rPr>
                <w:rFonts w:hint="eastAsia" w:hAnsi="宋体" w:cs="宋体"/>
                <w:b/>
                <w:bCs/>
                <w:sz w:val="18"/>
                <w:szCs w:val="18"/>
              </w:rPr>
              <w:t>采购项目</w:t>
            </w:r>
          </w:p>
        </w:tc>
        <w:tc>
          <w:tcPr>
            <w:tcW w:w="780" w:type="dxa"/>
            <w:tcBorders>
              <w:top w:val="single" w:color="auto" w:sz="4" w:space="0"/>
              <w:left w:val="nil"/>
              <w:bottom w:val="single" w:color="auto" w:sz="4" w:space="0"/>
              <w:right w:val="single" w:color="auto" w:sz="4" w:space="0"/>
            </w:tcBorders>
            <w:vAlign w:val="center"/>
          </w:tcPr>
          <w:p>
            <w:pPr>
              <w:spacing w:line="240" w:lineRule="exact"/>
              <w:jc w:val="center"/>
              <w:rPr>
                <w:b/>
                <w:bCs/>
                <w:sz w:val="18"/>
                <w:szCs w:val="18"/>
              </w:rPr>
            </w:pPr>
            <w:r>
              <w:rPr>
                <w:rFonts w:hint="eastAsia" w:hAnsi="宋体" w:cs="宋体"/>
                <w:b/>
                <w:bCs/>
                <w:sz w:val="18"/>
                <w:szCs w:val="18"/>
              </w:rPr>
              <w:t>采购目录</w:t>
            </w:r>
          </w:p>
        </w:tc>
        <w:tc>
          <w:tcPr>
            <w:tcW w:w="645" w:type="dxa"/>
            <w:tcBorders>
              <w:top w:val="single" w:color="auto" w:sz="4" w:space="0"/>
              <w:left w:val="nil"/>
              <w:bottom w:val="single" w:color="auto" w:sz="4" w:space="0"/>
              <w:right w:val="single" w:color="auto" w:sz="4" w:space="0"/>
            </w:tcBorders>
            <w:vAlign w:val="center"/>
          </w:tcPr>
          <w:p>
            <w:pPr>
              <w:spacing w:line="240" w:lineRule="exact"/>
              <w:jc w:val="center"/>
              <w:rPr>
                <w:b/>
                <w:bCs/>
                <w:sz w:val="18"/>
                <w:szCs w:val="18"/>
              </w:rPr>
            </w:pPr>
            <w:r>
              <w:rPr>
                <w:rFonts w:hint="eastAsia" w:hAnsi="宋体" w:cs="宋体"/>
                <w:b/>
                <w:bCs/>
                <w:sz w:val="18"/>
                <w:szCs w:val="18"/>
              </w:rPr>
              <w:t>采购类型</w:t>
            </w:r>
          </w:p>
        </w:tc>
        <w:tc>
          <w:tcPr>
            <w:tcW w:w="630" w:type="dxa"/>
            <w:tcBorders>
              <w:top w:val="single" w:color="auto" w:sz="4" w:space="0"/>
              <w:left w:val="nil"/>
              <w:bottom w:val="single" w:color="auto" w:sz="4" w:space="0"/>
              <w:right w:val="single" w:color="auto" w:sz="4" w:space="0"/>
            </w:tcBorders>
            <w:vAlign w:val="center"/>
          </w:tcPr>
          <w:p>
            <w:pPr>
              <w:spacing w:line="240" w:lineRule="exact"/>
              <w:jc w:val="center"/>
              <w:rPr>
                <w:b/>
                <w:bCs/>
                <w:sz w:val="18"/>
                <w:szCs w:val="18"/>
              </w:rPr>
            </w:pPr>
            <w:r>
              <w:rPr>
                <w:rFonts w:hint="eastAsia" w:hAnsi="宋体" w:cs="宋体"/>
                <w:b/>
                <w:bCs/>
                <w:sz w:val="18"/>
                <w:szCs w:val="18"/>
              </w:rPr>
              <w:t>规格与技术参数</w:t>
            </w:r>
          </w:p>
        </w:tc>
        <w:tc>
          <w:tcPr>
            <w:tcW w:w="495" w:type="dxa"/>
            <w:tcBorders>
              <w:top w:val="single" w:color="auto" w:sz="4" w:space="0"/>
              <w:left w:val="nil"/>
              <w:bottom w:val="single" w:color="auto" w:sz="4" w:space="0"/>
              <w:right w:val="single" w:color="auto" w:sz="4" w:space="0"/>
            </w:tcBorders>
            <w:vAlign w:val="center"/>
          </w:tcPr>
          <w:p>
            <w:pPr>
              <w:spacing w:line="240" w:lineRule="exact"/>
              <w:jc w:val="center"/>
              <w:rPr>
                <w:rFonts w:hAnsi="宋体"/>
                <w:b/>
                <w:bCs/>
                <w:sz w:val="18"/>
                <w:szCs w:val="18"/>
              </w:rPr>
            </w:pPr>
            <w:r>
              <w:rPr>
                <w:rFonts w:hint="eastAsia" w:hAnsi="宋体" w:cs="宋体"/>
                <w:b/>
                <w:bCs/>
                <w:sz w:val="18"/>
                <w:szCs w:val="18"/>
              </w:rPr>
              <w:t>数量</w:t>
            </w:r>
          </w:p>
        </w:tc>
        <w:tc>
          <w:tcPr>
            <w:tcW w:w="660" w:type="dxa"/>
            <w:tcBorders>
              <w:top w:val="single" w:color="auto" w:sz="4" w:space="0"/>
              <w:left w:val="nil"/>
              <w:bottom w:val="single" w:color="auto" w:sz="4" w:space="0"/>
              <w:right w:val="single" w:color="auto" w:sz="4" w:space="0"/>
            </w:tcBorders>
            <w:vAlign w:val="center"/>
          </w:tcPr>
          <w:p>
            <w:pPr>
              <w:spacing w:line="240" w:lineRule="exact"/>
              <w:jc w:val="center"/>
              <w:rPr>
                <w:rFonts w:hAnsi="宋体"/>
                <w:b/>
                <w:bCs/>
                <w:sz w:val="18"/>
                <w:szCs w:val="18"/>
              </w:rPr>
            </w:pPr>
            <w:r>
              <w:rPr>
                <w:rFonts w:hint="eastAsia" w:hAnsi="宋体" w:cs="宋体"/>
                <w:b/>
                <w:bCs/>
                <w:sz w:val="18"/>
                <w:szCs w:val="18"/>
              </w:rPr>
              <w:t>计量单位</w:t>
            </w:r>
          </w:p>
        </w:tc>
        <w:tc>
          <w:tcPr>
            <w:tcW w:w="1087" w:type="dxa"/>
            <w:tcBorders>
              <w:top w:val="single" w:color="auto" w:sz="4" w:space="0"/>
              <w:left w:val="nil"/>
              <w:bottom w:val="single" w:color="auto" w:sz="4" w:space="0"/>
              <w:right w:val="single" w:color="auto" w:sz="4" w:space="0"/>
            </w:tcBorders>
            <w:vAlign w:val="center"/>
          </w:tcPr>
          <w:p>
            <w:pPr>
              <w:spacing w:line="240" w:lineRule="exact"/>
              <w:jc w:val="center"/>
              <w:rPr>
                <w:rFonts w:hAnsi="宋体"/>
                <w:b/>
                <w:bCs/>
                <w:sz w:val="18"/>
                <w:szCs w:val="18"/>
              </w:rPr>
            </w:pPr>
            <w:r>
              <w:rPr>
                <w:rFonts w:hint="eastAsia" w:hAnsi="宋体" w:cs="宋体"/>
                <w:b/>
                <w:bCs/>
                <w:sz w:val="18"/>
                <w:szCs w:val="18"/>
              </w:rPr>
              <w:t>单价</w:t>
            </w:r>
            <w:r>
              <w:rPr>
                <w:b/>
                <w:bCs/>
                <w:sz w:val="18"/>
                <w:szCs w:val="18"/>
              </w:rPr>
              <w:t>(</w:t>
            </w:r>
            <w:r>
              <w:rPr>
                <w:rFonts w:hint="eastAsia" w:hAnsi="宋体" w:cs="宋体"/>
                <w:b/>
                <w:bCs/>
                <w:sz w:val="18"/>
                <w:szCs w:val="18"/>
              </w:rPr>
              <w:t>元</w:t>
            </w:r>
            <w:r>
              <w:rPr>
                <w:b/>
                <w:bCs/>
                <w:sz w:val="18"/>
                <w:szCs w:val="18"/>
              </w:rPr>
              <w:t>)</w:t>
            </w:r>
          </w:p>
        </w:tc>
        <w:tc>
          <w:tcPr>
            <w:tcW w:w="1134" w:type="dxa"/>
            <w:tcBorders>
              <w:top w:val="single" w:color="auto" w:sz="4" w:space="0"/>
              <w:left w:val="nil"/>
              <w:bottom w:val="single" w:color="auto" w:sz="4" w:space="0"/>
              <w:right w:val="single" w:color="auto" w:sz="4" w:space="0"/>
            </w:tcBorders>
            <w:vAlign w:val="center"/>
          </w:tcPr>
          <w:p>
            <w:pPr>
              <w:spacing w:line="240" w:lineRule="exact"/>
              <w:jc w:val="center"/>
              <w:rPr>
                <w:rFonts w:hAnsi="宋体"/>
                <w:b/>
                <w:bCs/>
                <w:sz w:val="18"/>
                <w:szCs w:val="18"/>
              </w:rPr>
            </w:pPr>
            <w:r>
              <w:rPr>
                <w:rFonts w:hint="eastAsia" w:hAnsi="宋体" w:cs="宋体"/>
                <w:b/>
                <w:bCs/>
                <w:sz w:val="18"/>
                <w:szCs w:val="18"/>
              </w:rPr>
              <w:t>合计</w:t>
            </w:r>
          </w:p>
        </w:tc>
        <w:tc>
          <w:tcPr>
            <w:tcW w:w="1050" w:type="dxa"/>
            <w:tcBorders>
              <w:top w:val="single" w:color="auto" w:sz="4" w:space="0"/>
              <w:left w:val="nil"/>
              <w:bottom w:val="single" w:color="auto" w:sz="4" w:space="0"/>
              <w:right w:val="single" w:color="auto" w:sz="4" w:space="0"/>
            </w:tcBorders>
            <w:vAlign w:val="center"/>
          </w:tcPr>
          <w:p>
            <w:pPr>
              <w:spacing w:line="240" w:lineRule="exact"/>
              <w:jc w:val="center"/>
              <w:rPr>
                <w:b/>
                <w:bCs/>
                <w:sz w:val="18"/>
                <w:szCs w:val="18"/>
              </w:rPr>
            </w:pPr>
            <w:r>
              <w:rPr>
                <w:rFonts w:hint="eastAsia" w:hAnsi="宋体" w:cs="宋体"/>
                <w:b/>
                <w:bCs/>
                <w:sz w:val="18"/>
                <w:szCs w:val="18"/>
              </w:rPr>
              <w:t>一般</w:t>
            </w:r>
          </w:p>
          <w:p>
            <w:pPr>
              <w:spacing w:line="240" w:lineRule="exact"/>
              <w:jc w:val="center"/>
              <w:rPr>
                <w:b/>
                <w:bCs/>
                <w:sz w:val="18"/>
                <w:szCs w:val="18"/>
              </w:rPr>
            </w:pPr>
            <w:r>
              <w:rPr>
                <w:rFonts w:hint="eastAsia" w:hAnsi="宋体" w:cs="宋体"/>
                <w:b/>
                <w:bCs/>
                <w:sz w:val="18"/>
                <w:szCs w:val="18"/>
              </w:rPr>
              <w:t>公共</w:t>
            </w:r>
          </w:p>
          <w:p>
            <w:pPr>
              <w:spacing w:line="240" w:lineRule="exact"/>
              <w:jc w:val="center"/>
              <w:rPr>
                <w:rFonts w:hAnsi="宋体"/>
                <w:b/>
                <w:bCs/>
                <w:sz w:val="18"/>
                <w:szCs w:val="18"/>
              </w:rPr>
            </w:pPr>
            <w:r>
              <w:rPr>
                <w:rFonts w:hint="eastAsia" w:hAnsi="宋体" w:cs="宋体"/>
                <w:b/>
                <w:bCs/>
                <w:sz w:val="18"/>
                <w:szCs w:val="18"/>
              </w:rPr>
              <w:t>预算拨款收入</w:t>
            </w:r>
          </w:p>
        </w:tc>
        <w:tc>
          <w:tcPr>
            <w:tcW w:w="636" w:type="dxa"/>
            <w:tcBorders>
              <w:top w:val="single" w:color="auto" w:sz="4" w:space="0"/>
              <w:left w:val="nil"/>
              <w:bottom w:val="single" w:color="auto" w:sz="4" w:space="0"/>
              <w:right w:val="single" w:color="auto" w:sz="4" w:space="0"/>
            </w:tcBorders>
            <w:vAlign w:val="center"/>
          </w:tcPr>
          <w:p>
            <w:pPr>
              <w:spacing w:line="240" w:lineRule="exact"/>
              <w:jc w:val="center"/>
              <w:rPr>
                <w:b/>
                <w:bCs/>
                <w:sz w:val="18"/>
                <w:szCs w:val="18"/>
              </w:rPr>
            </w:pPr>
            <w:r>
              <w:rPr>
                <w:rFonts w:hint="eastAsia" w:hAnsi="宋体" w:cs="宋体"/>
                <w:b/>
                <w:bCs/>
                <w:sz w:val="18"/>
                <w:szCs w:val="18"/>
              </w:rPr>
              <w:t>省补助</w:t>
            </w:r>
          </w:p>
          <w:p>
            <w:pPr>
              <w:spacing w:line="240" w:lineRule="exact"/>
              <w:jc w:val="center"/>
              <w:rPr>
                <w:rFonts w:hAnsi="宋体"/>
                <w:b/>
                <w:bCs/>
                <w:sz w:val="18"/>
                <w:szCs w:val="18"/>
              </w:rPr>
            </w:pPr>
            <w:r>
              <w:rPr>
                <w:rFonts w:hint="eastAsia" w:hAnsi="宋体" w:cs="宋体"/>
                <w:b/>
                <w:bCs/>
                <w:sz w:val="18"/>
                <w:szCs w:val="18"/>
              </w:rPr>
              <w:t>收入</w:t>
            </w:r>
          </w:p>
        </w:tc>
        <w:tc>
          <w:tcPr>
            <w:tcW w:w="626" w:type="dxa"/>
            <w:tcBorders>
              <w:top w:val="single" w:color="auto" w:sz="4" w:space="0"/>
              <w:left w:val="nil"/>
              <w:bottom w:val="single" w:color="auto" w:sz="4" w:space="0"/>
              <w:right w:val="single" w:color="auto" w:sz="4" w:space="0"/>
            </w:tcBorders>
            <w:vAlign w:val="center"/>
          </w:tcPr>
          <w:p>
            <w:pPr>
              <w:spacing w:line="240" w:lineRule="exact"/>
              <w:rPr>
                <w:b/>
                <w:bCs/>
                <w:sz w:val="18"/>
                <w:szCs w:val="18"/>
              </w:rPr>
            </w:pPr>
            <w:r>
              <w:rPr>
                <w:rFonts w:hint="eastAsia" w:hAnsi="宋体" w:cs="宋体"/>
                <w:b/>
                <w:bCs/>
                <w:sz w:val="18"/>
                <w:szCs w:val="18"/>
              </w:rPr>
              <w:t>政府债券提前告知</w:t>
            </w:r>
          </w:p>
        </w:tc>
        <w:tc>
          <w:tcPr>
            <w:tcW w:w="859" w:type="dxa"/>
            <w:tcBorders>
              <w:top w:val="single" w:color="auto" w:sz="4" w:space="0"/>
              <w:left w:val="nil"/>
              <w:bottom w:val="single" w:color="auto" w:sz="4" w:space="0"/>
              <w:right w:val="single" w:color="auto" w:sz="4" w:space="0"/>
            </w:tcBorders>
            <w:vAlign w:val="center"/>
          </w:tcPr>
          <w:p>
            <w:pPr>
              <w:spacing w:line="240" w:lineRule="exact"/>
              <w:jc w:val="center"/>
              <w:rPr>
                <w:b/>
                <w:bCs/>
                <w:sz w:val="18"/>
                <w:szCs w:val="18"/>
              </w:rPr>
            </w:pPr>
            <w:r>
              <w:rPr>
                <w:rFonts w:hint="eastAsia" w:hAnsi="宋体" w:cs="宋体"/>
                <w:b/>
                <w:bCs/>
                <w:sz w:val="18"/>
                <w:szCs w:val="18"/>
              </w:rPr>
              <w:t>专户</w:t>
            </w:r>
          </w:p>
          <w:p>
            <w:pPr>
              <w:spacing w:line="240" w:lineRule="exact"/>
              <w:jc w:val="center"/>
              <w:rPr>
                <w:rFonts w:hAnsi="宋体"/>
                <w:b/>
                <w:bCs/>
                <w:sz w:val="18"/>
                <w:szCs w:val="18"/>
              </w:rPr>
            </w:pPr>
            <w:r>
              <w:rPr>
                <w:rFonts w:hint="eastAsia" w:hAnsi="宋体" w:cs="宋体"/>
                <w:b/>
                <w:bCs/>
                <w:sz w:val="18"/>
                <w:szCs w:val="18"/>
              </w:rPr>
              <w:t>收入</w:t>
            </w:r>
          </w:p>
        </w:tc>
        <w:tc>
          <w:tcPr>
            <w:tcW w:w="1322" w:type="dxa"/>
            <w:tcBorders>
              <w:top w:val="single" w:color="auto" w:sz="4" w:space="0"/>
              <w:left w:val="nil"/>
              <w:bottom w:val="single" w:color="auto" w:sz="4" w:space="0"/>
              <w:right w:val="single" w:color="auto" w:sz="4" w:space="0"/>
            </w:tcBorders>
            <w:vAlign w:val="center"/>
          </w:tcPr>
          <w:p>
            <w:pPr>
              <w:spacing w:line="240" w:lineRule="exact"/>
              <w:jc w:val="center"/>
              <w:rPr>
                <w:b/>
                <w:bCs/>
                <w:sz w:val="18"/>
                <w:szCs w:val="18"/>
              </w:rPr>
            </w:pPr>
            <w:r>
              <w:rPr>
                <w:rFonts w:hint="eastAsia" w:hAnsi="宋体" w:cs="宋体"/>
                <w:b/>
                <w:bCs/>
                <w:sz w:val="18"/>
                <w:szCs w:val="18"/>
              </w:rPr>
              <w:t>政府性基金预算拨款</w:t>
            </w:r>
          </w:p>
        </w:tc>
        <w:tc>
          <w:tcPr>
            <w:tcW w:w="585" w:type="dxa"/>
            <w:tcBorders>
              <w:top w:val="single" w:color="auto" w:sz="4" w:space="0"/>
              <w:left w:val="nil"/>
              <w:bottom w:val="single" w:color="auto" w:sz="4" w:space="0"/>
              <w:right w:val="single" w:color="auto" w:sz="4" w:space="0"/>
            </w:tcBorders>
            <w:vAlign w:val="center"/>
          </w:tcPr>
          <w:p>
            <w:pPr>
              <w:spacing w:line="240" w:lineRule="exact"/>
              <w:jc w:val="center"/>
              <w:rPr>
                <w:b/>
                <w:bCs/>
                <w:sz w:val="18"/>
                <w:szCs w:val="18"/>
              </w:rPr>
            </w:pPr>
            <w:r>
              <w:rPr>
                <w:rFonts w:hint="eastAsia" w:hAnsi="宋体" w:cs="宋体"/>
                <w:b/>
                <w:bCs/>
                <w:sz w:val="18"/>
                <w:szCs w:val="18"/>
              </w:rPr>
              <w:t>其他</w:t>
            </w:r>
          </w:p>
          <w:p>
            <w:pPr>
              <w:spacing w:line="240" w:lineRule="exact"/>
              <w:jc w:val="center"/>
              <w:rPr>
                <w:b/>
                <w:bCs/>
                <w:sz w:val="18"/>
                <w:szCs w:val="18"/>
              </w:rPr>
            </w:pPr>
            <w:r>
              <w:rPr>
                <w:rFonts w:hint="eastAsia" w:hAnsi="宋体" w:cs="宋体"/>
                <w:b/>
                <w:bCs/>
                <w:sz w:val="18"/>
                <w:szCs w:val="18"/>
              </w:rPr>
              <w:t>收入</w:t>
            </w:r>
          </w:p>
        </w:tc>
        <w:tc>
          <w:tcPr>
            <w:tcW w:w="585" w:type="dxa"/>
            <w:tcBorders>
              <w:top w:val="single" w:color="auto" w:sz="4" w:space="0"/>
              <w:left w:val="nil"/>
              <w:bottom w:val="single" w:color="auto" w:sz="4" w:space="0"/>
              <w:right w:val="single" w:color="auto" w:sz="4" w:space="0"/>
            </w:tcBorders>
            <w:vAlign w:val="center"/>
          </w:tcPr>
          <w:p>
            <w:pPr>
              <w:spacing w:line="240" w:lineRule="exact"/>
              <w:jc w:val="center"/>
              <w:rPr>
                <w:b/>
                <w:bCs/>
                <w:sz w:val="18"/>
                <w:szCs w:val="18"/>
              </w:rPr>
            </w:pPr>
            <w:r>
              <w:rPr>
                <w:rFonts w:hint="eastAsia" w:hAnsi="宋体" w:cs="宋体"/>
                <w:b/>
                <w:bCs/>
                <w:sz w:val="18"/>
                <w:szCs w:val="18"/>
              </w:rPr>
              <w:t>镇</w:t>
            </w:r>
            <w:r>
              <w:rPr>
                <w:b/>
                <w:bCs/>
                <w:sz w:val="18"/>
                <w:szCs w:val="18"/>
              </w:rPr>
              <w:t>(</w:t>
            </w:r>
            <w:r>
              <w:rPr>
                <w:rFonts w:hint="eastAsia" w:hAnsi="宋体" w:cs="宋体"/>
                <w:b/>
                <w:bCs/>
                <w:sz w:val="18"/>
                <w:szCs w:val="18"/>
              </w:rPr>
              <w:t>街道</w:t>
            </w:r>
            <w:r>
              <w:rPr>
                <w:b/>
                <w:bCs/>
                <w:sz w:val="18"/>
                <w:szCs w:val="18"/>
              </w:rPr>
              <w:t>)</w:t>
            </w:r>
            <w:r>
              <w:rPr>
                <w:rFonts w:hint="eastAsia" w:hAnsi="宋体" w:cs="宋体"/>
                <w:b/>
                <w:bCs/>
                <w:sz w:val="18"/>
                <w:szCs w:val="18"/>
              </w:rPr>
              <w:t>补助</w:t>
            </w:r>
          </w:p>
        </w:tc>
        <w:tc>
          <w:tcPr>
            <w:tcW w:w="690" w:type="dxa"/>
            <w:tcBorders>
              <w:top w:val="single" w:color="auto" w:sz="4" w:space="0"/>
              <w:left w:val="nil"/>
              <w:bottom w:val="single" w:color="auto" w:sz="4" w:space="0"/>
              <w:right w:val="single" w:color="auto" w:sz="4" w:space="0"/>
            </w:tcBorders>
            <w:vAlign w:val="center"/>
          </w:tcPr>
          <w:p>
            <w:pPr>
              <w:spacing w:line="240" w:lineRule="exact"/>
              <w:jc w:val="center"/>
              <w:rPr>
                <w:b/>
                <w:bCs/>
                <w:sz w:val="18"/>
                <w:szCs w:val="18"/>
              </w:rPr>
            </w:pPr>
            <w:r>
              <w:rPr>
                <w:rFonts w:hint="eastAsia" w:hAnsi="宋体" w:cs="宋体"/>
                <w:b/>
                <w:bCs/>
                <w:sz w:val="18"/>
                <w:szCs w:val="18"/>
              </w:rPr>
              <w:t>上年</w:t>
            </w:r>
          </w:p>
          <w:p>
            <w:pPr>
              <w:spacing w:line="240" w:lineRule="exact"/>
              <w:jc w:val="center"/>
              <w:rPr>
                <w:b/>
                <w:bCs/>
                <w:sz w:val="18"/>
                <w:szCs w:val="18"/>
              </w:rPr>
            </w:pPr>
            <w:r>
              <w:rPr>
                <w:rFonts w:hint="eastAsia" w:hAnsi="宋体" w:cs="宋体"/>
                <w:b/>
                <w:bCs/>
                <w:sz w:val="18"/>
                <w:szCs w:val="18"/>
              </w:rPr>
              <w:t>结转</w:t>
            </w:r>
          </w:p>
        </w:tc>
        <w:tc>
          <w:tcPr>
            <w:tcW w:w="609" w:type="dxa"/>
            <w:tcBorders>
              <w:top w:val="single" w:color="auto" w:sz="4" w:space="0"/>
              <w:left w:val="nil"/>
              <w:bottom w:val="single" w:color="auto" w:sz="4" w:space="0"/>
              <w:right w:val="single" w:color="auto" w:sz="4" w:space="0"/>
            </w:tcBorders>
          </w:tcPr>
          <w:p>
            <w:pPr>
              <w:spacing w:line="240" w:lineRule="exact"/>
              <w:jc w:val="center"/>
              <w:rPr>
                <w:b/>
                <w:bCs/>
                <w:sz w:val="18"/>
                <w:szCs w:val="18"/>
              </w:rPr>
            </w:pPr>
          </w:p>
          <w:p>
            <w:pPr>
              <w:spacing w:line="240" w:lineRule="exact"/>
              <w:jc w:val="center"/>
              <w:rPr>
                <w:b/>
                <w:bCs/>
                <w:sz w:val="18"/>
                <w:szCs w:val="18"/>
              </w:rPr>
            </w:pPr>
            <w:r>
              <w:rPr>
                <w:rFonts w:hint="eastAsia" w:hAnsi="宋体" w:cs="宋体"/>
                <w:b/>
                <w:bCs/>
                <w:sz w:val="18"/>
                <w:szCs w:val="18"/>
              </w:rPr>
              <w:t>国库</w:t>
            </w:r>
          </w:p>
          <w:p>
            <w:pPr>
              <w:spacing w:line="240" w:lineRule="exact"/>
              <w:jc w:val="center"/>
              <w:rPr>
                <w:b/>
                <w:bCs/>
                <w:sz w:val="18"/>
                <w:szCs w:val="18"/>
              </w:rPr>
            </w:pPr>
            <w:r>
              <w:rPr>
                <w:rFonts w:hint="eastAsia" w:hAnsi="宋体" w:cs="宋体"/>
                <w:b/>
                <w:bCs/>
                <w:sz w:val="18"/>
                <w:szCs w:val="18"/>
              </w:rPr>
              <w:t>其他</w:t>
            </w:r>
          </w:p>
          <w:p>
            <w:pPr>
              <w:spacing w:line="240" w:lineRule="exact"/>
              <w:jc w:val="center"/>
              <w:rPr>
                <w:b/>
                <w:bCs/>
                <w:sz w:val="18"/>
                <w:szCs w:val="18"/>
              </w:rPr>
            </w:pPr>
            <w:r>
              <w:rPr>
                <w:rFonts w:hint="eastAsia" w:hAnsi="宋体" w:cs="宋体"/>
                <w:b/>
                <w:bCs/>
                <w:sz w:val="18"/>
                <w:szCs w:val="18"/>
              </w:rPr>
              <w:t>资金</w:t>
            </w:r>
          </w:p>
        </w:tc>
      </w:tr>
      <w:tr>
        <w:tblPrEx>
          <w:tblLayout w:type="fixed"/>
          <w:tblCellMar>
            <w:top w:w="0" w:type="dxa"/>
            <w:left w:w="108" w:type="dxa"/>
            <w:bottom w:w="0" w:type="dxa"/>
            <w:right w:w="108" w:type="dxa"/>
          </w:tblCellMar>
        </w:tblPrEx>
        <w:trPr>
          <w:trHeight w:val="645" w:hRule="atLeast"/>
        </w:trPr>
        <w:tc>
          <w:tcPr>
            <w:tcW w:w="1696" w:type="dxa"/>
            <w:tcBorders>
              <w:top w:val="nil"/>
              <w:left w:val="single" w:color="auto" w:sz="4" w:space="0"/>
              <w:bottom w:val="single" w:color="auto" w:sz="4" w:space="0"/>
              <w:right w:val="single" w:color="auto" w:sz="4" w:space="0"/>
            </w:tcBorders>
            <w:vAlign w:val="center"/>
          </w:tcPr>
          <w:p>
            <w:pPr>
              <w:spacing w:line="240" w:lineRule="exact"/>
              <w:rPr>
                <w:b/>
                <w:bCs/>
                <w:color w:val="000000"/>
                <w:sz w:val="18"/>
                <w:szCs w:val="18"/>
              </w:rPr>
            </w:pPr>
            <w:r>
              <w:rPr>
                <w:rFonts w:hint="eastAsia" w:hAnsi="宋体" w:cs="宋体"/>
                <w:b/>
                <w:bCs/>
                <w:color w:val="000000"/>
                <w:sz w:val="18"/>
                <w:szCs w:val="18"/>
              </w:rPr>
              <w:t>温岭市住房和城乡建设局</w:t>
            </w:r>
          </w:p>
        </w:tc>
        <w:tc>
          <w:tcPr>
            <w:tcW w:w="102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78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4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3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49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6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1087"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27,319,000.00</w:t>
            </w:r>
          </w:p>
        </w:tc>
        <w:tc>
          <w:tcPr>
            <w:tcW w:w="105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10,419,000.00</w:t>
            </w:r>
          </w:p>
        </w:tc>
        <w:tc>
          <w:tcPr>
            <w:tcW w:w="63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2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85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1322"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16,900,000.00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9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0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r>
      <w:tr>
        <w:tblPrEx>
          <w:tblLayout w:type="fixed"/>
          <w:tblCellMar>
            <w:top w:w="0" w:type="dxa"/>
            <w:left w:w="108" w:type="dxa"/>
            <w:bottom w:w="0" w:type="dxa"/>
            <w:right w:w="108" w:type="dxa"/>
          </w:tblCellMar>
        </w:tblPrEx>
        <w:trPr>
          <w:trHeight w:val="401" w:hRule="atLeast"/>
        </w:trPr>
        <w:tc>
          <w:tcPr>
            <w:tcW w:w="1696" w:type="dxa"/>
            <w:tcBorders>
              <w:top w:val="nil"/>
              <w:left w:val="single" w:color="auto" w:sz="4" w:space="0"/>
              <w:bottom w:val="single" w:color="auto" w:sz="4" w:space="0"/>
              <w:right w:val="single" w:color="auto" w:sz="4" w:space="0"/>
            </w:tcBorders>
            <w:vAlign w:val="center"/>
          </w:tcPr>
          <w:p>
            <w:pPr>
              <w:spacing w:line="240" w:lineRule="exact"/>
              <w:rPr>
                <w:b/>
                <w:bCs/>
                <w:color w:val="000000"/>
                <w:sz w:val="18"/>
                <w:szCs w:val="18"/>
              </w:rPr>
            </w:pPr>
            <w:r>
              <w:rPr>
                <w:b/>
                <w:bCs/>
                <w:color w:val="000000"/>
                <w:sz w:val="18"/>
                <w:szCs w:val="18"/>
              </w:rPr>
              <w:t xml:space="preserve"> </w:t>
            </w:r>
            <w:r>
              <w:rPr>
                <w:rFonts w:hint="eastAsia" w:hAnsi="宋体" w:cs="宋体"/>
                <w:b/>
                <w:bCs/>
                <w:color w:val="000000"/>
                <w:sz w:val="18"/>
                <w:szCs w:val="18"/>
              </w:rPr>
              <w:t>温岭市住房和城乡建设局</w:t>
            </w:r>
            <w:r>
              <w:rPr>
                <w:b/>
                <w:bCs/>
                <w:color w:val="000000"/>
                <w:sz w:val="18"/>
                <w:szCs w:val="18"/>
              </w:rPr>
              <w:t>(</w:t>
            </w:r>
            <w:r>
              <w:rPr>
                <w:rFonts w:hint="eastAsia" w:hAnsi="宋体" w:cs="宋体"/>
                <w:b/>
                <w:bCs/>
                <w:color w:val="000000"/>
                <w:sz w:val="18"/>
                <w:szCs w:val="18"/>
              </w:rPr>
              <w:t>本级</w:t>
            </w:r>
            <w:r>
              <w:rPr>
                <w:b/>
                <w:bCs/>
                <w:color w:val="000000"/>
                <w:sz w:val="18"/>
                <w:szCs w:val="18"/>
              </w:rPr>
              <w:t>)</w:t>
            </w:r>
          </w:p>
        </w:tc>
        <w:tc>
          <w:tcPr>
            <w:tcW w:w="102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78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4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3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49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6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1087"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27,294,000.00</w:t>
            </w:r>
          </w:p>
        </w:tc>
        <w:tc>
          <w:tcPr>
            <w:tcW w:w="105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10,394,000.00</w:t>
            </w:r>
          </w:p>
        </w:tc>
        <w:tc>
          <w:tcPr>
            <w:tcW w:w="63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2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85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1322"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16,900,000.00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9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0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r>
      <w:tr>
        <w:tblPrEx>
          <w:tblLayout w:type="fixed"/>
          <w:tblCellMar>
            <w:top w:w="0" w:type="dxa"/>
            <w:left w:w="108" w:type="dxa"/>
            <w:bottom w:w="0" w:type="dxa"/>
            <w:right w:w="108" w:type="dxa"/>
          </w:tblCellMar>
        </w:tblPrEx>
        <w:trPr>
          <w:trHeight w:val="471" w:hRule="atLeast"/>
        </w:trPr>
        <w:tc>
          <w:tcPr>
            <w:tcW w:w="1696" w:type="dxa"/>
            <w:tcBorders>
              <w:top w:val="nil"/>
              <w:left w:val="single" w:color="auto" w:sz="4" w:space="0"/>
              <w:bottom w:val="single" w:color="auto" w:sz="4" w:space="0"/>
              <w:right w:val="single" w:color="auto" w:sz="4" w:space="0"/>
            </w:tcBorders>
            <w:vAlign w:val="center"/>
          </w:tcPr>
          <w:p>
            <w:pPr>
              <w:spacing w:line="240" w:lineRule="exact"/>
              <w:rPr>
                <w:b/>
                <w:bCs/>
                <w:color w:val="000000"/>
                <w:sz w:val="18"/>
                <w:szCs w:val="18"/>
              </w:rPr>
            </w:pPr>
            <w:r>
              <w:rPr>
                <w:b/>
                <w:bCs/>
                <w:color w:val="000000"/>
                <w:sz w:val="18"/>
                <w:szCs w:val="18"/>
              </w:rPr>
              <w:t xml:space="preserve">  </w:t>
            </w:r>
            <w:r>
              <w:rPr>
                <w:rFonts w:hint="eastAsia" w:hAnsi="宋体" w:cs="宋体"/>
                <w:b/>
                <w:bCs/>
                <w:color w:val="000000"/>
                <w:sz w:val="18"/>
                <w:szCs w:val="18"/>
              </w:rPr>
              <w:t>农村生活污水治理设施运行维护费及运行状态监测费</w:t>
            </w:r>
          </w:p>
        </w:tc>
        <w:tc>
          <w:tcPr>
            <w:tcW w:w="102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78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4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3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49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6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1087"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750,000.00</w:t>
            </w:r>
          </w:p>
        </w:tc>
        <w:tc>
          <w:tcPr>
            <w:tcW w:w="105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3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2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85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1322"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750,000.00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9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0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r>
      <w:tr>
        <w:tblPrEx>
          <w:tblLayout w:type="fixed"/>
          <w:tblCellMar>
            <w:top w:w="0" w:type="dxa"/>
            <w:left w:w="108" w:type="dxa"/>
            <w:bottom w:w="0" w:type="dxa"/>
            <w:right w:w="108" w:type="dxa"/>
          </w:tblCellMar>
        </w:tblPrEx>
        <w:trPr>
          <w:trHeight w:val="489" w:hRule="atLeast"/>
        </w:trPr>
        <w:tc>
          <w:tcPr>
            <w:tcW w:w="1696" w:type="dxa"/>
            <w:tcBorders>
              <w:top w:val="nil"/>
              <w:left w:val="single" w:color="auto" w:sz="4" w:space="0"/>
              <w:bottom w:val="single" w:color="auto" w:sz="4" w:space="0"/>
              <w:right w:val="single" w:color="auto" w:sz="4" w:space="0"/>
            </w:tcBorders>
            <w:vAlign w:val="center"/>
          </w:tcPr>
          <w:p>
            <w:pPr>
              <w:spacing w:line="240" w:lineRule="exact"/>
              <w:rPr>
                <w:b/>
                <w:bCs/>
                <w:color w:val="000000"/>
                <w:sz w:val="18"/>
                <w:szCs w:val="18"/>
              </w:rPr>
            </w:pPr>
            <w:r>
              <w:rPr>
                <w:b/>
                <w:bCs/>
                <w:color w:val="000000"/>
                <w:sz w:val="18"/>
                <w:szCs w:val="18"/>
              </w:rPr>
              <w:t xml:space="preserve">   </w:t>
            </w:r>
            <w:r>
              <w:rPr>
                <w:rFonts w:hint="eastAsia" w:hAnsi="宋体" w:cs="宋体"/>
                <w:b/>
                <w:bCs/>
                <w:color w:val="000000"/>
                <w:sz w:val="18"/>
                <w:szCs w:val="18"/>
              </w:rPr>
              <w:t>农污设施大修费用</w:t>
            </w:r>
          </w:p>
        </w:tc>
        <w:tc>
          <w:tcPr>
            <w:tcW w:w="102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农污设施大修费用</w:t>
            </w:r>
          </w:p>
        </w:tc>
        <w:tc>
          <w:tcPr>
            <w:tcW w:w="78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其他维修和保养服务</w:t>
            </w:r>
          </w:p>
        </w:tc>
        <w:tc>
          <w:tcPr>
            <w:tcW w:w="64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自行采购</w:t>
            </w:r>
          </w:p>
        </w:tc>
        <w:tc>
          <w:tcPr>
            <w:tcW w:w="63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49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1</w:t>
            </w:r>
          </w:p>
        </w:tc>
        <w:tc>
          <w:tcPr>
            <w:tcW w:w="66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项</w:t>
            </w:r>
          </w:p>
        </w:tc>
        <w:tc>
          <w:tcPr>
            <w:tcW w:w="1087"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750,000.00</w:t>
            </w:r>
          </w:p>
        </w:tc>
        <w:tc>
          <w:tcPr>
            <w:tcW w:w="1134"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750,000.00</w:t>
            </w:r>
          </w:p>
        </w:tc>
        <w:tc>
          <w:tcPr>
            <w:tcW w:w="105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3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2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85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1322"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750,000.00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9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0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r>
      <w:tr>
        <w:tblPrEx>
          <w:tblLayout w:type="fixed"/>
          <w:tblCellMar>
            <w:top w:w="0" w:type="dxa"/>
            <w:left w:w="108" w:type="dxa"/>
            <w:bottom w:w="0" w:type="dxa"/>
            <w:right w:w="108" w:type="dxa"/>
          </w:tblCellMar>
        </w:tblPrEx>
        <w:trPr>
          <w:trHeight w:val="489" w:hRule="atLeast"/>
        </w:trPr>
        <w:tc>
          <w:tcPr>
            <w:tcW w:w="1696" w:type="dxa"/>
            <w:tcBorders>
              <w:top w:val="nil"/>
              <w:left w:val="single" w:color="auto" w:sz="4" w:space="0"/>
              <w:bottom w:val="single" w:color="auto" w:sz="4" w:space="0"/>
              <w:right w:val="single" w:color="auto" w:sz="4" w:space="0"/>
            </w:tcBorders>
            <w:vAlign w:val="center"/>
          </w:tcPr>
          <w:p>
            <w:pPr>
              <w:spacing w:line="240" w:lineRule="exact"/>
              <w:rPr>
                <w:b/>
                <w:bCs/>
                <w:color w:val="000000"/>
                <w:sz w:val="18"/>
                <w:szCs w:val="18"/>
              </w:rPr>
            </w:pPr>
            <w:r>
              <w:rPr>
                <w:b/>
                <w:bCs/>
                <w:color w:val="000000"/>
                <w:sz w:val="18"/>
                <w:szCs w:val="18"/>
              </w:rPr>
              <w:t xml:space="preserve">  </w:t>
            </w:r>
            <w:r>
              <w:rPr>
                <w:rFonts w:hint="eastAsia" w:hAnsi="宋体" w:cs="宋体"/>
                <w:b/>
                <w:bCs/>
                <w:color w:val="000000"/>
                <w:sz w:val="18"/>
                <w:szCs w:val="18"/>
              </w:rPr>
              <w:t>锦屏公园管护费</w:t>
            </w:r>
          </w:p>
        </w:tc>
        <w:tc>
          <w:tcPr>
            <w:tcW w:w="102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78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4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3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49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6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1087"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334,200.00</w:t>
            </w:r>
          </w:p>
        </w:tc>
        <w:tc>
          <w:tcPr>
            <w:tcW w:w="105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334,200.00</w:t>
            </w:r>
          </w:p>
        </w:tc>
        <w:tc>
          <w:tcPr>
            <w:tcW w:w="63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2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85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1322"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9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0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r>
      <w:tr>
        <w:tblPrEx>
          <w:tblLayout w:type="fixed"/>
          <w:tblCellMar>
            <w:top w:w="0" w:type="dxa"/>
            <w:left w:w="108" w:type="dxa"/>
            <w:bottom w:w="0" w:type="dxa"/>
            <w:right w:w="108" w:type="dxa"/>
          </w:tblCellMar>
        </w:tblPrEx>
        <w:trPr>
          <w:trHeight w:val="735" w:hRule="atLeast"/>
        </w:trPr>
        <w:tc>
          <w:tcPr>
            <w:tcW w:w="1696" w:type="dxa"/>
            <w:tcBorders>
              <w:top w:val="nil"/>
              <w:left w:val="single" w:color="auto" w:sz="4" w:space="0"/>
              <w:bottom w:val="single" w:color="auto" w:sz="4" w:space="0"/>
              <w:right w:val="single" w:color="auto" w:sz="4" w:space="0"/>
            </w:tcBorders>
            <w:vAlign w:val="center"/>
          </w:tcPr>
          <w:p>
            <w:pPr>
              <w:spacing w:line="240" w:lineRule="exact"/>
              <w:rPr>
                <w:b/>
                <w:bCs/>
                <w:color w:val="000000"/>
                <w:sz w:val="18"/>
                <w:szCs w:val="18"/>
              </w:rPr>
            </w:pPr>
            <w:r>
              <w:rPr>
                <w:b/>
                <w:bCs/>
                <w:color w:val="000000"/>
                <w:sz w:val="18"/>
                <w:szCs w:val="18"/>
              </w:rPr>
              <w:t xml:space="preserve">   </w:t>
            </w:r>
            <w:r>
              <w:rPr>
                <w:rFonts w:hint="eastAsia" w:hAnsi="宋体" w:cs="宋体"/>
                <w:b/>
                <w:bCs/>
                <w:color w:val="000000"/>
                <w:sz w:val="18"/>
                <w:szCs w:val="18"/>
              </w:rPr>
              <w:t>草花苗木采购</w:t>
            </w:r>
          </w:p>
        </w:tc>
        <w:tc>
          <w:tcPr>
            <w:tcW w:w="102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草花苗木采购</w:t>
            </w:r>
          </w:p>
        </w:tc>
        <w:tc>
          <w:tcPr>
            <w:tcW w:w="78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苗木类</w:t>
            </w:r>
          </w:p>
        </w:tc>
        <w:tc>
          <w:tcPr>
            <w:tcW w:w="64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自行采购</w:t>
            </w:r>
          </w:p>
        </w:tc>
        <w:tc>
          <w:tcPr>
            <w:tcW w:w="63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49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1</w:t>
            </w:r>
          </w:p>
        </w:tc>
        <w:tc>
          <w:tcPr>
            <w:tcW w:w="66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项</w:t>
            </w:r>
          </w:p>
        </w:tc>
        <w:tc>
          <w:tcPr>
            <w:tcW w:w="1087"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334,200.00</w:t>
            </w:r>
          </w:p>
        </w:tc>
        <w:tc>
          <w:tcPr>
            <w:tcW w:w="1134"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334,200.00</w:t>
            </w:r>
          </w:p>
        </w:tc>
        <w:tc>
          <w:tcPr>
            <w:tcW w:w="105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334,200.00</w:t>
            </w:r>
          </w:p>
        </w:tc>
        <w:tc>
          <w:tcPr>
            <w:tcW w:w="63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2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85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1322"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9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0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r>
      <w:tr>
        <w:tblPrEx>
          <w:tblLayout w:type="fixed"/>
          <w:tblCellMar>
            <w:top w:w="0" w:type="dxa"/>
            <w:left w:w="108" w:type="dxa"/>
            <w:bottom w:w="0" w:type="dxa"/>
            <w:right w:w="108" w:type="dxa"/>
          </w:tblCellMar>
        </w:tblPrEx>
        <w:trPr>
          <w:trHeight w:val="720" w:hRule="atLeast"/>
        </w:trPr>
        <w:tc>
          <w:tcPr>
            <w:tcW w:w="1696" w:type="dxa"/>
            <w:tcBorders>
              <w:top w:val="nil"/>
              <w:left w:val="single" w:color="auto" w:sz="4" w:space="0"/>
              <w:bottom w:val="single" w:color="auto" w:sz="4" w:space="0"/>
              <w:right w:val="single" w:color="auto" w:sz="4" w:space="0"/>
            </w:tcBorders>
            <w:vAlign w:val="center"/>
          </w:tcPr>
          <w:p>
            <w:pPr>
              <w:spacing w:line="240" w:lineRule="exact"/>
              <w:rPr>
                <w:b/>
                <w:bCs/>
                <w:color w:val="000000"/>
                <w:sz w:val="18"/>
                <w:szCs w:val="18"/>
              </w:rPr>
            </w:pPr>
            <w:r>
              <w:rPr>
                <w:b/>
                <w:bCs/>
                <w:color w:val="000000"/>
                <w:sz w:val="18"/>
                <w:szCs w:val="18"/>
              </w:rPr>
              <w:t xml:space="preserve">  </w:t>
            </w:r>
            <w:r>
              <w:rPr>
                <w:rFonts w:hint="eastAsia" w:hAnsi="宋体" w:cs="宋体"/>
                <w:b/>
                <w:bCs/>
                <w:color w:val="000000"/>
                <w:sz w:val="18"/>
                <w:szCs w:val="18"/>
              </w:rPr>
              <w:t>主城区雨水管网</w:t>
            </w:r>
            <w:r>
              <w:rPr>
                <w:b/>
                <w:bCs/>
                <w:color w:val="000000"/>
                <w:sz w:val="18"/>
                <w:szCs w:val="18"/>
              </w:rPr>
              <w:t>CCTV</w:t>
            </w:r>
            <w:r>
              <w:rPr>
                <w:rFonts w:hint="eastAsia" w:hAnsi="宋体" w:cs="宋体"/>
                <w:b/>
                <w:bCs/>
                <w:color w:val="000000"/>
                <w:sz w:val="18"/>
                <w:szCs w:val="18"/>
              </w:rPr>
              <w:t>检测</w:t>
            </w:r>
          </w:p>
        </w:tc>
        <w:tc>
          <w:tcPr>
            <w:tcW w:w="102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78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4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3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49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6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1087"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2,000,000.00</w:t>
            </w:r>
          </w:p>
        </w:tc>
        <w:tc>
          <w:tcPr>
            <w:tcW w:w="105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2,000,000.00</w:t>
            </w:r>
          </w:p>
        </w:tc>
        <w:tc>
          <w:tcPr>
            <w:tcW w:w="63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2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85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1322"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9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0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r>
      <w:tr>
        <w:tblPrEx>
          <w:tblLayout w:type="fixed"/>
          <w:tblCellMar>
            <w:top w:w="0" w:type="dxa"/>
            <w:left w:w="108" w:type="dxa"/>
            <w:bottom w:w="0" w:type="dxa"/>
            <w:right w:w="108" w:type="dxa"/>
          </w:tblCellMar>
        </w:tblPrEx>
        <w:trPr>
          <w:trHeight w:val="870" w:hRule="atLeast"/>
        </w:trPr>
        <w:tc>
          <w:tcPr>
            <w:tcW w:w="1696" w:type="dxa"/>
            <w:tcBorders>
              <w:top w:val="nil"/>
              <w:left w:val="single" w:color="auto" w:sz="4" w:space="0"/>
              <w:bottom w:val="single" w:color="auto" w:sz="4" w:space="0"/>
              <w:right w:val="single" w:color="auto" w:sz="4" w:space="0"/>
            </w:tcBorders>
            <w:vAlign w:val="center"/>
          </w:tcPr>
          <w:p>
            <w:pPr>
              <w:spacing w:line="240" w:lineRule="exact"/>
              <w:rPr>
                <w:b/>
                <w:bCs/>
                <w:color w:val="000000"/>
                <w:sz w:val="18"/>
                <w:szCs w:val="18"/>
              </w:rPr>
            </w:pPr>
            <w:r>
              <w:rPr>
                <w:b/>
                <w:bCs/>
                <w:color w:val="000000"/>
                <w:sz w:val="18"/>
                <w:szCs w:val="18"/>
              </w:rPr>
              <w:t xml:space="preserve">   </w:t>
            </w:r>
            <w:r>
              <w:rPr>
                <w:rFonts w:hint="eastAsia" w:hAnsi="宋体" w:cs="宋体"/>
                <w:b/>
                <w:bCs/>
                <w:color w:val="000000"/>
                <w:sz w:val="18"/>
                <w:szCs w:val="18"/>
              </w:rPr>
              <w:t>主城区雨水管网</w:t>
            </w:r>
            <w:r>
              <w:rPr>
                <w:b/>
                <w:bCs/>
                <w:color w:val="000000"/>
                <w:sz w:val="18"/>
                <w:szCs w:val="18"/>
              </w:rPr>
              <w:t>CCTV</w:t>
            </w:r>
            <w:r>
              <w:rPr>
                <w:rFonts w:hint="eastAsia" w:hAnsi="宋体" w:cs="宋体"/>
                <w:b/>
                <w:bCs/>
                <w:color w:val="000000"/>
                <w:sz w:val="18"/>
                <w:szCs w:val="18"/>
              </w:rPr>
              <w:t>检测</w:t>
            </w:r>
          </w:p>
        </w:tc>
        <w:tc>
          <w:tcPr>
            <w:tcW w:w="1020" w:type="dxa"/>
            <w:tcBorders>
              <w:top w:val="nil"/>
              <w:left w:val="nil"/>
              <w:bottom w:val="single" w:color="auto" w:sz="4" w:space="0"/>
              <w:right w:val="single" w:color="auto" w:sz="4" w:space="0"/>
            </w:tcBorders>
            <w:vAlign w:val="center"/>
          </w:tcPr>
          <w:p>
            <w:pPr>
              <w:spacing w:line="240" w:lineRule="exact"/>
              <w:jc w:val="center"/>
              <w:rPr>
                <w:color w:val="000000"/>
                <w:spacing w:val="-8"/>
                <w:sz w:val="18"/>
                <w:szCs w:val="18"/>
              </w:rPr>
            </w:pPr>
            <w:r>
              <w:rPr>
                <w:rFonts w:hint="eastAsia" w:hAnsi="宋体" w:cs="宋体"/>
                <w:color w:val="000000"/>
                <w:spacing w:val="-8"/>
                <w:sz w:val="18"/>
                <w:szCs w:val="18"/>
              </w:rPr>
              <w:t>主城区雨水管网</w:t>
            </w:r>
            <w:r>
              <w:rPr>
                <w:color w:val="000000"/>
                <w:spacing w:val="-8"/>
                <w:sz w:val="18"/>
                <w:szCs w:val="18"/>
              </w:rPr>
              <w:t>CCTV</w:t>
            </w:r>
            <w:r>
              <w:rPr>
                <w:rFonts w:hint="eastAsia" w:hAnsi="宋体" w:cs="宋体"/>
                <w:color w:val="000000"/>
                <w:spacing w:val="-8"/>
                <w:sz w:val="18"/>
                <w:szCs w:val="18"/>
              </w:rPr>
              <w:t>检测</w:t>
            </w:r>
          </w:p>
        </w:tc>
        <w:tc>
          <w:tcPr>
            <w:tcW w:w="78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其他服务</w:t>
            </w:r>
          </w:p>
        </w:tc>
        <w:tc>
          <w:tcPr>
            <w:tcW w:w="64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自行采购</w:t>
            </w:r>
          </w:p>
        </w:tc>
        <w:tc>
          <w:tcPr>
            <w:tcW w:w="63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49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1</w:t>
            </w:r>
          </w:p>
        </w:tc>
        <w:tc>
          <w:tcPr>
            <w:tcW w:w="66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项</w:t>
            </w:r>
          </w:p>
        </w:tc>
        <w:tc>
          <w:tcPr>
            <w:tcW w:w="1087"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2,000,000.00</w:t>
            </w:r>
          </w:p>
        </w:tc>
        <w:tc>
          <w:tcPr>
            <w:tcW w:w="1134"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2,000,000.00</w:t>
            </w:r>
          </w:p>
        </w:tc>
        <w:tc>
          <w:tcPr>
            <w:tcW w:w="105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2,000,000.00</w:t>
            </w:r>
          </w:p>
        </w:tc>
        <w:tc>
          <w:tcPr>
            <w:tcW w:w="63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2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85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1322"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9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0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r>
      <w:tr>
        <w:tblPrEx>
          <w:tblLayout w:type="fixed"/>
          <w:tblCellMar>
            <w:top w:w="0" w:type="dxa"/>
            <w:left w:w="108" w:type="dxa"/>
            <w:bottom w:w="0" w:type="dxa"/>
            <w:right w:w="108" w:type="dxa"/>
          </w:tblCellMar>
        </w:tblPrEx>
        <w:trPr>
          <w:trHeight w:val="489" w:hRule="atLeast"/>
        </w:trPr>
        <w:tc>
          <w:tcPr>
            <w:tcW w:w="1696" w:type="dxa"/>
            <w:tcBorders>
              <w:top w:val="nil"/>
              <w:left w:val="single" w:color="auto" w:sz="4" w:space="0"/>
              <w:bottom w:val="single" w:color="auto" w:sz="4" w:space="0"/>
              <w:right w:val="single" w:color="auto" w:sz="4" w:space="0"/>
            </w:tcBorders>
            <w:vAlign w:val="center"/>
          </w:tcPr>
          <w:p>
            <w:pPr>
              <w:spacing w:line="240" w:lineRule="exact"/>
              <w:rPr>
                <w:b/>
                <w:bCs/>
                <w:color w:val="000000"/>
                <w:sz w:val="18"/>
                <w:szCs w:val="18"/>
              </w:rPr>
            </w:pPr>
            <w:r>
              <w:rPr>
                <w:b/>
                <w:bCs/>
                <w:color w:val="000000"/>
                <w:sz w:val="18"/>
                <w:szCs w:val="18"/>
              </w:rPr>
              <w:t xml:space="preserve">  </w:t>
            </w:r>
            <w:r>
              <w:rPr>
                <w:rFonts w:hint="eastAsia" w:hAnsi="宋体" w:cs="宋体"/>
                <w:b/>
                <w:bCs/>
                <w:color w:val="000000"/>
                <w:sz w:val="18"/>
                <w:szCs w:val="18"/>
              </w:rPr>
              <w:t>白蚁防治费</w:t>
            </w:r>
          </w:p>
        </w:tc>
        <w:tc>
          <w:tcPr>
            <w:tcW w:w="102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78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4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3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49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6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1087"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360,000.00</w:t>
            </w:r>
          </w:p>
        </w:tc>
        <w:tc>
          <w:tcPr>
            <w:tcW w:w="105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360,000.00</w:t>
            </w:r>
          </w:p>
        </w:tc>
        <w:tc>
          <w:tcPr>
            <w:tcW w:w="63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2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85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1322"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9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0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r>
      <w:tr>
        <w:tblPrEx>
          <w:tblLayout w:type="fixed"/>
          <w:tblCellMar>
            <w:top w:w="0" w:type="dxa"/>
            <w:left w:w="108" w:type="dxa"/>
            <w:bottom w:w="0" w:type="dxa"/>
            <w:right w:w="108" w:type="dxa"/>
          </w:tblCellMar>
        </w:tblPrEx>
        <w:trPr>
          <w:trHeight w:val="885" w:hRule="atLeast"/>
        </w:trPr>
        <w:tc>
          <w:tcPr>
            <w:tcW w:w="1696" w:type="dxa"/>
            <w:tcBorders>
              <w:top w:val="nil"/>
              <w:left w:val="single" w:color="auto" w:sz="4" w:space="0"/>
              <w:bottom w:val="single" w:color="auto" w:sz="4" w:space="0"/>
              <w:right w:val="single" w:color="auto" w:sz="4" w:space="0"/>
            </w:tcBorders>
            <w:vAlign w:val="center"/>
          </w:tcPr>
          <w:p>
            <w:pPr>
              <w:spacing w:line="240" w:lineRule="exact"/>
              <w:rPr>
                <w:b/>
                <w:bCs/>
                <w:color w:val="000000"/>
                <w:sz w:val="18"/>
                <w:szCs w:val="18"/>
              </w:rPr>
            </w:pPr>
            <w:r>
              <w:rPr>
                <w:b/>
                <w:bCs/>
                <w:color w:val="000000"/>
                <w:sz w:val="18"/>
                <w:szCs w:val="18"/>
              </w:rPr>
              <w:t xml:space="preserve">   </w:t>
            </w:r>
            <w:r>
              <w:rPr>
                <w:rFonts w:hint="eastAsia" w:hAnsi="宋体" w:cs="宋体"/>
                <w:b/>
                <w:bCs/>
                <w:color w:val="000000"/>
                <w:sz w:val="18"/>
                <w:szCs w:val="18"/>
              </w:rPr>
              <w:t>白蚁监测控制装置</w:t>
            </w:r>
          </w:p>
        </w:tc>
        <w:tc>
          <w:tcPr>
            <w:tcW w:w="102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白蚁监测控制装置</w:t>
            </w:r>
          </w:p>
        </w:tc>
        <w:tc>
          <w:tcPr>
            <w:tcW w:w="78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其他不另分类的物品</w:t>
            </w:r>
          </w:p>
        </w:tc>
        <w:tc>
          <w:tcPr>
            <w:tcW w:w="64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自行采购</w:t>
            </w:r>
          </w:p>
        </w:tc>
        <w:tc>
          <w:tcPr>
            <w:tcW w:w="63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49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9000</w:t>
            </w:r>
          </w:p>
        </w:tc>
        <w:tc>
          <w:tcPr>
            <w:tcW w:w="66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套</w:t>
            </w:r>
          </w:p>
        </w:tc>
        <w:tc>
          <w:tcPr>
            <w:tcW w:w="1087"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40.00</w:t>
            </w:r>
          </w:p>
        </w:tc>
        <w:tc>
          <w:tcPr>
            <w:tcW w:w="1134"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360,000.00</w:t>
            </w:r>
          </w:p>
        </w:tc>
        <w:tc>
          <w:tcPr>
            <w:tcW w:w="105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360,000.00</w:t>
            </w:r>
          </w:p>
        </w:tc>
        <w:tc>
          <w:tcPr>
            <w:tcW w:w="63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2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85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1322"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9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0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r>
      <w:tr>
        <w:tblPrEx>
          <w:tblLayout w:type="fixed"/>
          <w:tblCellMar>
            <w:top w:w="0" w:type="dxa"/>
            <w:left w:w="108" w:type="dxa"/>
            <w:bottom w:w="0" w:type="dxa"/>
            <w:right w:w="108" w:type="dxa"/>
          </w:tblCellMar>
        </w:tblPrEx>
        <w:trPr>
          <w:trHeight w:val="484" w:hRule="atLeast"/>
        </w:trPr>
        <w:tc>
          <w:tcPr>
            <w:tcW w:w="1696" w:type="dxa"/>
            <w:tcBorders>
              <w:top w:val="nil"/>
              <w:left w:val="single" w:color="auto" w:sz="4" w:space="0"/>
              <w:bottom w:val="single" w:color="auto" w:sz="4" w:space="0"/>
              <w:right w:val="single" w:color="auto" w:sz="4" w:space="0"/>
            </w:tcBorders>
            <w:vAlign w:val="center"/>
          </w:tcPr>
          <w:p>
            <w:pPr>
              <w:spacing w:line="240" w:lineRule="exact"/>
              <w:rPr>
                <w:b/>
                <w:bCs/>
                <w:color w:val="000000"/>
                <w:sz w:val="18"/>
                <w:szCs w:val="18"/>
              </w:rPr>
            </w:pPr>
            <w:r>
              <w:rPr>
                <w:b/>
                <w:bCs/>
                <w:color w:val="000000"/>
                <w:sz w:val="18"/>
                <w:szCs w:val="18"/>
              </w:rPr>
              <w:t xml:space="preserve">  </w:t>
            </w:r>
            <w:r>
              <w:rPr>
                <w:rFonts w:hint="eastAsia" w:hAnsi="宋体" w:cs="宋体"/>
                <w:b/>
                <w:bCs/>
                <w:color w:val="000000"/>
                <w:sz w:val="18"/>
                <w:szCs w:val="18"/>
              </w:rPr>
              <w:t>公房管理费用</w:t>
            </w:r>
          </w:p>
        </w:tc>
        <w:tc>
          <w:tcPr>
            <w:tcW w:w="102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78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4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3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49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6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1087"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590,000.00</w:t>
            </w:r>
          </w:p>
        </w:tc>
        <w:tc>
          <w:tcPr>
            <w:tcW w:w="105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590,000.00</w:t>
            </w:r>
          </w:p>
        </w:tc>
        <w:tc>
          <w:tcPr>
            <w:tcW w:w="63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2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85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1322"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9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0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r>
      <w:tr>
        <w:tblPrEx>
          <w:tblLayout w:type="fixed"/>
          <w:tblCellMar>
            <w:top w:w="0" w:type="dxa"/>
            <w:left w:w="108" w:type="dxa"/>
            <w:bottom w:w="0" w:type="dxa"/>
            <w:right w:w="108" w:type="dxa"/>
          </w:tblCellMar>
        </w:tblPrEx>
        <w:trPr>
          <w:trHeight w:val="489" w:hRule="atLeast"/>
        </w:trPr>
        <w:tc>
          <w:tcPr>
            <w:tcW w:w="1696" w:type="dxa"/>
            <w:tcBorders>
              <w:top w:val="nil"/>
              <w:left w:val="single" w:color="auto" w:sz="4" w:space="0"/>
              <w:bottom w:val="single" w:color="auto" w:sz="4" w:space="0"/>
              <w:right w:val="single" w:color="auto" w:sz="4" w:space="0"/>
            </w:tcBorders>
            <w:vAlign w:val="center"/>
          </w:tcPr>
          <w:p>
            <w:pPr>
              <w:spacing w:line="240" w:lineRule="exact"/>
              <w:rPr>
                <w:b/>
                <w:bCs/>
                <w:color w:val="000000"/>
                <w:sz w:val="18"/>
                <w:szCs w:val="18"/>
              </w:rPr>
            </w:pPr>
            <w:r>
              <w:rPr>
                <w:b/>
                <w:bCs/>
                <w:color w:val="000000"/>
                <w:sz w:val="18"/>
                <w:szCs w:val="18"/>
              </w:rPr>
              <w:t xml:space="preserve">   </w:t>
            </w:r>
            <w:r>
              <w:rPr>
                <w:rFonts w:hint="eastAsia" w:hAnsi="宋体" w:cs="宋体"/>
                <w:b/>
                <w:bCs/>
                <w:color w:val="000000"/>
                <w:sz w:val="18"/>
                <w:szCs w:val="18"/>
              </w:rPr>
              <w:t>公房维修</w:t>
            </w:r>
          </w:p>
        </w:tc>
        <w:tc>
          <w:tcPr>
            <w:tcW w:w="102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公房维修</w:t>
            </w:r>
          </w:p>
        </w:tc>
        <w:tc>
          <w:tcPr>
            <w:tcW w:w="78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其他建筑物、构筑物修缮</w:t>
            </w:r>
          </w:p>
        </w:tc>
        <w:tc>
          <w:tcPr>
            <w:tcW w:w="64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自行采购</w:t>
            </w:r>
          </w:p>
        </w:tc>
        <w:tc>
          <w:tcPr>
            <w:tcW w:w="63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49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1</w:t>
            </w:r>
          </w:p>
        </w:tc>
        <w:tc>
          <w:tcPr>
            <w:tcW w:w="66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项</w:t>
            </w:r>
          </w:p>
        </w:tc>
        <w:tc>
          <w:tcPr>
            <w:tcW w:w="1087"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590,000.00</w:t>
            </w:r>
          </w:p>
        </w:tc>
        <w:tc>
          <w:tcPr>
            <w:tcW w:w="1134"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590,000.00</w:t>
            </w:r>
          </w:p>
        </w:tc>
        <w:tc>
          <w:tcPr>
            <w:tcW w:w="105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590,000.00</w:t>
            </w:r>
          </w:p>
        </w:tc>
        <w:tc>
          <w:tcPr>
            <w:tcW w:w="63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2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85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1322"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9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0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r>
      <w:tr>
        <w:tblPrEx>
          <w:tblLayout w:type="fixed"/>
          <w:tblCellMar>
            <w:top w:w="0" w:type="dxa"/>
            <w:left w:w="108" w:type="dxa"/>
            <w:bottom w:w="0" w:type="dxa"/>
            <w:right w:w="108" w:type="dxa"/>
          </w:tblCellMar>
        </w:tblPrEx>
        <w:trPr>
          <w:trHeight w:val="470" w:hRule="atLeast"/>
        </w:trPr>
        <w:tc>
          <w:tcPr>
            <w:tcW w:w="1696" w:type="dxa"/>
            <w:tcBorders>
              <w:top w:val="nil"/>
              <w:left w:val="single" w:color="auto" w:sz="4" w:space="0"/>
              <w:bottom w:val="single" w:color="auto" w:sz="4" w:space="0"/>
              <w:right w:val="single" w:color="auto" w:sz="4" w:space="0"/>
            </w:tcBorders>
            <w:vAlign w:val="center"/>
          </w:tcPr>
          <w:p>
            <w:pPr>
              <w:spacing w:line="240" w:lineRule="exact"/>
              <w:rPr>
                <w:b/>
                <w:bCs/>
                <w:color w:val="000000"/>
                <w:sz w:val="18"/>
                <w:szCs w:val="18"/>
              </w:rPr>
            </w:pPr>
            <w:r>
              <w:rPr>
                <w:b/>
                <w:bCs/>
                <w:color w:val="000000"/>
                <w:sz w:val="18"/>
                <w:szCs w:val="18"/>
              </w:rPr>
              <w:t xml:space="preserve">  </w:t>
            </w:r>
            <w:r>
              <w:rPr>
                <w:rFonts w:hint="eastAsia" w:hAnsi="宋体" w:cs="宋体"/>
                <w:b/>
                <w:bCs/>
                <w:color w:val="000000"/>
                <w:sz w:val="18"/>
                <w:szCs w:val="18"/>
              </w:rPr>
              <w:t>城建档案馆日常运行经费</w:t>
            </w:r>
          </w:p>
        </w:tc>
        <w:tc>
          <w:tcPr>
            <w:tcW w:w="102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78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4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3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49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6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1087"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550,000.00</w:t>
            </w:r>
          </w:p>
        </w:tc>
        <w:tc>
          <w:tcPr>
            <w:tcW w:w="105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550,000.00</w:t>
            </w:r>
          </w:p>
        </w:tc>
        <w:tc>
          <w:tcPr>
            <w:tcW w:w="63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2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85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1322"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9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0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r>
      <w:tr>
        <w:tblPrEx>
          <w:tblLayout w:type="fixed"/>
          <w:tblCellMar>
            <w:top w:w="0" w:type="dxa"/>
            <w:left w:w="108" w:type="dxa"/>
            <w:bottom w:w="0" w:type="dxa"/>
            <w:right w:w="108" w:type="dxa"/>
          </w:tblCellMar>
        </w:tblPrEx>
        <w:trPr>
          <w:trHeight w:val="90" w:hRule="atLeast"/>
        </w:trPr>
        <w:tc>
          <w:tcPr>
            <w:tcW w:w="1696" w:type="dxa"/>
            <w:tcBorders>
              <w:top w:val="nil"/>
              <w:left w:val="single" w:color="auto" w:sz="4" w:space="0"/>
              <w:bottom w:val="single" w:color="auto" w:sz="4" w:space="0"/>
              <w:right w:val="single" w:color="auto" w:sz="4" w:space="0"/>
            </w:tcBorders>
            <w:vAlign w:val="center"/>
          </w:tcPr>
          <w:p>
            <w:pPr>
              <w:spacing w:line="240" w:lineRule="exact"/>
              <w:rPr>
                <w:b/>
                <w:bCs/>
                <w:color w:val="000000"/>
                <w:sz w:val="18"/>
                <w:szCs w:val="18"/>
              </w:rPr>
            </w:pPr>
            <w:r>
              <w:rPr>
                <w:b/>
                <w:bCs/>
                <w:color w:val="000000"/>
                <w:sz w:val="18"/>
                <w:szCs w:val="18"/>
              </w:rPr>
              <w:t xml:space="preserve">   </w:t>
            </w:r>
            <w:r>
              <w:rPr>
                <w:rFonts w:hint="eastAsia" w:hAnsi="宋体" w:cs="宋体"/>
                <w:b/>
                <w:bCs/>
                <w:color w:val="000000"/>
                <w:sz w:val="18"/>
                <w:szCs w:val="18"/>
              </w:rPr>
              <w:t>复印纸</w:t>
            </w:r>
          </w:p>
        </w:tc>
        <w:tc>
          <w:tcPr>
            <w:tcW w:w="102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复印纸</w:t>
            </w:r>
          </w:p>
        </w:tc>
        <w:tc>
          <w:tcPr>
            <w:tcW w:w="78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复印纸</w:t>
            </w:r>
          </w:p>
        </w:tc>
        <w:tc>
          <w:tcPr>
            <w:tcW w:w="64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自行采购</w:t>
            </w:r>
          </w:p>
        </w:tc>
        <w:tc>
          <w:tcPr>
            <w:tcW w:w="63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49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1200</w:t>
            </w:r>
          </w:p>
        </w:tc>
        <w:tc>
          <w:tcPr>
            <w:tcW w:w="66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包</w:t>
            </w:r>
          </w:p>
        </w:tc>
        <w:tc>
          <w:tcPr>
            <w:tcW w:w="1087"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25.00</w:t>
            </w:r>
          </w:p>
        </w:tc>
        <w:tc>
          <w:tcPr>
            <w:tcW w:w="1134"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30,000.00</w:t>
            </w:r>
          </w:p>
        </w:tc>
        <w:tc>
          <w:tcPr>
            <w:tcW w:w="105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30,000.00</w:t>
            </w:r>
          </w:p>
        </w:tc>
        <w:tc>
          <w:tcPr>
            <w:tcW w:w="63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2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85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1322"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9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0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r>
      <w:tr>
        <w:tblPrEx>
          <w:tblLayout w:type="fixed"/>
          <w:tblCellMar>
            <w:top w:w="0" w:type="dxa"/>
            <w:left w:w="108" w:type="dxa"/>
            <w:bottom w:w="0" w:type="dxa"/>
            <w:right w:w="108" w:type="dxa"/>
          </w:tblCellMar>
        </w:tblPrEx>
        <w:trPr>
          <w:trHeight w:val="777" w:hRule="atLeast"/>
        </w:trPr>
        <w:tc>
          <w:tcPr>
            <w:tcW w:w="1696" w:type="dxa"/>
            <w:tcBorders>
              <w:top w:val="nil"/>
              <w:left w:val="single" w:color="auto" w:sz="4" w:space="0"/>
              <w:bottom w:val="single" w:color="auto" w:sz="4" w:space="0"/>
              <w:right w:val="single" w:color="auto" w:sz="4" w:space="0"/>
            </w:tcBorders>
            <w:vAlign w:val="center"/>
          </w:tcPr>
          <w:p>
            <w:pPr>
              <w:spacing w:line="240" w:lineRule="exact"/>
              <w:rPr>
                <w:b/>
                <w:bCs/>
                <w:color w:val="000000"/>
                <w:sz w:val="18"/>
                <w:szCs w:val="18"/>
              </w:rPr>
            </w:pPr>
            <w:r>
              <w:rPr>
                <w:b/>
                <w:bCs/>
                <w:color w:val="000000"/>
                <w:sz w:val="18"/>
                <w:szCs w:val="18"/>
              </w:rPr>
              <w:t xml:space="preserve">   </w:t>
            </w:r>
            <w:r>
              <w:rPr>
                <w:rFonts w:hint="eastAsia" w:hAnsi="宋体" w:cs="宋体"/>
                <w:b/>
                <w:bCs/>
                <w:color w:val="000000"/>
                <w:sz w:val="18"/>
                <w:szCs w:val="18"/>
              </w:rPr>
              <w:t>档案整理扫描外包服务</w:t>
            </w:r>
          </w:p>
        </w:tc>
        <w:tc>
          <w:tcPr>
            <w:tcW w:w="102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档案整理扫描外包服务</w:t>
            </w:r>
          </w:p>
        </w:tc>
        <w:tc>
          <w:tcPr>
            <w:tcW w:w="78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其他服务</w:t>
            </w:r>
          </w:p>
        </w:tc>
        <w:tc>
          <w:tcPr>
            <w:tcW w:w="64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自行采购</w:t>
            </w:r>
          </w:p>
        </w:tc>
        <w:tc>
          <w:tcPr>
            <w:tcW w:w="63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49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1</w:t>
            </w:r>
          </w:p>
        </w:tc>
        <w:tc>
          <w:tcPr>
            <w:tcW w:w="66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项</w:t>
            </w:r>
          </w:p>
        </w:tc>
        <w:tc>
          <w:tcPr>
            <w:tcW w:w="1087"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520,000.00</w:t>
            </w:r>
          </w:p>
        </w:tc>
        <w:tc>
          <w:tcPr>
            <w:tcW w:w="1134"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520,000.00</w:t>
            </w:r>
          </w:p>
        </w:tc>
        <w:tc>
          <w:tcPr>
            <w:tcW w:w="105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520,000.00</w:t>
            </w:r>
          </w:p>
        </w:tc>
        <w:tc>
          <w:tcPr>
            <w:tcW w:w="63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2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85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1322"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9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0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r>
      <w:tr>
        <w:tblPrEx>
          <w:tblLayout w:type="fixed"/>
          <w:tblCellMar>
            <w:top w:w="0" w:type="dxa"/>
            <w:left w:w="108" w:type="dxa"/>
            <w:bottom w:w="0" w:type="dxa"/>
            <w:right w:w="108" w:type="dxa"/>
          </w:tblCellMar>
        </w:tblPrEx>
        <w:trPr>
          <w:trHeight w:val="489" w:hRule="atLeast"/>
        </w:trPr>
        <w:tc>
          <w:tcPr>
            <w:tcW w:w="1696" w:type="dxa"/>
            <w:tcBorders>
              <w:top w:val="nil"/>
              <w:left w:val="single" w:color="auto" w:sz="4" w:space="0"/>
              <w:bottom w:val="single" w:color="auto" w:sz="4" w:space="0"/>
              <w:right w:val="single" w:color="auto" w:sz="4" w:space="0"/>
            </w:tcBorders>
            <w:vAlign w:val="center"/>
          </w:tcPr>
          <w:p>
            <w:pPr>
              <w:spacing w:line="240" w:lineRule="exact"/>
              <w:rPr>
                <w:b/>
                <w:bCs/>
                <w:color w:val="000000"/>
                <w:sz w:val="18"/>
                <w:szCs w:val="18"/>
              </w:rPr>
            </w:pPr>
            <w:r>
              <w:rPr>
                <w:b/>
                <w:bCs/>
                <w:color w:val="000000"/>
                <w:sz w:val="18"/>
                <w:szCs w:val="18"/>
              </w:rPr>
              <w:t xml:space="preserve">  </w:t>
            </w:r>
            <w:r>
              <w:rPr>
                <w:rFonts w:hint="eastAsia" w:hAnsi="宋体" w:cs="宋体"/>
                <w:b/>
                <w:bCs/>
                <w:color w:val="000000"/>
                <w:sz w:val="18"/>
                <w:szCs w:val="18"/>
              </w:rPr>
              <w:t>人防警报设备采购、维护管理费用</w:t>
            </w:r>
          </w:p>
        </w:tc>
        <w:tc>
          <w:tcPr>
            <w:tcW w:w="102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78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4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3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49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6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1087"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95,000.00</w:t>
            </w:r>
          </w:p>
        </w:tc>
        <w:tc>
          <w:tcPr>
            <w:tcW w:w="105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95,000.00</w:t>
            </w:r>
          </w:p>
        </w:tc>
        <w:tc>
          <w:tcPr>
            <w:tcW w:w="63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2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85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1322"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9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0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r>
      <w:tr>
        <w:tblPrEx>
          <w:tblLayout w:type="fixed"/>
          <w:tblCellMar>
            <w:top w:w="0" w:type="dxa"/>
            <w:left w:w="108" w:type="dxa"/>
            <w:bottom w:w="0" w:type="dxa"/>
            <w:right w:w="108" w:type="dxa"/>
          </w:tblCellMar>
        </w:tblPrEx>
        <w:trPr>
          <w:trHeight w:val="489" w:hRule="atLeast"/>
        </w:trPr>
        <w:tc>
          <w:tcPr>
            <w:tcW w:w="1696" w:type="dxa"/>
            <w:tcBorders>
              <w:top w:val="nil"/>
              <w:left w:val="single" w:color="auto" w:sz="4" w:space="0"/>
              <w:bottom w:val="single" w:color="auto" w:sz="4" w:space="0"/>
              <w:right w:val="single" w:color="auto" w:sz="4" w:space="0"/>
            </w:tcBorders>
            <w:vAlign w:val="center"/>
          </w:tcPr>
          <w:p>
            <w:pPr>
              <w:spacing w:line="240" w:lineRule="exact"/>
              <w:rPr>
                <w:b/>
                <w:bCs/>
                <w:color w:val="000000"/>
                <w:sz w:val="18"/>
                <w:szCs w:val="18"/>
              </w:rPr>
            </w:pPr>
            <w:r>
              <w:rPr>
                <w:b/>
                <w:bCs/>
                <w:color w:val="000000"/>
                <w:sz w:val="18"/>
                <w:szCs w:val="18"/>
              </w:rPr>
              <w:t xml:space="preserve">   </w:t>
            </w:r>
            <w:r>
              <w:rPr>
                <w:rFonts w:hint="eastAsia" w:hAnsi="宋体" w:cs="宋体"/>
                <w:b/>
                <w:bCs/>
                <w:color w:val="000000"/>
                <w:sz w:val="18"/>
                <w:szCs w:val="18"/>
              </w:rPr>
              <w:t>人防警报设备</w:t>
            </w:r>
          </w:p>
        </w:tc>
        <w:tc>
          <w:tcPr>
            <w:tcW w:w="102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人防警报设备</w:t>
            </w:r>
          </w:p>
        </w:tc>
        <w:tc>
          <w:tcPr>
            <w:tcW w:w="78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其他专用仪器仪表</w:t>
            </w:r>
          </w:p>
        </w:tc>
        <w:tc>
          <w:tcPr>
            <w:tcW w:w="64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自行采购</w:t>
            </w:r>
          </w:p>
        </w:tc>
        <w:tc>
          <w:tcPr>
            <w:tcW w:w="63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49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2</w:t>
            </w:r>
          </w:p>
        </w:tc>
        <w:tc>
          <w:tcPr>
            <w:tcW w:w="66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套</w:t>
            </w:r>
          </w:p>
        </w:tc>
        <w:tc>
          <w:tcPr>
            <w:tcW w:w="1087"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47,500.00</w:t>
            </w:r>
          </w:p>
        </w:tc>
        <w:tc>
          <w:tcPr>
            <w:tcW w:w="1134"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95,000.00</w:t>
            </w:r>
          </w:p>
        </w:tc>
        <w:tc>
          <w:tcPr>
            <w:tcW w:w="105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95,000.00</w:t>
            </w:r>
          </w:p>
        </w:tc>
        <w:tc>
          <w:tcPr>
            <w:tcW w:w="63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2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85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1322"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9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0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r>
      <w:tr>
        <w:tblPrEx>
          <w:tblLayout w:type="fixed"/>
          <w:tblCellMar>
            <w:top w:w="0" w:type="dxa"/>
            <w:left w:w="108" w:type="dxa"/>
            <w:bottom w:w="0" w:type="dxa"/>
            <w:right w:w="108" w:type="dxa"/>
          </w:tblCellMar>
        </w:tblPrEx>
        <w:trPr>
          <w:trHeight w:val="489" w:hRule="atLeast"/>
        </w:trPr>
        <w:tc>
          <w:tcPr>
            <w:tcW w:w="1696" w:type="dxa"/>
            <w:tcBorders>
              <w:top w:val="nil"/>
              <w:left w:val="single" w:color="auto" w:sz="4" w:space="0"/>
              <w:bottom w:val="single" w:color="auto" w:sz="4" w:space="0"/>
              <w:right w:val="single" w:color="auto" w:sz="4" w:space="0"/>
            </w:tcBorders>
            <w:vAlign w:val="center"/>
          </w:tcPr>
          <w:p>
            <w:pPr>
              <w:spacing w:line="240" w:lineRule="exact"/>
              <w:rPr>
                <w:b/>
                <w:bCs/>
                <w:color w:val="000000"/>
                <w:sz w:val="18"/>
                <w:szCs w:val="18"/>
              </w:rPr>
            </w:pPr>
            <w:r>
              <w:rPr>
                <w:b/>
                <w:bCs/>
                <w:color w:val="000000"/>
                <w:sz w:val="18"/>
                <w:szCs w:val="18"/>
              </w:rPr>
              <w:t xml:space="preserve">  </w:t>
            </w:r>
            <w:r>
              <w:rPr>
                <w:rFonts w:hint="eastAsia" w:hAnsi="宋体" w:cs="宋体"/>
                <w:b/>
                <w:bCs/>
                <w:color w:val="000000"/>
                <w:sz w:val="18"/>
                <w:szCs w:val="18"/>
              </w:rPr>
              <w:t>市政养护费（海绵城市设施维护）</w:t>
            </w:r>
          </w:p>
        </w:tc>
        <w:tc>
          <w:tcPr>
            <w:tcW w:w="102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78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4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3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49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6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1087"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9,750,000.00</w:t>
            </w:r>
          </w:p>
        </w:tc>
        <w:tc>
          <w:tcPr>
            <w:tcW w:w="105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3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2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85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1322"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9,750,000.00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9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0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r>
      <w:tr>
        <w:tblPrEx>
          <w:tblLayout w:type="fixed"/>
          <w:tblCellMar>
            <w:top w:w="0" w:type="dxa"/>
            <w:left w:w="108" w:type="dxa"/>
            <w:bottom w:w="0" w:type="dxa"/>
            <w:right w:w="108" w:type="dxa"/>
          </w:tblCellMar>
        </w:tblPrEx>
        <w:trPr>
          <w:trHeight w:val="918" w:hRule="atLeast"/>
        </w:trPr>
        <w:tc>
          <w:tcPr>
            <w:tcW w:w="1696" w:type="dxa"/>
            <w:tcBorders>
              <w:top w:val="nil"/>
              <w:left w:val="single" w:color="auto" w:sz="4" w:space="0"/>
              <w:bottom w:val="single" w:color="auto" w:sz="4" w:space="0"/>
              <w:right w:val="single" w:color="auto" w:sz="4" w:space="0"/>
            </w:tcBorders>
            <w:vAlign w:val="center"/>
          </w:tcPr>
          <w:p>
            <w:pPr>
              <w:spacing w:line="240" w:lineRule="exact"/>
              <w:rPr>
                <w:b/>
                <w:bCs/>
                <w:color w:val="000000"/>
                <w:sz w:val="18"/>
                <w:szCs w:val="18"/>
              </w:rPr>
            </w:pPr>
            <w:r>
              <w:rPr>
                <w:b/>
                <w:bCs/>
                <w:color w:val="000000"/>
                <w:sz w:val="18"/>
                <w:szCs w:val="18"/>
              </w:rPr>
              <w:t xml:space="preserve">   </w:t>
            </w:r>
            <w:r>
              <w:rPr>
                <w:rFonts w:hint="eastAsia" w:hAnsi="宋体" w:cs="宋体"/>
                <w:b/>
                <w:bCs/>
                <w:color w:val="000000"/>
                <w:sz w:val="18"/>
                <w:szCs w:val="18"/>
              </w:rPr>
              <w:t>主城区市政道路设施日常养护</w:t>
            </w:r>
          </w:p>
        </w:tc>
        <w:tc>
          <w:tcPr>
            <w:tcW w:w="102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主城区市政道路设施日常养护</w:t>
            </w:r>
          </w:p>
        </w:tc>
        <w:tc>
          <w:tcPr>
            <w:tcW w:w="78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其他服务</w:t>
            </w:r>
          </w:p>
        </w:tc>
        <w:tc>
          <w:tcPr>
            <w:tcW w:w="64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自行采购</w:t>
            </w:r>
          </w:p>
        </w:tc>
        <w:tc>
          <w:tcPr>
            <w:tcW w:w="63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49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1</w:t>
            </w:r>
          </w:p>
        </w:tc>
        <w:tc>
          <w:tcPr>
            <w:tcW w:w="66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项</w:t>
            </w:r>
          </w:p>
        </w:tc>
        <w:tc>
          <w:tcPr>
            <w:tcW w:w="1087"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9,750,000.00</w:t>
            </w:r>
          </w:p>
        </w:tc>
        <w:tc>
          <w:tcPr>
            <w:tcW w:w="1134"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9,750,000.00</w:t>
            </w:r>
          </w:p>
        </w:tc>
        <w:tc>
          <w:tcPr>
            <w:tcW w:w="105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3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2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85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1322"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9,750,000.00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9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0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r>
      <w:tr>
        <w:tblPrEx>
          <w:tblLayout w:type="fixed"/>
          <w:tblCellMar>
            <w:top w:w="0" w:type="dxa"/>
            <w:left w:w="108" w:type="dxa"/>
            <w:bottom w:w="0" w:type="dxa"/>
            <w:right w:w="108" w:type="dxa"/>
          </w:tblCellMar>
        </w:tblPrEx>
        <w:trPr>
          <w:trHeight w:val="489" w:hRule="atLeast"/>
        </w:trPr>
        <w:tc>
          <w:tcPr>
            <w:tcW w:w="1696" w:type="dxa"/>
            <w:tcBorders>
              <w:top w:val="nil"/>
              <w:left w:val="single" w:color="auto" w:sz="4" w:space="0"/>
              <w:bottom w:val="single" w:color="auto" w:sz="4" w:space="0"/>
              <w:right w:val="single" w:color="auto" w:sz="4" w:space="0"/>
            </w:tcBorders>
            <w:vAlign w:val="center"/>
          </w:tcPr>
          <w:p>
            <w:pPr>
              <w:spacing w:line="240" w:lineRule="exact"/>
              <w:rPr>
                <w:b/>
                <w:bCs/>
                <w:color w:val="000000"/>
                <w:sz w:val="18"/>
                <w:szCs w:val="18"/>
              </w:rPr>
            </w:pPr>
            <w:r>
              <w:rPr>
                <w:b/>
                <w:bCs/>
                <w:color w:val="000000"/>
                <w:sz w:val="18"/>
                <w:szCs w:val="18"/>
              </w:rPr>
              <w:t xml:space="preserve">  </w:t>
            </w:r>
            <w:r>
              <w:rPr>
                <w:rFonts w:hint="eastAsia" w:hAnsi="宋体" w:cs="宋体"/>
                <w:b/>
                <w:bCs/>
                <w:color w:val="000000"/>
                <w:sz w:val="18"/>
                <w:szCs w:val="18"/>
              </w:rPr>
              <w:t>市政设施购置费</w:t>
            </w:r>
          </w:p>
        </w:tc>
        <w:tc>
          <w:tcPr>
            <w:tcW w:w="102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78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4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3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49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6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1087"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1,000,000.00</w:t>
            </w:r>
          </w:p>
        </w:tc>
        <w:tc>
          <w:tcPr>
            <w:tcW w:w="105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1,000,000.00</w:t>
            </w:r>
          </w:p>
        </w:tc>
        <w:tc>
          <w:tcPr>
            <w:tcW w:w="63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2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85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1322"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9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0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r>
      <w:tr>
        <w:tblPrEx>
          <w:tblLayout w:type="fixed"/>
          <w:tblCellMar>
            <w:top w:w="0" w:type="dxa"/>
            <w:left w:w="108" w:type="dxa"/>
            <w:bottom w:w="0" w:type="dxa"/>
            <w:right w:w="108" w:type="dxa"/>
          </w:tblCellMar>
        </w:tblPrEx>
        <w:trPr>
          <w:trHeight w:val="810" w:hRule="atLeast"/>
        </w:trPr>
        <w:tc>
          <w:tcPr>
            <w:tcW w:w="1696" w:type="dxa"/>
            <w:tcBorders>
              <w:top w:val="nil"/>
              <w:left w:val="single" w:color="auto" w:sz="4" w:space="0"/>
              <w:bottom w:val="single" w:color="auto" w:sz="4" w:space="0"/>
              <w:right w:val="single" w:color="auto" w:sz="4" w:space="0"/>
            </w:tcBorders>
            <w:vAlign w:val="center"/>
          </w:tcPr>
          <w:p>
            <w:pPr>
              <w:spacing w:line="240" w:lineRule="exact"/>
              <w:rPr>
                <w:b/>
                <w:bCs/>
                <w:color w:val="000000"/>
                <w:sz w:val="18"/>
                <w:szCs w:val="18"/>
              </w:rPr>
            </w:pPr>
            <w:r>
              <w:rPr>
                <w:b/>
                <w:bCs/>
                <w:color w:val="000000"/>
                <w:sz w:val="18"/>
                <w:szCs w:val="18"/>
              </w:rPr>
              <w:t xml:space="preserve">   </w:t>
            </w:r>
            <w:r>
              <w:rPr>
                <w:rFonts w:hint="eastAsia" w:hAnsi="宋体" w:cs="宋体"/>
                <w:b/>
                <w:bCs/>
                <w:color w:val="000000"/>
                <w:sz w:val="18"/>
                <w:szCs w:val="18"/>
              </w:rPr>
              <w:t>护栏采购</w:t>
            </w:r>
          </w:p>
        </w:tc>
        <w:tc>
          <w:tcPr>
            <w:tcW w:w="102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护栏采购</w:t>
            </w:r>
          </w:p>
        </w:tc>
        <w:tc>
          <w:tcPr>
            <w:tcW w:w="78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其他不另分类的物品</w:t>
            </w:r>
          </w:p>
        </w:tc>
        <w:tc>
          <w:tcPr>
            <w:tcW w:w="64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自行采购</w:t>
            </w:r>
          </w:p>
        </w:tc>
        <w:tc>
          <w:tcPr>
            <w:tcW w:w="63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49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1</w:t>
            </w:r>
          </w:p>
        </w:tc>
        <w:tc>
          <w:tcPr>
            <w:tcW w:w="66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项</w:t>
            </w:r>
          </w:p>
        </w:tc>
        <w:tc>
          <w:tcPr>
            <w:tcW w:w="1087"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1,000,000.00</w:t>
            </w:r>
          </w:p>
        </w:tc>
        <w:tc>
          <w:tcPr>
            <w:tcW w:w="1134"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1,000,000.00</w:t>
            </w:r>
          </w:p>
        </w:tc>
        <w:tc>
          <w:tcPr>
            <w:tcW w:w="105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1,000,000.00</w:t>
            </w:r>
          </w:p>
        </w:tc>
        <w:tc>
          <w:tcPr>
            <w:tcW w:w="63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2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85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1322"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9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0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r>
      <w:tr>
        <w:tblPrEx>
          <w:tblLayout w:type="fixed"/>
          <w:tblCellMar>
            <w:top w:w="0" w:type="dxa"/>
            <w:left w:w="108" w:type="dxa"/>
            <w:bottom w:w="0" w:type="dxa"/>
            <w:right w:w="108" w:type="dxa"/>
          </w:tblCellMar>
        </w:tblPrEx>
        <w:trPr>
          <w:trHeight w:val="489" w:hRule="atLeast"/>
        </w:trPr>
        <w:tc>
          <w:tcPr>
            <w:tcW w:w="1696" w:type="dxa"/>
            <w:tcBorders>
              <w:top w:val="nil"/>
              <w:left w:val="single" w:color="auto" w:sz="4" w:space="0"/>
              <w:bottom w:val="single" w:color="auto" w:sz="4" w:space="0"/>
              <w:right w:val="single" w:color="auto" w:sz="4" w:space="0"/>
            </w:tcBorders>
            <w:vAlign w:val="center"/>
          </w:tcPr>
          <w:p>
            <w:pPr>
              <w:spacing w:line="240" w:lineRule="exact"/>
              <w:rPr>
                <w:b/>
                <w:bCs/>
                <w:color w:val="000000"/>
                <w:sz w:val="18"/>
                <w:szCs w:val="18"/>
              </w:rPr>
            </w:pPr>
            <w:r>
              <w:rPr>
                <w:b/>
                <w:bCs/>
                <w:color w:val="000000"/>
                <w:sz w:val="18"/>
                <w:szCs w:val="18"/>
              </w:rPr>
              <w:t xml:space="preserve">  </w:t>
            </w:r>
            <w:r>
              <w:rPr>
                <w:rFonts w:hint="eastAsia" w:hAnsi="宋体" w:cs="宋体"/>
                <w:b/>
                <w:bCs/>
                <w:color w:val="000000"/>
                <w:sz w:val="18"/>
                <w:szCs w:val="18"/>
              </w:rPr>
              <w:t>办公设备购置</w:t>
            </w:r>
          </w:p>
        </w:tc>
        <w:tc>
          <w:tcPr>
            <w:tcW w:w="102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78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4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3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49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6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1087"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148,800.00</w:t>
            </w:r>
          </w:p>
        </w:tc>
        <w:tc>
          <w:tcPr>
            <w:tcW w:w="105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148,800.00</w:t>
            </w:r>
          </w:p>
        </w:tc>
        <w:tc>
          <w:tcPr>
            <w:tcW w:w="63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2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85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1322"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9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0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r>
      <w:tr>
        <w:tblPrEx>
          <w:tblLayout w:type="fixed"/>
          <w:tblCellMar>
            <w:top w:w="0" w:type="dxa"/>
            <w:left w:w="108" w:type="dxa"/>
            <w:bottom w:w="0" w:type="dxa"/>
            <w:right w:w="108" w:type="dxa"/>
          </w:tblCellMar>
        </w:tblPrEx>
        <w:trPr>
          <w:trHeight w:val="489" w:hRule="atLeast"/>
        </w:trPr>
        <w:tc>
          <w:tcPr>
            <w:tcW w:w="1696" w:type="dxa"/>
            <w:tcBorders>
              <w:top w:val="nil"/>
              <w:left w:val="single" w:color="auto" w:sz="4" w:space="0"/>
              <w:bottom w:val="single" w:color="auto" w:sz="4" w:space="0"/>
              <w:right w:val="single" w:color="auto" w:sz="4" w:space="0"/>
            </w:tcBorders>
            <w:vAlign w:val="center"/>
          </w:tcPr>
          <w:p>
            <w:pPr>
              <w:spacing w:line="240" w:lineRule="exact"/>
              <w:rPr>
                <w:b/>
                <w:bCs/>
                <w:color w:val="000000"/>
                <w:sz w:val="18"/>
                <w:szCs w:val="18"/>
              </w:rPr>
            </w:pPr>
            <w:r>
              <w:rPr>
                <w:b/>
                <w:bCs/>
                <w:color w:val="000000"/>
                <w:sz w:val="18"/>
                <w:szCs w:val="18"/>
              </w:rPr>
              <w:t xml:space="preserve">   </w:t>
            </w:r>
            <w:r>
              <w:rPr>
                <w:rFonts w:hint="eastAsia" w:hAnsi="宋体" w:cs="宋体"/>
                <w:b/>
                <w:bCs/>
                <w:color w:val="000000"/>
                <w:sz w:val="18"/>
                <w:szCs w:val="18"/>
              </w:rPr>
              <w:t>碎纸机</w:t>
            </w:r>
          </w:p>
        </w:tc>
        <w:tc>
          <w:tcPr>
            <w:tcW w:w="102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碎纸机</w:t>
            </w:r>
          </w:p>
        </w:tc>
        <w:tc>
          <w:tcPr>
            <w:tcW w:w="78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碎纸机</w:t>
            </w:r>
          </w:p>
        </w:tc>
        <w:tc>
          <w:tcPr>
            <w:tcW w:w="64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集中采购</w:t>
            </w:r>
          </w:p>
        </w:tc>
        <w:tc>
          <w:tcPr>
            <w:tcW w:w="63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49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3</w:t>
            </w:r>
          </w:p>
        </w:tc>
        <w:tc>
          <w:tcPr>
            <w:tcW w:w="66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台</w:t>
            </w:r>
          </w:p>
        </w:tc>
        <w:tc>
          <w:tcPr>
            <w:tcW w:w="1087"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800.00</w:t>
            </w:r>
          </w:p>
        </w:tc>
        <w:tc>
          <w:tcPr>
            <w:tcW w:w="1134"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2,400.00</w:t>
            </w:r>
          </w:p>
        </w:tc>
        <w:tc>
          <w:tcPr>
            <w:tcW w:w="105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2,400.00</w:t>
            </w:r>
          </w:p>
        </w:tc>
        <w:tc>
          <w:tcPr>
            <w:tcW w:w="63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2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85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1322"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9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0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r>
      <w:tr>
        <w:tblPrEx>
          <w:tblLayout w:type="fixed"/>
          <w:tblCellMar>
            <w:top w:w="0" w:type="dxa"/>
            <w:left w:w="108" w:type="dxa"/>
            <w:bottom w:w="0" w:type="dxa"/>
            <w:right w:w="108" w:type="dxa"/>
          </w:tblCellMar>
        </w:tblPrEx>
        <w:trPr>
          <w:trHeight w:val="810" w:hRule="atLeast"/>
        </w:trPr>
        <w:tc>
          <w:tcPr>
            <w:tcW w:w="1696" w:type="dxa"/>
            <w:tcBorders>
              <w:top w:val="nil"/>
              <w:left w:val="single" w:color="auto" w:sz="4" w:space="0"/>
              <w:bottom w:val="single" w:color="auto" w:sz="4" w:space="0"/>
              <w:right w:val="single" w:color="auto" w:sz="4" w:space="0"/>
            </w:tcBorders>
            <w:vAlign w:val="center"/>
          </w:tcPr>
          <w:p>
            <w:pPr>
              <w:spacing w:line="240" w:lineRule="exact"/>
              <w:rPr>
                <w:b/>
                <w:bCs/>
                <w:color w:val="000000"/>
                <w:sz w:val="18"/>
                <w:szCs w:val="18"/>
              </w:rPr>
            </w:pPr>
            <w:r>
              <w:rPr>
                <w:b/>
                <w:bCs/>
                <w:color w:val="000000"/>
                <w:sz w:val="18"/>
                <w:szCs w:val="18"/>
              </w:rPr>
              <w:t xml:space="preserve">   </w:t>
            </w:r>
            <w:r>
              <w:rPr>
                <w:rFonts w:hint="eastAsia" w:hAnsi="宋体" w:cs="宋体"/>
                <w:b/>
                <w:bCs/>
                <w:color w:val="000000"/>
                <w:sz w:val="18"/>
                <w:szCs w:val="18"/>
              </w:rPr>
              <w:t>空调</w:t>
            </w:r>
          </w:p>
        </w:tc>
        <w:tc>
          <w:tcPr>
            <w:tcW w:w="102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空调</w:t>
            </w:r>
          </w:p>
        </w:tc>
        <w:tc>
          <w:tcPr>
            <w:tcW w:w="78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其他制冷空调设备</w:t>
            </w:r>
          </w:p>
        </w:tc>
        <w:tc>
          <w:tcPr>
            <w:tcW w:w="64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集中采购</w:t>
            </w:r>
          </w:p>
        </w:tc>
        <w:tc>
          <w:tcPr>
            <w:tcW w:w="63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49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3</w:t>
            </w:r>
          </w:p>
        </w:tc>
        <w:tc>
          <w:tcPr>
            <w:tcW w:w="66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台</w:t>
            </w:r>
          </w:p>
        </w:tc>
        <w:tc>
          <w:tcPr>
            <w:tcW w:w="1087"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5,500.00</w:t>
            </w:r>
          </w:p>
        </w:tc>
        <w:tc>
          <w:tcPr>
            <w:tcW w:w="1134"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16,500.00</w:t>
            </w:r>
          </w:p>
        </w:tc>
        <w:tc>
          <w:tcPr>
            <w:tcW w:w="105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16,500.00</w:t>
            </w:r>
          </w:p>
        </w:tc>
        <w:tc>
          <w:tcPr>
            <w:tcW w:w="63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2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85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1322"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9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0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r>
      <w:tr>
        <w:tblPrEx>
          <w:tblLayout w:type="fixed"/>
          <w:tblCellMar>
            <w:top w:w="0" w:type="dxa"/>
            <w:left w:w="108" w:type="dxa"/>
            <w:bottom w:w="0" w:type="dxa"/>
            <w:right w:w="108" w:type="dxa"/>
          </w:tblCellMar>
        </w:tblPrEx>
        <w:trPr>
          <w:trHeight w:val="489" w:hRule="atLeast"/>
        </w:trPr>
        <w:tc>
          <w:tcPr>
            <w:tcW w:w="1696" w:type="dxa"/>
            <w:tcBorders>
              <w:top w:val="nil"/>
              <w:left w:val="single" w:color="auto" w:sz="4" w:space="0"/>
              <w:bottom w:val="single" w:color="auto" w:sz="4" w:space="0"/>
              <w:right w:val="single" w:color="auto" w:sz="4" w:space="0"/>
            </w:tcBorders>
            <w:vAlign w:val="center"/>
          </w:tcPr>
          <w:p>
            <w:pPr>
              <w:spacing w:line="240" w:lineRule="exact"/>
              <w:rPr>
                <w:b/>
                <w:bCs/>
                <w:color w:val="000000"/>
                <w:sz w:val="18"/>
                <w:szCs w:val="18"/>
              </w:rPr>
            </w:pPr>
            <w:r>
              <w:rPr>
                <w:b/>
                <w:bCs/>
                <w:color w:val="000000"/>
                <w:sz w:val="18"/>
                <w:szCs w:val="18"/>
              </w:rPr>
              <w:t xml:space="preserve">   </w:t>
            </w:r>
            <w:r>
              <w:rPr>
                <w:rFonts w:hint="eastAsia" w:hAnsi="宋体" w:cs="宋体"/>
                <w:b/>
                <w:bCs/>
                <w:color w:val="000000"/>
                <w:sz w:val="18"/>
                <w:szCs w:val="18"/>
              </w:rPr>
              <w:t>电脑及配套软件</w:t>
            </w:r>
          </w:p>
        </w:tc>
        <w:tc>
          <w:tcPr>
            <w:tcW w:w="102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电脑及配套软件</w:t>
            </w:r>
          </w:p>
        </w:tc>
        <w:tc>
          <w:tcPr>
            <w:tcW w:w="78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小型计算机</w:t>
            </w:r>
          </w:p>
        </w:tc>
        <w:tc>
          <w:tcPr>
            <w:tcW w:w="64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集中采购</w:t>
            </w:r>
          </w:p>
        </w:tc>
        <w:tc>
          <w:tcPr>
            <w:tcW w:w="63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49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14</w:t>
            </w:r>
          </w:p>
        </w:tc>
        <w:tc>
          <w:tcPr>
            <w:tcW w:w="66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台</w:t>
            </w:r>
          </w:p>
        </w:tc>
        <w:tc>
          <w:tcPr>
            <w:tcW w:w="1087"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6,600.00</w:t>
            </w:r>
          </w:p>
        </w:tc>
        <w:tc>
          <w:tcPr>
            <w:tcW w:w="1134"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92,400.00</w:t>
            </w:r>
          </w:p>
        </w:tc>
        <w:tc>
          <w:tcPr>
            <w:tcW w:w="105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92,400.00</w:t>
            </w:r>
          </w:p>
        </w:tc>
        <w:tc>
          <w:tcPr>
            <w:tcW w:w="63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2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85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1322"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9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0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r>
      <w:tr>
        <w:tblPrEx>
          <w:tblLayout w:type="fixed"/>
          <w:tblCellMar>
            <w:top w:w="0" w:type="dxa"/>
            <w:left w:w="108" w:type="dxa"/>
            <w:bottom w:w="0" w:type="dxa"/>
            <w:right w:w="108" w:type="dxa"/>
          </w:tblCellMar>
        </w:tblPrEx>
        <w:trPr>
          <w:trHeight w:val="489" w:hRule="atLeast"/>
        </w:trPr>
        <w:tc>
          <w:tcPr>
            <w:tcW w:w="1696" w:type="dxa"/>
            <w:tcBorders>
              <w:top w:val="nil"/>
              <w:left w:val="single" w:color="auto" w:sz="4" w:space="0"/>
              <w:bottom w:val="single" w:color="auto" w:sz="4" w:space="0"/>
              <w:right w:val="single" w:color="auto" w:sz="4" w:space="0"/>
            </w:tcBorders>
            <w:vAlign w:val="center"/>
          </w:tcPr>
          <w:p>
            <w:pPr>
              <w:spacing w:line="240" w:lineRule="exact"/>
              <w:rPr>
                <w:b/>
                <w:bCs/>
                <w:color w:val="000000"/>
                <w:sz w:val="18"/>
                <w:szCs w:val="18"/>
              </w:rPr>
            </w:pPr>
            <w:r>
              <w:rPr>
                <w:b/>
                <w:bCs/>
                <w:color w:val="000000"/>
                <w:sz w:val="18"/>
                <w:szCs w:val="18"/>
              </w:rPr>
              <w:t xml:space="preserve">   </w:t>
            </w:r>
            <w:r>
              <w:rPr>
                <w:rFonts w:hint="eastAsia" w:hAnsi="宋体" w:cs="宋体"/>
                <w:b/>
                <w:bCs/>
                <w:color w:val="000000"/>
                <w:sz w:val="18"/>
                <w:szCs w:val="18"/>
              </w:rPr>
              <w:t>打印机</w:t>
            </w:r>
          </w:p>
        </w:tc>
        <w:tc>
          <w:tcPr>
            <w:tcW w:w="102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打印机</w:t>
            </w:r>
          </w:p>
        </w:tc>
        <w:tc>
          <w:tcPr>
            <w:tcW w:w="78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激光打印机</w:t>
            </w:r>
          </w:p>
        </w:tc>
        <w:tc>
          <w:tcPr>
            <w:tcW w:w="64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集中采购</w:t>
            </w:r>
          </w:p>
        </w:tc>
        <w:tc>
          <w:tcPr>
            <w:tcW w:w="63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49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15</w:t>
            </w:r>
          </w:p>
        </w:tc>
        <w:tc>
          <w:tcPr>
            <w:tcW w:w="66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台</w:t>
            </w:r>
          </w:p>
        </w:tc>
        <w:tc>
          <w:tcPr>
            <w:tcW w:w="1087"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2,500.00</w:t>
            </w:r>
          </w:p>
        </w:tc>
        <w:tc>
          <w:tcPr>
            <w:tcW w:w="1134"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37,500.00</w:t>
            </w:r>
          </w:p>
        </w:tc>
        <w:tc>
          <w:tcPr>
            <w:tcW w:w="105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37,500.00</w:t>
            </w:r>
          </w:p>
        </w:tc>
        <w:tc>
          <w:tcPr>
            <w:tcW w:w="63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2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85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1322"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9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0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r>
      <w:tr>
        <w:tblPrEx>
          <w:tblLayout w:type="fixed"/>
          <w:tblCellMar>
            <w:top w:w="0" w:type="dxa"/>
            <w:left w:w="108" w:type="dxa"/>
            <w:bottom w:w="0" w:type="dxa"/>
            <w:right w:w="108" w:type="dxa"/>
          </w:tblCellMar>
        </w:tblPrEx>
        <w:trPr>
          <w:trHeight w:val="489" w:hRule="atLeast"/>
        </w:trPr>
        <w:tc>
          <w:tcPr>
            <w:tcW w:w="1696" w:type="dxa"/>
            <w:tcBorders>
              <w:top w:val="nil"/>
              <w:left w:val="single" w:color="auto" w:sz="4" w:space="0"/>
              <w:bottom w:val="single" w:color="auto" w:sz="4" w:space="0"/>
              <w:right w:val="single" w:color="auto" w:sz="4" w:space="0"/>
            </w:tcBorders>
            <w:vAlign w:val="center"/>
          </w:tcPr>
          <w:p>
            <w:pPr>
              <w:spacing w:line="240" w:lineRule="exact"/>
              <w:rPr>
                <w:b/>
                <w:bCs/>
                <w:color w:val="000000"/>
                <w:sz w:val="18"/>
                <w:szCs w:val="18"/>
              </w:rPr>
            </w:pPr>
            <w:r>
              <w:rPr>
                <w:b/>
                <w:bCs/>
                <w:color w:val="000000"/>
                <w:sz w:val="18"/>
                <w:szCs w:val="18"/>
              </w:rPr>
              <w:t xml:space="preserve">  </w:t>
            </w:r>
            <w:r>
              <w:rPr>
                <w:rFonts w:hint="eastAsia" w:hAnsi="宋体" w:cs="宋体"/>
                <w:b/>
                <w:bCs/>
                <w:color w:val="000000"/>
                <w:sz w:val="18"/>
                <w:szCs w:val="18"/>
              </w:rPr>
              <w:t>信息化运行与维护费</w:t>
            </w:r>
          </w:p>
        </w:tc>
        <w:tc>
          <w:tcPr>
            <w:tcW w:w="102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78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4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3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49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6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1087"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16,000.00</w:t>
            </w:r>
          </w:p>
        </w:tc>
        <w:tc>
          <w:tcPr>
            <w:tcW w:w="105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16,000.00</w:t>
            </w:r>
          </w:p>
        </w:tc>
        <w:tc>
          <w:tcPr>
            <w:tcW w:w="63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2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85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1322"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9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0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r>
      <w:tr>
        <w:tblPrEx>
          <w:tblLayout w:type="fixed"/>
          <w:tblCellMar>
            <w:top w:w="0" w:type="dxa"/>
            <w:left w:w="108" w:type="dxa"/>
            <w:bottom w:w="0" w:type="dxa"/>
            <w:right w:w="108" w:type="dxa"/>
          </w:tblCellMar>
        </w:tblPrEx>
        <w:trPr>
          <w:trHeight w:val="489" w:hRule="atLeast"/>
        </w:trPr>
        <w:tc>
          <w:tcPr>
            <w:tcW w:w="1696" w:type="dxa"/>
            <w:tcBorders>
              <w:top w:val="nil"/>
              <w:left w:val="single" w:color="auto" w:sz="4" w:space="0"/>
              <w:bottom w:val="single" w:color="auto" w:sz="4" w:space="0"/>
              <w:right w:val="single" w:color="auto" w:sz="4" w:space="0"/>
            </w:tcBorders>
            <w:vAlign w:val="center"/>
          </w:tcPr>
          <w:p>
            <w:pPr>
              <w:spacing w:line="240" w:lineRule="exact"/>
              <w:rPr>
                <w:b/>
                <w:bCs/>
                <w:color w:val="000000"/>
                <w:sz w:val="18"/>
                <w:szCs w:val="18"/>
              </w:rPr>
            </w:pPr>
            <w:r>
              <w:rPr>
                <w:b/>
                <w:bCs/>
                <w:color w:val="000000"/>
                <w:sz w:val="18"/>
                <w:szCs w:val="18"/>
              </w:rPr>
              <w:t xml:space="preserve">   </w:t>
            </w:r>
            <w:r>
              <w:rPr>
                <w:rFonts w:hint="eastAsia" w:hAnsi="宋体" w:cs="宋体"/>
                <w:b/>
                <w:bCs/>
                <w:color w:val="000000"/>
                <w:sz w:val="18"/>
                <w:szCs w:val="18"/>
              </w:rPr>
              <w:t>服务器硬盘</w:t>
            </w:r>
          </w:p>
        </w:tc>
        <w:tc>
          <w:tcPr>
            <w:tcW w:w="102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服务器硬盘</w:t>
            </w:r>
          </w:p>
        </w:tc>
        <w:tc>
          <w:tcPr>
            <w:tcW w:w="78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网络存储设备</w:t>
            </w:r>
          </w:p>
        </w:tc>
        <w:tc>
          <w:tcPr>
            <w:tcW w:w="64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集中采购</w:t>
            </w:r>
          </w:p>
        </w:tc>
        <w:tc>
          <w:tcPr>
            <w:tcW w:w="63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49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1</w:t>
            </w:r>
          </w:p>
        </w:tc>
        <w:tc>
          <w:tcPr>
            <w:tcW w:w="66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个</w:t>
            </w:r>
          </w:p>
        </w:tc>
        <w:tc>
          <w:tcPr>
            <w:tcW w:w="1087"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2,000.00</w:t>
            </w:r>
          </w:p>
        </w:tc>
        <w:tc>
          <w:tcPr>
            <w:tcW w:w="1134"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2,000.00</w:t>
            </w:r>
          </w:p>
        </w:tc>
        <w:tc>
          <w:tcPr>
            <w:tcW w:w="105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2,000.00</w:t>
            </w:r>
          </w:p>
        </w:tc>
        <w:tc>
          <w:tcPr>
            <w:tcW w:w="63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2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85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1322"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9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0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r>
      <w:tr>
        <w:tblPrEx>
          <w:tblLayout w:type="fixed"/>
          <w:tblCellMar>
            <w:top w:w="0" w:type="dxa"/>
            <w:left w:w="108" w:type="dxa"/>
            <w:bottom w:w="0" w:type="dxa"/>
            <w:right w:w="108" w:type="dxa"/>
          </w:tblCellMar>
        </w:tblPrEx>
        <w:trPr>
          <w:trHeight w:val="489" w:hRule="atLeast"/>
        </w:trPr>
        <w:tc>
          <w:tcPr>
            <w:tcW w:w="1696" w:type="dxa"/>
            <w:tcBorders>
              <w:top w:val="nil"/>
              <w:left w:val="single" w:color="auto" w:sz="4" w:space="0"/>
              <w:bottom w:val="single" w:color="auto" w:sz="4" w:space="0"/>
              <w:right w:val="single" w:color="auto" w:sz="4" w:space="0"/>
            </w:tcBorders>
            <w:vAlign w:val="center"/>
          </w:tcPr>
          <w:p>
            <w:pPr>
              <w:spacing w:line="240" w:lineRule="exact"/>
              <w:rPr>
                <w:b/>
                <w:bCs/>
                <w:color w:val="000000"/>
                <w:sz w:val="18"/>
                <w:szCs w:val="18"/>
              </w:rPr>
            </w:pPr>
            <w:r>
              <w:rPr>
                <w:b/>
                <w:bCs/>
                <w:color w:val="000000"/>
                <w:sz w:val="18"/>
                <w:szCs w:val="18"/>
              </w:rPr>
              <w:t xml:space="preserve">   </w:t>
            </w:r>
            <w:r>
              <w:rPr>
                <w:rFonts w:hint="eastAsia" w:hAnsi="宋体" w:cs="宋体"/>
                <w:b/>
                <w:bCs/>
                <w:color w:val="000000"/>
                <w:sz w:val="18"/>
                <w:szCs w:val="18"/>
              </w:rPr>
              <w:t>投影仪</w:t>
            </w:r>
          </w:p>
        </w:tc>
        <w:tc>
          <w:tcPr>
            <w:tcW w:w="102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投影仪</w:t>
            </w:r>
          </w:p>
        </w:tc>
        <w:tc>
          <w:tcPr>
            <w:tcW w:w="78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投影仪</w:t>
            </w:r>
            <w:r>
              <w:rPr>
                <w:color w:val="000000"/>
                <w:sz w:val="18"/>
                <w:szCs w:val="18"/>
              </w:rPr>
              <w:t>*</w:t>
            </w:r>
          </w:p>
        </w:tc>
        <w:tc>
          <w:tcPr>
            <w:tcW w:w="64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集中采购</w:t>
            </w:r>
          </w:p>
        </w:tc>
        <w:tc>
          <w:tcPr>
            <w:tcW w:w="63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49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1</w:t>
            </w:r>
          </w:p>
        </w:tc>
        <w:tc>
          <w:tcPr>
            <w:tcW w:w="66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个</w:t>
            </w:r>
          </w:p>
        </w:tc>
        <w:tc>
          <w:tcPr>
            <w:tcW w:w="1087"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10,000.00</w:t>
            </w:r>
          </w:p>
        </w:tc>
        <w:tc>
          <w:tcPr>
            <w:tcW w:w="1134"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10,000.00</w:t>
            </w:r>
          </w:p>
        </w:tc>
        <w:tc>
          <w:tcPr>
            <w:tcW w:w="105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10,000.00</w:t>
            </w:r>
          </w:p>
        </w:tc>
        <w:tc>
          <w:tcPr>
            <w:tcW w:w="63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2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85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1322"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9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0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r>
      <w:tr>
        <w:tblPrEx>
          <w:tblLayout w:type="fixed"/>
          <w:tblCellMar>
            <w:top w:w="0" w:type="dxa"/>
            <w:left w:w="108" w:type="dxa"/>
            <w:bottom w:w="0" w:type="dxa"/>
            <w:right w:w="108" w:type="dxa"/>
          </w:tblCellMar>
        </w:tblPrEx>
        <w:trPr>
          <w:trHeight w:val="489" w:hRule="atLeast"/>
        </w:trPr>
        <w:tc>
          <w:tcPr>
            <w:tcW w:w="1696" w:type="dxa"/>
            <w:tcBorders>
              <w:top w:val="nil"/>
              <w:left w:val="single" w:color="auto" w:sz="4" w:space="0"/>
              <w:bottom w:val="single" w:color="auto" w:sz="4" w:space="0"/>
              <w:right w:val="single" w:color="auto" w:sz="4" w:space="0"/>
            </w:tcBorders>
            <w:vAlign w:val="center"/>
          </w:tcPr>
          <w:p>
            <w:pPr>
              <w:spacing w:line="240" w:lineRule="exact"/>
              <w:rPr>
                <w:b/>
                <w:bCs/>
                <w:color w:val="000000"/>
                <w:sz w:val="18"/>
                <w:szCs w:val="18"/>
              </w:rPr>
            </w:pPr>
            <w:r>
              <w:rPr>
                <w:b/>
                <w:bCs/>
                <w:color w:val="000000"/>
                <w:sz w:val="18"/>
                <w:szCs w:val="18"/>
              </w:rPr>
              <w:t xml:space="preserve">   </w:t>
            </w:r>
            <w:r>
              <w:rPr>
                <w:rFonts w:hint="eastAsia" w:hAnsi="宋体" w:cs="宋体"/>
                <w:b/>
                <w:bCs/>
                <w:color w:val="000000"/>
                <w:sz w:val="18"/>
                <w:szCs w:val="18"/>
              </w:rPr>
              <w:t>存储设备</w:t>
            </w:r>
          </w:p>
        </w:tc>
        <w:tc>
          <w:tcPr>
            <w:tcW w:w="102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存储设备</w:t>
            </w:r>
          </w:p>
        </w:tc>
        <w:tc>
          <w:tcPr>
            <w:tcW w:w="78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其他存储设备</w:t>
            </w:r>
          </w:p>
        </w:tc>
        <w:tc>
          <w:tcPr>
            <w:tcW w:w="64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集中采购</w:t>
            </w:r>
          </w:p>
        </w:tc>
        <w:tc>
          <w:tcPr>
            <w:tcW w:w="63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49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20</w:t>
            </w:r>
          </w:p>
        </w:tc>
        <w:tc>
          <w:tcPr>
            <w:tcW w:w="66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个</w:t>
            </w:r>
          </w:p>
        </w:tc>
        <w:tc>
          <w:tcPr>
            <w:tcW w:w="1087"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200.00</w:t>
            </w:r>
          </w:p>
        </w:tc>
        <w:tc>
          <w:tcPr>
            <w:tcW w:w="1134"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4,000.00</w:t>
            </w:r>
          </w:p>
        </w:tc>
        <w:tc>
          <w:tcPr>
            <w:tcW w:w="105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4,000.00</w:t>
            </w:r>
          </w:p>
        </w:tc>
        <w:tc>
          <w:tcPr>
            <w:tcW w:w="63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2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85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1322"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9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0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r>
      <w:tr>
        <w:tblPrEx>
          <w:tblLayout w:type="fixed"/>
          <w:tblCellMar>
            <w:top w:w="0" w:type="dxa"/>
            <w:left w:w="108" w:type="dxa"/>
            <w:bottom w:w="0" w:type="dxa"/>
            <w:right w:w="108" w:type="dxa"/>
          </w:tblCellMar>
        </w:tblPrEx>
        <w:trPr>
          <w:trHeight w:val="489" w:hRule="atLeast"/>
        </w:trPr>
        <w:tc>
          <w:tcPr>
            <w:tcW w:w="1696" w:type="dxa"/>
            <w:tcBorders>
              <w:top w:val="nil"/>
              <w:left w:val="single" w:color="auto" w:sz="4" w:space="0"/>
              <w:bottom w:val="single" w:color="auto" w:sz="4" w:space="0"/>
              <w:right w:val="single" w:color="auto" w:sz="4" w:space="0"/>
            </w:tcBorders>
            <w:vAlign w:val="center"/>
          </w:tcPr>
          <w:p>
            <w:pPr>
              <w:spacing w:line="240" w:lineRule="exact"/>
              <w:rPr>
                <w:b/>
                <w:bCs/>
                <w:color w:val="000000"/>
                <w:sz w:val="18"/>
                <w:szCs w:val="18"/>
              </w:rPr>
            </w:pPr>
            <w:r>
              <w:rPr>
                <w:b/>
                <w:bCs/>
                <w:color w:val="000000"/>
                <w:sz w:val="18"/>
                <w:szCs w:val="18"/>
              </w:rPr>
              <w:t xml:space="preserve">  </w:t>
            </w:r>
            <w:r>
              <w:rPr>
                <w:rFonts w:hint="eastAsia" w:hAnsi="宋体" w:cs="宋体"/>
                <w:b/>
                <w:bCs/>
                <w:color w:val="000000"/>
                <w:sz w:val="18"/>
                <w:szCs w:val="18"/>
              </w:rPr>
              <w:t>方案及规划编制费</w:t>
            </w:r>
          </w:p>
        </w:tc>
        <w:tc>
          <w:tcPr>
            <w:tcW w:w="102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78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4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3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49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6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1087"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800,000.00</w:t>
            </w:r>
          </w:p>
        </w:tc>
        <w:tc>
          <w:tcPr>
            <w:tcW w:w="105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800,000.00</w:t>
            </w:r>
          </w:p>
        </w:tc>
        <w:tc>
          <w:tcPr>
            <w:tcW w:w="63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2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85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1322"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9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0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r>
      <w:tr>
        <w:tblPrEx>
          <w:tblLayout w:type="fixed"/>
          <w:tblCellMar>
            <w:top w:w="0" w:type="dxa"/>
            <w:left w:w="108" w:type="dxa"/>
            <w:bottom w:w="0" w:type="dxa"/>
            <w:right w:w="108" w:type="dxa"/>
          </w:tblCellMar>
        </w:tblPrEx>
        <w:trPr>
          <w:trHeight w:val="489" w:hRule="atLeast"/>
        </w:trPr>
        <w:tc>
          <w:tcPr>
            <w:tcW w:w="1696" w:type="dxa"/>
            <w:tcBorders>
              <w:top w:val="nil"/>
              <w:left w:val="single" w:color="auto" w:sz="4" w:space="0"/>
              <w:bottom w:val="single" w:color="auto" w:sz="4" w:space="0"/>
              <w:right w:val="single" w:color="auto" w:sz="4" w:space="0"/>
            </w:tcBorders>
            <w:vAlign w:val="center"/>
          </w:tcPr>
          <w:p>
            <w:pPr>
              <w:spacing w:line="240" w:lineRule="exact"/>
              <w:rPr>
                <w:b/>
                <w:bCs/>
                <w:color w:val="000000"/>
                <w:sz w:val="18"/>
                <w:szCs w:val="18"/>
              </w:rPr>
            </w:pPr>
            <w:r>
              <w:rPr>
                <w:b/>
                <w:bCs/>
                <w:color w:val="000000"/>
                <w:sz w:val="18"/>
                <w:szCs w:val="18"/>
              </w:rPr>
              <w:t xml:space="preserve">   </w:t>
            </w:r>
            <w:r>
              <w:rPr>
                <w:rFonts w:hint="eastAsia" w:hAnsi="宋体" w:cs="宋体"/>
                <w:b/>
                <w:bCs/>
                <w:color w:val="000000"/>
                <w:sz w:val="18"/>
                <w:szCs w:val="18"/>
              </w:rPr>
              <w:t>海绵城市管控技术服务费</w:t>
            </w:r>
          </w:p>
        </w:tc>
        <w:tc>
          <w:tcPr>
            <w:tcW w:w="102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海绵城市管控技术服务费</w:t>
            </w:r>
          </w:p>
        </w:tc>
        <w:tc>
          <w:tcPr>
            <w:tcW w:w="78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其他专业技术服务</w:t>
            </w:r>
          </w:p>
        </w:tc>
        <w:tc>
          <w:tcPr>
            <w:tcW w:w="64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自行采购</w:t>
            </w:r>
          </w:p>
        </w:tc>
        <w:tc>
          <w:tcPr>
            <w:tcW w:w="63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49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1</w:t>
            </w:r>
          </w:p>
        </w:tc>
        <w:tc>
          <w:tcPr>
            <w:tcW w:w="66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项</w:t>
            </w:r>
          </w:p>
        </w:tc>
        <w:tc>
          <w:tcPr>
            <w:tcW w:w="1087"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800,000.00</w:t>
            </w:r>
          </w:p>
        </w:tc>
        <w:tc>
          <w:tcPr>
            <w:tcW w:w="1134"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800,000.00</w:t>
            </w:r>
          </w:p>
        </w:tc>
        <w:tc>
          <w:tcPr>
            <w:tcW w:w="105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800,000.00</w:t>
            </w:r>
          </w:p>
        </w:tc>
        <w:tc>
          <w:tcPr>
            <w:tcW w:w="63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2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85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1322"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9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0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r>
      <w:tr>
        <w:tblPrEx>
          <w:tblLayout w:type="fixed"/>
          <w:tblCellMar>
            <w:top w:w="0" w:type="dxa"/>
            <w:left w:w="108" w:type="dxa"/>
            <w:bottom w:w="0" w:type="dxa"/>
            <w:right w:w="108" w:type="dxa"/>
          </w:tblCellMar>
        </w:tblPrEx>
        <w:trPr>
          <w:trHeight w:val="498" w:hRule="atLeast"/>
        </w:trPr>
        <w:tc>
          <w:tcPr>
            <w:tcW w:w="1696" w:type="dxa"/>
            <w:tcBorders>
              <w:top w:val="nil"/>
              <w:left w:val="single" w:color="auto" w:sz="4" w:space="0"/>
              <w:bottom w:val="single" w:color="auto" w:sz="4" w:space="0"/>
              <w:right w:val="single" w:color="auto" w:sz="4" w:space="0"/>
            </w:tcBorders>
            <w:vAlign w:val="center"/>
          </w:tcPr>
          <w:p>
            <w:pPr>
              <w:spacing w:line="240" w:lineRule="exact"/>
              <w:rPr>
                <w:b/>
                <w:bCs/>
                <w:color w:val="000000"/>
                <w:sz w:val="18"/>
                <w:szCs w:val="18"/>
              </w:rPr>
            </w:pPr>
            <w:r>
              <w:rPr>
                <w:b/>
                <w:bCs/>
                <w:color w:val="000000"/>
                <w:sz w:val="18"/>
                <w:szCs w:val="18"/>
              </w:rPr>
              <w:t xml:space="preserve">  </w:t>
            </w:r>
            <w:r>
              <w:rPr>
                <w:rFonts w:hint="eastAsia" w:hAnsi="宋体" w:cs="宋体"/>
                <w:b/>
                <w:bCs/>
                <w:color w:val="000000"/>
                <w:sz w:val="18"/>
                <w:szCs w:val="18"/>
              </w:rPr>
              <w:t>雨水管网非开挖修复</w:t>
            </w:r>
          </w:p>
        </w:tc>
        <w:tc>
          <w:tcPr>
            <w:tcW w:w="102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78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4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3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49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6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1087"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4,500,000.00</w:t>
            </w:r>
          </w:p>
        </w:tc>
        <w:tc>
          <w:tcPr>
            <w:tcW w:w="105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4,500,000.00</w:t>
            </w:r>
          </w:p>
        </w:tc>
        <w:tc>
          <w:tcPr>
            <w:tcW w:w="63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2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85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1322"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9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0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r>
      <w:tr>
        <w:tblPrEx>
          <w:tblLayout w:type="fixed"/>
          <w:tblCellMar>
            <w:top w:w="0" w:type="dxa"/>
            <w:left w:w="108" w:type="dxa"/>
            <w:bottom w:w="0" w:type="dxa"/>
            <w:right w:w="108" w:type="dxa"/>
          </w:tblCellMar>
        </w:tblPrEx>
        <w:trPr>
          <w:trHeight w:val="489" w:hRule="atLeast"/>
        </w:trPr>
        <w:tc>
          <w:tcPr>
            <w:tcW w:w="1696" w:type="dxa"/>
            <w:tcBorders>
              <w:top w:val="nil"/>
              <w:left w:val="single" w:color="auto" w:sz="4" w:space="0"/>
              <w:bottom w:val="single" w:color="auto" w:sz="4" w:space="0"/>
              <w:right w:val="single" w:color="auto" w:sz="4" w:space="0"/>
            </w:tcBorders>
            <w:vAlign w:val="center"/>
          </w:tcPr>
          <w:p>
            <w:pPr>
              <w:spacing w:line="240" w:lineRule="exact"/>
              <w:rPr>
                <w:b/>
                <w:bCs/>
                <w:color w:val="000000"/>
                <w:sz w:val="18"/>
                <w:szCs w:val="18"/>
              </w:rPr>
            </w:pPr>
            <w:r>
              <w:rPr>
                <w:b/>
                <w:bCs/>
                <w:color w:val="000000"/>
                <w:sz w:val="18"/>
                <w:szCs w:val="18"/>
              </w:rPr>
              <w:t xml:space="preserve">   </w:t>
            </w:r>
            <w:r>
              <w:rPr>
                <w:rFonts w:hint="eastAsia" w:hAnsi="宋体" w:cs="宋体"/>
                <w:b/>
                <w:bCs/>
                <w:color w:val="000000"/>
                <w:sz w:val="18"/>
                <w:szCs w:val="18"/>
              </w:rPr>
              <w:t>雨水管网非开挖修复</w:t>
            </w:r>
          </w:p>
        </w:tc>
        <w:tc>
          <w:tcPr>
            <w:tcW w:w="102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雨水管网非开挖修复</w:t>
            </w:r>
          </w:p>
        </w:tc>
        <w:tc>
          <w:tcPr>
            <w:tcW w:w="78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其他服务</w:t>
            </w:r>
          </w:p>
        </w:tc>
        <w:tc>
          <w:tcPr>
            <w:tcW w:w="64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自行采购</w:t>
            </w:r>
          </w:p>
        </w:tc>
        <w:tc>
          <w:tcPr>
            <w:tcW w:w="63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49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1</w:t>
            </w:r>
          </w:p>
        </w:tc>
        <w:tc>
          <w:tcPr>
            <w:tcW w:w="66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项</w:t>
            </w:r>
          </w:p>
        </w:tc>
        <w:tc>
          <w:tcPr>
            <w:tcW w:w="1087"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4,500,000.00</w:t>
            </w:r>
          </w:p>
        </w:tc>
        <w:tc>
          <w:tcPr>
            <w:tcW w:w="1134"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4,500,000.00</w:t>
            </w:r>
          </w:p>
        </w:tc>
        <w:tc>
          <w:tcPr>
            <w:tcW w:w="105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4,500,000.00</w:t>
            </w:r>
          </w:p>
        </w:tc>
        <w:tc>
          <w:tcPr>
            <w:tcW w:w="63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2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85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1322"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9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0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r>
      <w:tr>
        <w:tblPrEx>
          <w:tblLayout w:type="fixed"/>
          <w:tblCellMar>
            <w:top w:w="0" w:type="dxa"/>
            <w:left w:w="108" w:type="dxa"/>
            <w:bottom w:w="0" w:type="dxa"/>
            <w:right w:w="108" w:type="dxa"/>
          </w:tblCellMar>
        </w:tblPrEx>
        <w:trPr>
          <w:trHeight w:val="489" w:hRule="atLeast"/>
        </w:trPr>
        <w:tc>
          <w:tcPr>
            <w:tcW w:w="1696" w:type="dxa"/>
            <w:tcBorders>
              <w:top w:val="nil"/>
              <w:left w:val="single" w:color="auto" w:sz="4" w:space="0"/>
              <w:bottom w:val="single" w:color="auto" w:sz="4" w:space="0"/>
              <w:right w:val="single" w:color="auto" w:sz="4" w:space="0"/>
            </w:tcBorders>
            <w:vAlign w:val="center"/>
          </w:tcPr>
          <w:p>
            <w:pPr>
              <w:spacing w:line="240" w:lineRule="exact"/>
              <w:rPr>
                <w:b/>
                <w:bCs/>
                <w:color w:val="000000"/>
                <w:sz w:val="18"/>
                <w:szCs w:val="18"/>
              </w:rPr>
            </w:pPr>
            <w:r>
              <w:rPr>
                <w:b/>
                <w:bCs/>
                <w:color w:val="000000"/>
                <w:sz w:val="18"/>
                <w:szCs w:val="18"/>
              </w:rPr>
              <w:t xml:space="preserve">  </w:t>
            </w:r>
            <w:r>
              <w:rPr>
                <w:rFonts w:hint="eastAsia" w:hAnsi="宋体" w:cs="宋体"/>
                <w:b/>
                <w:bCs/>
                <w:color w:val="000000"/>
                <w:sz w:val="18"/>
                <w:szCs w:val="18"/>
              </w:rPr>
              <w:t>标志标线标牌修复</w:t>
            </w:r>
          </w:p>
        </w:tc>
        <w:tc>
          <w:tcPr>
            <w:tcW w:w="102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78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4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3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49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6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1087"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4,000,000.00</w:t>
            </w:r>
          </w:p>
        </w:tc>
        <w:tc>
          <w:tcPr>
            <w:tcW w:w="105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3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2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85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1322"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4,000,000.00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9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0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r>
      <w:tr>
        <w:tblPrEx>
          <w:tblLayout w:type="fixed"/>
          <w:tblCellMar>
            <w:top w:w="0" w:type="dxa"/>
            <w:left w:w="108" w:type="dxa"/>
            <w:bottom w:w="0" w:type="dxa"/>
            <w:right w:w="108" w:type="dxa"/>
          </w:tblCellMar>
        </w:tblPrEx>
        <w:trPr>
          <w:trHeight w:val="705" w:hRule="atLeast"/>
        </w:trPr>
        <w:tc>
          <w:tcPr>
            <w:tcW w:w="1696" w:type="dxa"/>
            <w:tcBorders>
              <w:top w:val="nil"/>
              <w:left w:val="single" w:color="auto" w:sz="4" w:space="0"/>
              <w:bottom w:val="single" w:color="auto" w:sz="4" w:space="0"/>
              <w:right w:val="single" w:color="auto" w:sz="4" w:space="0"/>
            </w:tcBorders>
            <w:vAlign w:val="center"/>
          </w:tcPr>
          <w:p>
            <w:pPr>
              <w:spacing w:line="240" w:lineRule="exact"/>
              <w:rPr>
                <w:b/>
                <w:bCs/>
                <w:color w:val="000000"/>
                <w:sz w:val="18"/>
                <w:szCs w:val="18"/>
              </w:rPr>
            </w:pPr>
            <w:r>
              <w:rPr>
                <w:b/>
                <w:bCs/>
                <w:color w:val="000000"/>
                <w:sz w:val="18"/>
                <w:szCs w:val="18"/>
              </w:rPr>
              <w:t xml:space="preserve">   </w:t>
            </w:r>
            <w:r>
              <w:rPr>
                <w:rFonts w:hint="eastAsia" w:hAnsi="宋体" w:cs="宋体"/>
                <w:b/>
                <w:bCs/>
                <w:color w:val="000000"/>
                <w:sz w:val="18"/>
                <w:szCs w:val="18"/>
              </w:rPr>
              <w:t>标志标线标牌修复</w:t>
            </w:r>
          </w:p>
        </w:tc>
        <w:tc>
          <w:tcPr>
            <w:tcW w:w="102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标志标线标牌修复</w:t>
            </w:r>
          </w:p>
        </w:tc>
        <w:tc>
          <w:tcPr>
            <w:tcW w:w="78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其他服务</w:t>
            </w:r>
          </w:p>
        </w:tc>
        <w:tc>
          <w:tcPr>
            <w:tcW w:w="64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自行采购</w:t>
            </w:r>
          </w:p>
        </w:tc>
        <w:tc>
          <w:tcPr>
            <w:tcW w:w="63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49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1</w:t>
            </w:r>
          </w:p>
        </w:tc>
        <w:tc>
          <w:tcPr>
            <w:tcW w:w="66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项</w:t>
            </w:r>
          </w:p>
        </w:tc>
        <w:tc>
          <w:tcPr>
            <w:tcW w:w="1087"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4,000,000.00</w:t>
            </w:r>
          </w:p>
        </w:tc>
        <w:tc>
          <w:tcPr>
            <w:tcW w:w="1134"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4,000,000.00</w:t>
            </w:r>
          </w:p>
        </w:tc>
        <w:tc>
          <w:tcPr>
            <w:tcW w:w="105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3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2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85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1322"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4,000,000.00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9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0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r>
      <w:tr>
        <w:tblPrEx>
          <w:tblLayout w:type="fixed"/>
          <w:tblCellMar>
            <w:top w:w="0" w:type="dxa"/>
            <w:left w:w="108" w:type="dxa"/>
            <w:bottom w:w="0" w:type="dxa"/>
            <w:right w:w="108" w:type="dxa"/>
          </w:tblCellMar>
        </w:tblPrEx>
        <w:trPr>
          <w:trHeight w:val="489" w:hRule="atLeast"/>
        </w:trPr>
        <w:tc>
          <w:tcPr>
            <w:tcW w:w="1696" w:type="dxa"/>
            <w:tcBorders>
              <w:top w:val="nil"/>
              <w:left w:val="single" w:color="auto" w:sz="4" w:space="0"/>
              <w:bottom w:val="single" w:color="auto" w:sz="4" w:space="0"/>
              <w:right w:val="single" w:color="auto" w:sz="4" w:space="0"/>
            </w:tcBorders>
            <w:vAlign w:val="center"/>
          </w:tcPr>
          <w:p>
            <w:pPr>
              <w:spacing w:line="240" w:lineRule="exact"/>
              <w:rPr>
                <w:b/>
                <w:bCs/>
                <w:color w:val="000000"/>
                <w:sz w:val="18"/>
                <w:szCs w:val="18"/>
              </w:rPr>
            </w:pPr>
            <w:r>
              <w:rPr>
                <w:b/>
                <w:bCs/>
                <w:color w:val="000000"/>
                <w:sz w:val="18"/>
                <w:szCs w:val="18"/>
              </w:rPr>
              <w:t xml:space="preserve">  </w:t>
            </w:r>
            <w:r>
              <w:rPr>
                <w:rFonts w:hint="eastAsia" w:hAnsi="宋体" w:cs="宋体"/>
                <w:b/>
                <w:bCs/>
                <w:color w:val="000000"/>
                <w:sz w:val="18"/>
                <w:szCs w:val="18"/>
              </w:rPr>
              <w:t>暗渠清理</w:t>
            </w:r>
          </w:p>
        </w:tc>
        <w:tc>
          <w:tcPr>
            <w:tcW w:w="102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78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4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3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49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6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1087"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2,400,000.00</w:t>
            </w:r>
          </w:p>
        </w:tc>
        <w:tc>
          <w:tcPr>
            <w:tcW w:w="105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3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2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85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1322"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2,400,000.00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9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0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r>
      <w:tr>
        <w:tblPrEx>
          <w:tblLayout w:type="fixed"/>
          <w:tblCellMar>
            <w:top w:w="0" w:type="dxa"/>
            <w:left w:w="108" w:type="dxa"/>
            <w:bottom w:w="0" w:type="dxa"/>
            <w:right w:w="108" w:type="dxa"/>
          </w:tblCellMar>
        </w:tblPrEx>
        <w:trPr>
          <w:trHeight w:val="443" w:hRule="atLeast"/>
        </w:trPr>
        <w:tc>
          <w:tcPr>
            <w:tcW w:w="1696" w:type="dxa"/>
            <w:tcBorders>
              <w:top w:val="nil"/>
              <w:left w:val="single" w:color="auto" w:sz="4" w:space="0"/>
              <w:bottom w:val="single" w:color="auto" w:sz="4" w:space="0"/>
              <w:right w:val="single" w:color="auto" w:sz="4" w:space="0"/>
            </w:tcBorders>
            <w:vAlign w:val="center"/>
          </w:tcPr>
          <w:p>
            <w:pPr>
              <w:spacing w:line="240" w:lineRule="exact"/>
              <w:rPr>
                <w:b/>
                <w:bCs/>
                <w:color w:val="000000"/>
                <w:sz w:val="18"/>
                <w:szCs w:val="18"/>
              </w:rPr>
            </w:pPr>
            <w:r>
              <w:rPr>
                <w:b/>
                <w:bCs/>
                <w:color w:val="000000"/>
                <w:sz w:val="18"/>
                <w:szCs w:val="18"/>
              </w:rPr>
              <w:t xml:space="preserve">   </w:t>
            </w:r>
            <w:r>
              <w:rPr>
                <w:rFonts w:hint="eastAsia" w:hAnsi="宋体" w:cs="宋体"/>
                <w:b/>
                <w:bCs/>
                <w:color w:val="000000"/>
                <w:sz w:val="18"/>
                <w:szCs w:val="18"/>
              </w:rPr>
              <w:t>暗渠清理</w:t>
            </w:r>
          </w:p>
        </w:tc>
        <w:tc>
          <w:tcPr>
            <w:tcW w:w="102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暗渠清理</w:t>
            </w:r>
          </w:p>
        </w:tc>
        <w:tc>
          <w:tcPr>
            <w:tcW w:w="78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其他服务</w:t>
            </w:r>
          </w:p>
        </w:tc>
        <w:tc>
          <w:tcPr>
            <w:tcW w:w="64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自行采购</w:t>
            </w:r>
          </w:p>
        </w:tc>
        <w:tc>
          <w:tcPr>
            <w:tcW w:w="63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49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1</w:t>
            </w:r>
          </w:p>
        </w:tc>
        <w:tc>
          <w:tcPr>
            <w:tcW w:w="66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项</w:t>
            </w:r>
          </w:p>
        </w:tc>
        <w:tc>
          <w:tcPr>
            <w:tcW w:w="1087"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2,400,000.00</w:t>
            </w:r>
          </w:p>
        </w:tc>
        <w:tc>
          <w:tcPr>
            <w:tcW w:w="1134"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2,400,000.00</w:t>
            </w:r>
          </w:p>
        </w:tc>
        <w:tc>
          <w:tcPr>
            <w:tcW w:w="105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3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2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85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1322"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2,400,000.00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9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0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r>
      <w:tr>
        <w:tblPrEx>
          <w:tblLayout w:type="fixed"/>
          <w:tblCellMar>
            <w:top w:w="0" w:type="dxa"/>
            <w:left w:w="108" w:type="dxa"/>
            <w:bottom w:w="0" w:type="dxa"/>
            <w:right w:w="108" w:type="dxa"/>
          </w:tblCellMar>
        </w:tblPrEx>
        <w:trPr>
          <w:trHeight w:val="489" w:hRule="atLeast"/>
        </w:trPr>
        <w:tc>
          <w:tcPr>
            <w:tcW w:w="1696" w:type="dxa"/>
            <w:tcBorders>
              <w:top w:val="nil"/>
              <w:left w:val="single" w:color="auto" w:sz="4" w:space="0"/>
              <w:bottom w:val="single" w:color="auto" w:sz="4" w:space="0"/>
              <w:right w:val="single" w:color="auto" w:sz="4" w:space="0"/>
            </w:tcBorders>
            <w:vAlign w:val="center"/>
          </w:tcPr>
          <w:p>
            <w:pPr>
              <w:spacing w:line="240" w:lineRule="exact"/>
              <w:rPr>
                <w:b/>
                <w:bCs/>
                <w:color w:val="000000"/>
                <w:sz w:val="18"/>
                <w:szCs w:val="18"/>
              </w:rPr>
            </w:pPr>
            <w:r>
              <w:rPr>
                <w:b/>
                <w:bCs/>
                <w:color w:val="000000"/>
                <w:sz w:val="18"/>
                <w:szCs w:val="18"/>
              </w:rPr>
              <w:t xml:space="preserve"> </w:t>
            </w:r>
            <w:r>
              <w:rPr>
                <w:rFonts w:hint="eastAsia" w:hAnsi="宋体" w:cs="宋体"/>
                <w:b/>
                <w:bCs/>
                <w:color w:val="000000"/>
                <w:sz w:val="18"/>
                <w:szCs w:val="18"/>
              </w:rPr>
              <w:t>温岭市住房保障和房管事务中心</w:t>
            </w:r>
          </w:p>
        </w:tc>
        <w:tc>
          <w:tcPr>
            <w:tcW w:w="102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78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4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3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49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6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1087"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25,000.00</w:t>
            </w:r>
          </w:p>
        </w:tc>
        <w:tc>
          <w:tcPr>
            <w:tcW w:w="105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25,000.00</w:t>
            </w:r>
          </w:p>
        </w:tc>
        <w:tc>
          <w:tcPr>
            <w:tcW w:w="63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2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85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1322"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9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0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r>
      <w:tr>
        <w:tblPrEx>
          <w:tblLayout w:type="fixed"/>
          <w:tblCellMar>
            <w:top w:w="0" w:type="dxa"/>
            <w:left w:w="108" w:type="dxa"/>
            <w:bottom w:w="0" w:type="dxa"/>
            <w:right w:w="108" w:type="dxa"/>
          </w:tblCellMar>
        </w:tblPrEx>
        <w:trPr>
          <w:trHeight w:val="330" w:hRule="atLeast"/>
        </w:trPr>
        <w:tc>
          <w:tcPr>
            <w:tcW w:w="1696" w:type="dxa"/>
            <w:tcBorders>
              <w:top w:val="nil"/>
              <w:left w:val="single" w:color="auto" w:sz="4" w:space="0"/>
              <w:bottom w:val="single" w:color="auto" w:sz="4" w:space="0"/>
              <w:right w:val="single" w:color="auto" w:sz="4" w:space="0"/>
            </w:tcBorders>
            <w:vAlign w:val="center"/>
          </w:tcPr>
          <w:p>
            <w:pPr>
              <w:spacing w:line="240" w:lineRule="exact"/>
              <w:rPr>
                <w:b/>
                <w:bCs/>
                <w:color w:val="000000"/>
                <w:sz w:val="18"/>
                <w:szCs w:val="18"/>
              </w:rPr>
            </w:pPr>
            <w:r>
              <w:rPr>
                <w:b/>
                <w:bCs/>
                <w:color w:val="000000"/>
                <w:sz w:val="18"/>
                <w:szCs w:val="18"/>
              </w:rPr>
              <w:t xml:space="preserve">  </w:t>
            </w:r>
            <w:r>
              <w:rPr>
                <w:rFonts w:hint="eastAsia" w:hAnsi="宋体" w:cs="宋体"/>
                <w:b/>
                <w:bCs/>
                <w:color w:val="000000"/>
                <w:sz w:val="18"/>
                <w:szCs w:val="18"/>
              </w:rPr>
              <w:t>其他基本支出</w:t>
            </w:r>
          </w:p>
        </w:tc>
        <w:tc>
          <w:tcPr>
            <w:tcW w:w="102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78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4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3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49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66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1087"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25,000.00</w:t>
            </w:r>
          </w:p>
        </w:tc>
        <w:tc>
          <w:tcPr>
            <w:tcW w:w="105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25,000.00</w:t>
            </w:r>
          </w:p>
        </w:tc>
        <w:tc>
          <w:tcPr>
            <w:tcW w:w="63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2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85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1322"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9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0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r>
      <w:tr>
        <w:tblPrEx>
          <w:tblLayout w:type="fixed"/>
          <w:tblCellMar>
            <w:top w:w="0" w:type="dxa"/>
            <w:left w:w="108" w:type="dxa"/>
            <w:bottom w:w="0" w:type="dxa"/>
            <w:right w:w="108" w:type="dxa"/>
          </w:tblCellMar>
        </w:tblPrEx>
        <w:trPr>
          <w:trHeight w:val="489" w:hRule="atLeast"/>
        </w:trPr>
        <w:tc>
          <w:tcPr>
            <w:tcW w:w="1696" w:type="dxa"/>
            <w:tcBorders>
              <w:top w:val="nil"/>
              <w:left w:val="single" w:color="auto" w:sz="4" w:space="0"/>
              <w:bottom w:val="single" w:color="auto" w:sz="4" w:space="0"/>
              <w:right w:val="single" w:color="auto" w:sz="4" w:space="0"/>
            </w:tcBorders>
            <w:vAlign w:val="center"/>
          </w:tcPr>
          <w:p>
            <w:pPr>
              <w:spacing w:line="240" w:lineRule="exact"/>
              <w:rPr>
                <w:b/>
                <w:bCs/>
                <w:color w:val="000000"/>
                <w:sz w:val="18"/>
                <w:szCs w:val="18"/>
              </w:rPr>
            </w:pPr>
            <w:r>
              <w:rPr>
                <w:b/>
                <w:bCs/>
                <w:color w:val="000000"/>
                <w:sz w:val="18"/>
                <w:szCs w:val="18"/>
              </w:rPr>
              <w:t xml:space="preserve">   </w:t>
            </w:r>
            <w:r>
              <w:rPr>
                <w:rFonts w:hint="eastAsia" w:hAnsi="宋体" w:cs="宋体"/>
                <w:b/>
                <w:bCs/>
                <w:color w:val="000000"/>
                <w:sz w:val="18"/>
                <w:szCs w:val="18"/>
              </w:rPr>
              <w:t>复印纸</w:t>
            </w:r>
          </w:p>
        </w:tc>
        <w:tc>
          <w:tcPr>
            <w:tcW w:w="102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复印纸</w:t>
            </w:r>
          </w:p>
        </w:tc>
        <w:tc>
          <w:tcPr>
            <w:tcW w:w="78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纸制文具及办公用品</w:t>
            </w:r>
          </w:p>
        </w:tc>
        <w:tc>
          <w:tcPr>
            <w:tcW w:w="64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集中采购</w:t>
            </w:r>
          </w:p>
        </w:tc>
        <w:tc>
          <w:tcPr>
            <w:tcW w:w="63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49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1</w:t>
            </w:r>
          </w:p>
        </w:tc>
        <w:tc>
          <w:tcPr>
            <w:tcW w:w="66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批</w:t>
            </w:r>
          </w:p>
        </w:tc>
        <w:tc>
          <w:tcPr>
            <w:tcW w:w="1087"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15,000.00</w:t>
            </w:r>
          </w:p>
        </w:tc>
        <w:tc>
          <w:tcPr>
            <w:tcW w:w="1134"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15,000.00</w:t>
            </w:r>
          </w:p>
        </w:tc>
        <w:tc>
          <w:tcPr>
            <w:tcW w:w="105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15,000.00</w:t>
            </w:r>
          </w:p>
        </w:tc>
        <w:tc>
          <w:tcPr>
            <w:tcW w:w="63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2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85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1322"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9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0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r>
      <w:tr>
        <w:tblPrEx>
          <w:tblLayout w:type="fixed"/>
          <w:tblCellMar>
            <w:top w:w="0" w:type="dxa"/>
            <w:left w:w="108" w:type="dxa"/>
            <w:bottom w:w="0" w:type="dxa"/>
            <w:right w:w="108" w:type="dxa"/>
          </w:tblCellMar>
        </w:tblPrEx>
        <w:trPr>
          <w:trHeight w:val="489" w:hRule="atLeast"/>
        </w:trPr>
        <w:tc>
          <w:tcPr>
            <w:tcW w:w="1696" w:type="dxa"/>
            <w:tcBorders>
              <w:top w:val="nil"/>
              <w:left w:val="single" w:color="auto" w:sz="4" w:space="0"/>
              <w:bottom w:val="single" w:color="auto" w:sz="4" w:space="0"/>
              <w:right w:val="single" w:color="auto" w:sz="4" w:space="0"/>
            </w:tcBorders>
            <w:vAlign w:val="center"/>
          </w:tcPr>
          <w:p>
            <w:pPr>
              <w:spacing w:line="240" w:lineRule="exact"/>
              <w:rPr>
                <w:b/>
                <w:bCs/>
                <w:color w:val="000000"/>
                <w:sz w:val="18"/>
                <w:szCs w:val="18"/>
              </w:rPr>
            </w:pPr>
            <w:r>
              <w:rPr>
                <w:b/>
                <w:bCs/>
                <w:color w:val="000000"/>
                <w:sz w:val="18"/>
                <w:szCs w:val="18"/>
              </w:rPr>
              <w:t xml:space="preserve">   </w:t>
            </w:r>
            <w:r>
              <w:rPr>
                <w:rFonts w:hint="eastAsia" w:hAnsi="宋体" w:cs="宋体"/>
                <w:b/>
                <w:bCs/>
                <w:color w:val="000000"/>
                <w:sz w:val="18"/>
                <w:szCs w:val="18"/>
              </w:rPr>
              <w:t>存储设备</w:t>
            </w:r>
          </w:p>
        </w:tc>
        <w:tc>
          <w:tcPr>
            <w:tcW w:w="102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存储设备</w:t>
            </w:r>
          </w:p>
        </w:tc>
        <w:tc>
          <w:tcPr>
            <w:tcW w:w="78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移动存储设备</w:t>
            </w:r>
          </w:p>
        </w:tc>
        <w:tc>
          <w:tcPr>
            <w:tcW w:w="64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集中采购</w:t>
            </w:r>
          </w:p>
        </w:tc>
        <w:tc>
          <w:tcPr>
            <w:tcW w:w="63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p>
        </w:tc>
        <w:tc>
          <w:tcPr>
            <w:tcW w:w="49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1</w:t>
            </w:r>
          </w:p>
        </w:tc>
        <w:tc>
          <w:tcPr>
            <w:tcW w:w="66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rFonts w:hint="eastAsia" w:hAnsi="宋体" w:cs="宋体"/>
                <w:color w:val="000000"/>
                <w:sz w:val="18"/>
                <w:szCs w:val="18"/>
              </w:rPr>
              <w:t>批</w:t>
            </w:r>
          </w:p>
        </w:tc>
        <w:tc>
          <w:tcPr>
            <w:tcW w:w="1087"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10,000.00</w:t>
            </w:r>
          </w:p>
        </w:tc>
        <w:tc>
          <w:tcPr>
            <w:tcW w:w="1134"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10,000.00</w:t>
            </w:r>
          </w:p>
        </w:tc>
        <w:tc>
          <w:tcPr>
            <w:tcW w:w="105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10,000.00</w:t>
            </w:r>
          </w:p>
        </w:tc>
        <w:tc>
          <w:tcPr>
            <w:tcW w:w="63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26"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85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1322"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585"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90"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c>
          <w:tcPr>
            <w:tcW w:w="609" w:type="dxa"/>
            <w:tcBorders>
              <w:top w:val="nil"/>
              <w:left w:val="nil"/>
              <w:bottom w:val="single" w:color="auto" w:sz="4" w:space="0"/>
              <w:right w:val="single" w:color="auto" w:sz="4" w:space="0"/>
            </w:tcBorders>
            <w:vAlign w:val="center"/>
          </w:tcPr>
          <w:p>
            <w:pPr>
              <w:spacing w:line="240" w:lineRule="exact"/>
              <w:jc w:val="center"/>
              <w:rPr>
                <w:color w:val="000000"/>
                <w:sz w:val="18"/>
                <w:szCs w:val="18"/>
              </w:rPr>
            </w:pPr>
            <w:r>
              <w:rPr>
                <w:color w:val="000000"/>
                <w:sz w:val="18"/>
                <w:szCs w:val="18"/>
              </w:rPr>
              <w:t>0.00</w:t>
            </w:r>
          </w:p>
        </w:tc>
      </w:tr>
    </w:tbl>
    <w:p>
      <w:pPr>
        <w:widowControl/>
        <w:jc w:val="left"/>
        <w:rPr>
          <w:rFonts w:ascii="黑体" w:hAnsi="黑体" w:eastAsia="黑体"/>
          <w:sz w:val="32"/>
          <w:szCs w:val="32"/>
        </w:rPr>
      </w:pPr>
    </w:p>
    <w:p>
      <w:pPr>
        <w:spacing w:line="580" w:lineRule="exact"/>
        <w:jc w:val="left"/>
        <w:rPr>
          <w:rFonts w:ascii="黑体" w:hAnsi="黑体" w:eastAsia="黑体"/>
          <w:sz w:val="32"/>
          <w:szCs w:val="32"/>
        </w:rPr>
      </w:pPr>
    </w:p>
    <w:p>
      <w:pPr>
        <w:spacing w:line="580" w:lineRule="exact"/>
        <w:jc w:val="left"/>
        <w:rPr>
          <w:rFonts w:ascii="黑体" w:hAnsi="黑体" w:eastAsia="黑体"/>
          <w:sz w:val="32"/>
          <w:szCs w:val="32"/>
        </w:rPr>
      </w:pPr>
    </w:p>
    <w:p>
      <w:pPr>
        <w:spacing w:line="580" w:lineRule="exact"/>
        <w:jc w:val="left"/>
        <w:rPr>
          <w:rFonts w:ascii="黑体" w:hAnsi="黑体" w:eastAsia="黑体"/>
          <w:sz w:val="32"/>
          <w:szCs w:val="32"/>
        </w:rPr>
      </w:pPr>
    </w:p>
    <w:p>
      <w:pPr>
        <w:spacing w:line="580" w:lineRule="exact"/>
        <w:jc w:val="left"/>
        <w:rPr>
          <w:rFonts w:ascii="仿宋_GB2312" w:hAnsi="仿宋" w:eastAsia="仿宋_GB2312" w:cs="仿宋_GB2312"/>
          <w:sz w:val="32"/>
          <w:szCs w:val="32"/>
        </w:rPr>
      </w:pPr>
      <w:r>
        <w:rPr>
          <w:rFonts w:hint="eastAsia" w:ascii="仿宋_GB2312" w:hAnsi="黑体" w:eastAsia="仿宋_GB2312" w:cs="仿宋_GB2312"/>
          <w:sz w:val="32"/>
          <w:szCs w:val="32"/>
        </w:rPr>
        <w:t>附件</w:t>
      </w:r>
      <w:r>
        <w:rPr>
          <w:rFonts w:ascii="仿宋_GB2312" w:hAnsi="仿宋" w:eastAsia="仿宋_GB2312" w:cs="仿宋_GB2312"/>
          <w:sz w:val="32"/>
          <w:szCs w:val="32"/>
        </w:rPr>
        <w:t>10</w:t>
      </w:r>
    </w:p>
    <w:p>
      <w:pPr>
        <w:spacing w:line="580" w:lineRule="exact"/>
        <w:ind w:firstLine="720" w:firstLineChars="200"/>
        <w:jc w:val="center"/>
        <w:rPr>
          <w:rFonts w:ascii="方正小标宋简体" w:hAnsi="黑体" w:eastAsia="方正小标宋简体"/>
          <w:sz w:val="36"/>
          <w:szCs w:val="36"/>
        </w:rPr>
      </w:pPr>
      <w:r>
        <w:rPr>
          <w:rFonts w:ascii="方正小标宋简体" w:hAnsi="黑体" w:eastAsia="方正小标宋简体" w:cs="方正小标宋简体"/>
          <w:sz w:val="36"/>
          <w:szCs w:val="36"/>
        </w:rPr>
        <w:t>2021</w:t>
      </w:r>
      <w:r>
        <w:rPr>
          <w:rFonts w:hint="eastAsia" w:ascii="方正小标宋简体" w:hAnsi="黑体" w:eastAsia="方正小标宋简体" w:cs="方正小标宋简体"/>
          <w:sz w:val="36"/>
          <w:szCs w:val="36"/>
        </w:rPr>
        <w:t>年三公经费额度表（表</w:t>
      </w:r>
      <w:r>
        <w:rPr>
          <w:rFonts w:ascii="方正小标宋简体" w:hAnsi="黑体" w:eastAsia="方正小标宋简体" w:cs="方正小标宋简体"/>
          <w:sz w:val="36"/>
          <w:szCs w:val="36"/>
        </w:rPr>
        <w:t>10</w:t>
      </w:r>
      <w:r>
        <w:rPr>
          <w:rFonts w:hint="eastAsia" w:ascii="方正小标宋简体" w:hAnsi="黑体" w:eastAsia="方正小标宋简体" w:cs="方正小标宋简体"/>
          <w:sz w:val="36"/>
          <w:szCs w:val="36"/>
        </w:rPr>
        <w:t>）</w:t>
      </w:r>
    </w:p>
    <w:p>
      <w:pPr>
        <w:spacing w:line="580" w:lineRule="exact"/>
        <w:ind w:firstLine="420" w:firstLineChars="200"/>
        <w:jc w:val="right"/>
        <w:rPr>
          <w:rFonts w:ascii="方正小标宋简体" w:hAnsi="仿宋" w:eastAsia="方正小标宋简体"/>
          <w:b/>
          <w:bCs/>
          <w:sz w:val="32"/>
          <w:szCs w:val="32"/>
        </w:rPr>
      </w:pPr>
      <w:r>
        <w:rPr>
          <w:rFonts w:hint="eastAsia" w:ascii="方正大标宋简体" w:hAnsi="方正大标宋简体" w:cs="宋体"/>
        </w:rPr>
        <w:t>单位：元</w:t>
      </w:r>
    </w:p>
    <w:tbl>
      <w:tblPr>
        <w:tblStyle w:val="7"/>
        <w:tblW w:w="13496" w:type="dxa"/>
        <w:tblInd w:w="-180" w:type="dxa"/>
        <w:tblLayout w:type="fixed"/>
        <w:tblCellMar>
          <w:top w:w="0" w:type="dxa"/>
          <w:left w:w="108" w:type="dxa"/>
          <w:bottom w:w="0" w:type="dxa"/>
          <w:right w:w="108" w:type="dxa"/>
        </w:tblCellMar>
      </w:tblPr>
      <w:tblGrid>
        <w:gridCol w:w="3150"/>
        <w:gridCol w:w="1960"/>
        <w:gridCol w:w="2440"/>
        <w:gridCol w:w="1647"/>
        <w:gridCol w:w="2519"/>
        <w:gridCol w:w="1780"/>
      </w:tblGrid>
      <w:tr>
        <w:tblPrEx>
          <w:tblLayout w:type="fixed"/>
          <w:tblCellMar>
            <w:top w:w="0" w:type="dxa"/>
            <w:left w:w="108" w:type="dxa"/>
            <w:bottom w:w="0" w:type="dxa"/>
            <w:right w:w="108" w:type="dxa"/>
          </w:tblCellMar>
        </w:tblPrEx>
        <w:trPr>
          <w:trHeight w:val="312" w:hRule="atLeast"/>
        </w:trPr>
        <w:tc>
          <w:tcPr>
            <w:tcW w:w="3150" w:type="dxa"/>
            <w:vMerge w:val="restart"/>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hAnsi="宋体" w:cs="宋体"/>
                <w:b/>
                <w:bCs/>
              </w:rPr>
              <w:t>单位名称</w:t>
            </w:r>
          </w:p>
        </w:tc>
        <w:tc>
          <w:tcPr>
            <w:tcW w:w="1960" w:type="dxa"/>
            <w:vMerge w:val="restart"/>
            <w:tcBorders>
              <w:top w:val="single" w:color="auto" w:sz="4" w:space="0"/>
              <w:left w:val="nil"/>
              <w:bottom w:val="single" w:color="auto" w:sz="4" w:space="0"/>
              <w:right w:val="single" w:color="auto" w:sz="4" w:space="0"/>
            </w:tcBorders>
            <w:vAlign w:val="center"/>
          </w:tcPr>
          <w:p>
            <w:pPr>
              <w:jc w:val="center"/>
              <w:rPr>
                <w:b/>
                <w:bCs/>
              </w:rPr>
            </w:pPr>
            <w:r>
              <w:rPr>
                <w:rFonts w:hint="eastAsia" w:hAnsi="宋体" w:cs="宋体"/>
                <w:b/>
                <w:bCs/>
              </w:rPr>
              <w:t>三公经费合计</w:t>
            </w:r>
          </w:p>
        </w:tc>
        <w:tc>
          <w:tcPr>
            <w:tcW w:w="2440" w:type="dxa"/>
            <w:vMerge w:val="restart"/>
            <w:tcBorders>
              <w:top w:val="single" w:color="auto" w:sz="4" w:space="0"/>
              <w:left w:val="nil"/>
              <w:bottom w:val="single" w:color="auto" w:sz="4" w:space="0"/>
              <w:right w:val="single" w:color="auto" w:sz="4" w:space="0"/>
            </w:tcBorders>
            <w:vAlign w:val="center"/>
          </w:tcPr>
          <w:p>
            <w:pPr>
              <w:jc w:val="center"/>
              <w:rPr>
                <w:b/>
                <w:bCs/>
              </w:rPr>
            </w:pPr>
            <w:r>
              <w:rPr>
                <w:rFonts w:hint="eastAsia" w:hAnsi="宋体" w:cs="宋体"/>
                <w:b/>
                <w:bCs/>
              </w:rPr>
              <w:t>因公出国（境）经费</w:t>
            </w:r>
          </w:p>
        </w:tc>
        <w:tc>
          <w:tcPr>
            <w:tcW w:w="1647" w:type="dxa"/>
            <w:vMerge w:val="restart"/>
            <w:tcBorders>
              <w:top w:val="single" w:color="auto" w:sz="4" w:space="0"/>
              <w:left w:val="nil"/>
              <w:bottom w:val="single" w:color="auto" w:sz="4" w:space="0"/>
              <w:right w:val="single" w:color="auto" w:sz="4" w:space="0"/>
            </w:tcBorders>
            <w:vAlign w:val="center"/>
          </w:tcPr>
          <w:p>
            <w:pPr>
              <w:jc w:val="center"/>
              <w:rPr>
                <w:b/>
                <w:bCs/>
              </w:rPr>
            </w:pPr>
            <w:r>
              <w:rPr>
                <w:rFonts w:hint="eastAsia" w:hAnsi="宋体" w:cs="宋体"/>
                <w:b/>
                <w:bCs/>
              </w:rPr>
              <w:t>公务接待费</w:t>
            </w:r>
          </w:p>
        </w:tc>
        <w:tc>
          <w:tcPr>
            <w:tcW w:w="2519" w:type="dxa"/>
            <w:vMerge w:val="restart"/>
            <w:tcBorders>
              <w:top w:val="single" w:color="auto" w:sz="4" w:space="0"/>
              <w:left w:val="nil"/>
              <w:bottom w:val="single" w:color="auto" w:sz="4" w:space="0"/>
              <w:right w:val="single" w:color="auto" w:sz="4" w:space="0"/>
            </w:tcBorders>
            <w:vAlign w:val="center"/>
          </w:tcPr>
          <w:p>
            <w:pPr>
              <w:jc w:val="center"/>
              <w:rPr>
                <w:b/>
                <w:bCs/>
              </w:rPr>
            </w:pPr>
            <w:r>
              <w:rPr>
                <w:rFonts w:hint="eastAsia" w:hAnsi="宋体" w:cs="宋体"/>
                <w:b/>
                <w:bCs/>
              </w:rPr>
              <w:t>公务用车运行维护费</w:t>
            </w:r>
          </w:p>
        </w:tc>
        <w:tc>
          <w:tcPr>
            <w:tcW w:w="1780" w:type="dxa"/>
            <w:vMerge w:val="restart"/>
            <w:tcBorders>
              <w:top w:val="single" w:color="auto" w:sz="4" w:space="0"/>
              <w:left w:val="nil"/>
              <w:bottom w:val="single" w:color="auto" w:sz="4" w:space="0"/>
              <w:right w:val="single" w:color="auto" w:sz="4" w:space="0"/>
            </w:tcBorders>
            <w:vAlign w:val="center"/>
          </w:tcPr>
          <w:p>
            <w:pPr>
              <w:jc w:val="center"/>
              <w:rPr>
                <w:b/>
                <w:bCs/>
              </w:rPr>
            </w:pPr>
            <w:r>
              <w:rPr>
                <w:rFonts w:hint="eastAsia" w:hAnsi="宋体" w:cs="宋体"/>
                <w:b/>
                <w:bCs/>
              </w:rPr>
              <w:t>车辆购置经费</w:t>
            </w:r>
          </w:p>
        </w:tc>
      </w:tr>
      <w:tr>
        <w:tblPrEx>
          <w:tblLayout w:type="fixed"/>
          <w:tblCellMar>
            <w:top w:w="0" w:type="dxa"/>
            <w:left w:w="108" w:type="dxa"/>
            <w:bottom w:w="0" w:type="dxa"/>
            <w:right w:w="108" w:type="dxa"/>
          </w:tblCellMar>
        </w:tblPrEx>
        <w:trPr>
          <w:trHeight w:val="675" w:hRule="atLeast"/>
        </w:trPr>
        <w:tc>
          <w:tcPr>
            <w:tcW w:w="31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rPr>
            </w:pPr>
          </w:p>
        </w:tc>
        <w:tc>
          <w:tcPr>
            <w:tcW w:w="1960" w:type="dxa"/>
            <w:vMerge w:val="continue"/>
            <w:tcBorders>
              <w:top w:val="single" w:color="auto" w:sz="4" w:space="0"/>
              <w:left w:val="nil"/>
              <w:bottom w:val="single" w:color="auto" w:sz="4" w:space="0"/>
              <w:right w:val="single" w:color="auto" w:sz="4" w:space="0"/>
            </w:tcBorders>
            <w:vAlign w:val="center"/>
          </w:tcPr>
          <w:p>
            <w:pPr>
              <w:widowControl/>
              <w:jc w:val="left"/>
              <w:rPr>
                <w:b/>
                <w:bCs/>
              </w:rPr>
            </w:pPr>
          </w:p>
        </w:tc>
        <w:tc>
          <w:tcPr>
            <w:tcW w:w="2440" w:type="dxa"/>
            <w:vMerge w:val="continue"/>
            <w:tcBorders>
              <w:top w:val="single" w:color="auto" w:sz="4" w:space="0"/>
              <w:left w:val="nil"/>
              <w:bottom w:val="single" w:color="auto" w:sz="4" w:space="0"/>
              <w:right w:val="single" w:color="auto" w:sz="4" w:space="0"/>
            </w:tcBorders>
            <w:vAlign w:val="center"/>
          </w:tcPr>
          <w:p>
            <w:pPr>
              <w:widowControl/>
              <w:jc w:val="left"/>
              <w:rPr>
                <w:b/>
                <w:bCs/>
              </w:rPr>
            </w:pPr>
          </w:p>
        </w:tc>
        <w:tc>
          <w:tcPr>
            <w:tcW w:w="1647" w:type="dxa"/>
            <w:vMerge w:val="continue"/>
            <w:tcBorders>
              <w:top w:val="single" w:color="auto" w:sz="4" w:space="0"/>
              <w:left w:val="nil"/>
              <w:bottom w:val="single" w:color="auto" w:sz="4" w:space="0"/>
              <w:right w:val="single" w:color="auto" w:sz="4" w:space="0"/>
            </w:tcBorders>
            <w:vAlign w:val="center"/>
          </w:tcPr>
          <w:p>
            <w:pPr>
              <w:widowControl/>
              <w:jc w:val="left"/>
              <w:rPr>
                <w:b/>
                <w:bCs/>
              </w:rPr>
            </w:pPr>
          </w:p>
        </w:tc>
        <w:tc>
          <w:tcPr>
            <w:tcW w:w="2519" w:type="dxa"/>
            <w:vMerge w:val="continue"/>
            <w:tcBorders>
              <w:top w:val="single" w:color="auto" w:sz="4" w:space="0"/>
              <w:left w:val="nil"/>
              <w:bottom w:val="single" w:color="auto" w:sz="4" w:space="0"/>
              <w:right w:val="single" w:color="auto" w:sz="4" w:space="0"/>
            </w:tcBorders>
            <w:vAlign w:val="center"/>
          </w:tcPr>
          <w:p>
            <w:pPr>
              <w:widowControl/>
              <w:jc w:val="left"/>
              <w:rPr>
                <w:b/>
                <w:bCs/>
              </w:rPr>
            </w:pPr>
          </w:p>
        </w:tc>
        <w:tc>
          <w:tcPr>
            <w:tcW w:w="1780" w:type="dxa"/>
            <w:vMerge w:val="continue"/>
            <w:tcBorders>
              <w:top w:val="single" w:color="auto" w:sz="4" w:space="0"/>
              <w:left w:val="nil"/>
              <w:bottom w:val="single" w:color="auto" w:sz="4" w:space="0"/>
              <w:right w:val="single" w:color="auto" w:sz="4" w:space="0"/>
            </w:tcBorders>
            <w:vAlign w:val="center"/>
          </w:tcPr>
          <w:p>
            <w:pPr>
              <w:widowControl/>
              <w:jc w:val="left"/>
              <w:rPr>
                <w:b/>
                <w:bCs/>
              </w:rPr>
            </w:pPr>
          </w:p>
        </w:tc>
      </w:tr>
      <w:tr>
        <w:tblPrEx>
          <w:tblLayout w:type="fixed"/>
          <w:tblCellMar>
            <w:top w:w="0" w:type="dxa"/>
            <w:left w:w="108" w:type="dxa"/>
            <w:bottom w:w="0" w:type="dxa"/>
            <w:right w:w="108" w:type="dxa"/>
          </w:tblCellMar>
        </w:tblPrEx>
        <w:trPr>
          <w:trHeight w:val="996" w:hRule="atLeast"/>
        </w:trPr>
        <w:tc>
          <w:tcPr>
            <w:tcW w:w="3150" w:type="dxa"/>
            <w:tcBorders>
              <w:top w:val="nil"/>
              <w:left w:val="single" w:color="auto" w:sz="4" w:space="0"/>
              <w:bottom w:val="single" w:color="auto" w:sz="4" w:space="0"/>
              <w:right w:val="single" w:color="auto" w:sz="4" w:space="0"/>
            </w:tcBorders>
            <w:vAlign w:val="center"/>
          </w:tcPr>
          <w:p>
            <w:pPr>
              <w:jc w:val="center"/>
            </w:pPr>
            <w:r>
              <w:rPr>
                <w:rFonts w:hint="eastAsia" w:hAnsi="宋体" w:cs="宋体"/>
              </w:rPr>
              <w:t>合计</w:t>
            </w:r>
          </w:p>
        </w:tc>
        <w:tc>
          <w:tcPr>
            <w:tcW w:w="1960" w:type="dxa"/>
            <w:tcBorders>
              <w:top w:val="nil"/>
              <w:left w:val="nil"/>
              <w:bottom w:val="single" w:color="auto" w:sz="4" w:space="0"/>
              <w:right w:val="single" w:color="auto" w:sz="4" w:space="0"/>
            </w:tcBorders>
            <w:vAlign w:val="center"/>
          </w:tcPr>
          <w:p>
            <w:pPr>
              <w:jc w:val="center"/>
            </w:pPr>
            <w:r>
              <w:t>509132.00</w:t>
            </w:r>
          </w:p>
        </w:tc>
        <w:tc>
          <w:tcPr>
            <w:tcW w:w="2440" w:type="dxa"/>
            <w:tcBorders>
              <w:top w:val="nil"/>
              <w:left w:val="nil"/>
              <w:bottom w:val="single" w:color="auto" w:sz="4" w:space="0"/>
              <w:right w:val="single" w:color="auto" w:sz="4" w:space="0"/>
            </w:tcBorders>
            <w:vAlign w:val="center"/>
          </w:tcPr>
          <w:p>
            <w:pPr>
              <w:jc w:val="center"/>
            </w:pPr>
            <w:r>
              <w:t>0.00</w:t>
            </w:r>
          </w:p>
        </w:tc>
        <w:tc>
          <w:tcPr>
            <w:tcW w:w="1647" w:type="dxa"/>
            <w:tcBorders>
              <w:top w:val="nil"/>
              <w:left w:val="nil"/>
              <w:bottom w:val="single" w:color="auto" w:sz="4" w:space="0"/>
              <w:right w:val="single" w:color="auto" w:sz="4" w:space="0"/>
            </w:tcBorders>
            <w:vAlign w:val="center"/>
          </w:tcPr>
          <w:p>
            <w:pPr>
              <w:jc w:val="center"/>
            </w:pPr>
            <w:r>
              <w:t>217632.00</w:t>
            </w:r>
          </w:p>
        </w:tc>
        <w:tc>
          <w:tcPr>
            <w:tcW w:w="2519" w:type="dxa"/>
            <w:tcBorders>
              <w:top w:val="nil"/>
              <w:left w:val="nil"/>
              <w:bottom w:val="single" w:color="auto" w:sz="4" w:space="0"/>
              <w:right w:val="single" w:color="auto" w:sz="4" w:space="0"/>
            </w:tcBorders>
            <w:vAlign w:val="center"/>
          </w:tcPr>
          <w:p>
            <w:pPr>
              <w:jc w:val="center"/>
            </w:pPr>
            <w:r>
              <w:t>291500.00</w:t>
            </w:r>
          </w:p>
        </w:tc>
        <w:tc>
          <w:tcPr>
            <w:tcW w:w="1780" w:type="dxa"/>
            <w:tcBorders>
              <w:top w:val="nil"/>
              <w:left w:val="nil"/>
              <w:bottom w:val="single" w:color="auto" w:sz="4" w:space="0"/>
              <w:right w:val="single" w:color="auto" w:sz="4" w:space="0"/>
            </w:tcBorders>
            <w:vAlign w:val="center"/>
          </w:tcPr>
          <w:p>
            <w:pPr>
              <w:jc w:val="center"/>
            </w:pPr>
            <w:r>
              <w:t>0.00</w:t>
            </w:r>
          </w:p>
        </w:tc>
      </w:tr>
      <w:tr>
        <w:tblPrEx>
          <w:tblLayout w:type="fixed"/>
          <w:tblCellMar>
            <w:top w:w="0" w:type="dxa"/>
            <w:left w:w="108" w:type="dxa"/>
            <w:bottom w:w="0" w:type="dxa"/>
            <w:right w:w="108" w:type="dxa"/>
          </w:tblCellMar>
        </w:tblPrEx>
        <w:trPr>
          <w:trHeight w:val="1124" w:hRule="atLeast"/>
        </w:trPr>
        <w:tc>
          <w:tcPr>
            <w:tcW w:w="3150" w:type="dxa"/>
            <w:tcBorders>
              <w:top w:val="nil"/>
              <w:left w:val="single" w:color="auto" w:sz="4" w:space="0"/>
              <w:bottom w:val="single" w:color="auto" w:sz="4" w:space="0"/>
              <w:right w:val="single" w:color="auto" w:sz="4" w:space="0"/>
            </w:tcBorders>
            <w:vAlign w:val="center"/>
          </w:tcPr>
          <w:p>
            <w:pPr>
              <w:jc w:val="center"/>
            </w:pPr>
            <w:r>
              <w:t>53100</w:t>
            </w:r>
            <w:r>
              <w:rPr>
                <w:rFonts w:hint="eastAsia" w:hAnsi="宋体" w:cs="宋体"/>
              </w:rPr>
              <w:t>温岭市住房和城乡建设局（本级））</w:t>
            </w:r>
          </w:p>
        </w:tc>
        <w:tc>
          <w:tcPr>
            <w:tcW w:w="1960" w:type="dxa"/>
            <w:tcBorders>
              <w:top w:val="nil"/>
              <w:left w:val="nil"/>
              <w:bottom w:val="single" w:color="auto" w:sz="4" w:space="0"/>
              <w:right w:val="single" w:color="auto" w:sz="4" w:space="0"/>
            </w:tcBorders>
            <w:vAlign w:val="center"/>
          </w:tcPr>
          <w:p>
            <w:pPr>
              <w:jc w:val="center"/>
            </w:pPr>
            <w:r>
              <w:t>332971.00</w:t>
            </w:r>
          </w:p>
        </w:tc>
        <w:tc>
          <w:tcPr>
            <w:tcW w:w="2440" w:type="dxa"/>
            <w:tcBorders>
              <w:top w:val="nil"/>
              <w:left w:val="nil"/>
              <w:bottom w:val="single" w:color="auto" w:sz="4" w:space="0"/>
              <w:right w:val="single" w:color="auto" w:sz="4" w:space="0"/>
            </w:tcBorders>
            <w:vAlign w:val="center"/>
          </w:tcPr>
          <w:p>
            <w:pPr>
              <w:jc w:val="center"/>
            </w:pPr>
            <w:r>
              <w:t>0.00</w:t>
            </w:r>
          </w:p>
        </w:tc>
        <w:tc>
          <w:tcPr>
            <w:tcW w:w="1647" w:type="dxa"/>
            <w:tcBorders>
              <w:top w:val="nil"/>
              <w:left w:val="nil"/>
              <w:bottom w:val="single" w:color="auto" w:sz="4" w:space="0"/>
              <w:right w:val="single" w:color="auto" w:sz="4" w:space="0"/>
            </w:tcBorders>
            <w:vAlign w:val="center"/>
          </w:tcPr>
          <w:p>
            <w:pPr>
              <w:jc w:val="center"/>
            </w:pPr>
            <w:r>
              <w:t>173971.00</w:t>
            </w:r>
          </w:p>
        </w:tc>
        <w:tc>
          <w:tcPr>
            <w:tcW w:w="2519" w:type="dxa"/>
            <w:tcBorders>
              <w:top w:val="nil"/>
              <w:left w:val="nil"/>
              <w:bottom w:val="single" w:color="auto" w:sz="4" w:space="0"/>
              <w:right w:val="single" w:color="auto" w:sz="4" w:space="0"/>
            </w:tcBorders>
            <w:vAlign w:val="center"/>
          </w:tcPr>
          <w:p>
            <w:pPr>
              <w:jc w:val="center"/>
            </w:pPr>
            <w:r>
              <w:t>159000.00</w:t>
            </w:r>
          </w:p>
        </w:tc>
        <w:tc>
          <w:tcPr>
            <w:tcW w:w="1780" w:type="dxa"/>
            <w:tcBorders>
              <w:top w:val="nil"/>
              <w:left w:val="nil"/>
              <w:bottom w:val="single" w:color="auto" w:sz="4" w:space="0"/>
              <w:right w:val="single" w:color="auto" w:sz="4" w:space="0"/>
            </w:tcBorders>
            <w:vAlign w:val="center"/>
          </w:tcPr>
          <w:p>
            <w:pPr>
              <w:jc w:val="center"/>
            </w:pPr>
            <w:r>
              <w:t>0.00</w:t>
            </w:r>
          </w:p>
        </w:tc>
      </w:tr>
      <w:tr>
        <w:tblPrEx>
          <w:tblLayout w:type="fixed"/>
          <w:tblCellMar>
            <w:top w:w="0" w:type="dxa"/>
            <w:left w:w="108" w:type="dxa"/>
            <w:bottom w:w="0" w:type="dxa"/>
            <w:right w:w="108" w:type="dxa"/>
          </w:tblCellMar>
        </w:tblPrEx>
        <w:trPr>
          <w:trHeight w:val="1126" w:hRule="atLeast"/>
        </w:trPr>
        <w:tc>
          <w:tcPr>
            <w:tcW w:w="3150" w:type="dxa"/>
            <w:tcBorders>
              <w:top w:val="nil"/>
              <w:left w:val="single" w:color="auto" w:sz="4" w:space="0"/>
              <w:bottom w:val="single" w:color="auto" w:sz="4" w:space="0"/>
              <w:right w:val="single" w:color="auto" w:sz="4" w:space="0"/>
            </w:tcBorders>
            <w:vAlign w:val="center"/>
          </w:tcPr>
          <w:p>
            <w:pPr>
              <w:jc w:val="center"/>
            </w:pPr>
            <w:r>
              <w:t>531002</w:t>
            </w:r>
            <w:r>
              <w:rPr>
                <w:rFonts w:hint="eastAsia" w:hAnsi="宋体" w:cs="宋体"/>
              </w:rPr>
              <w:t>温岭市住房保障和房管事务中心</w:t>
            </w:r>
          </w:p>
        </w:tc>
        <w:tc>
          <w:tcPr>
            <w:tcW w:w="1960" w:type="dxa"/>
            <w:tcBorders>
              <w:top w:val="nil"/>
              <w:left w:val="nil"/>
              <w:bottom w:val="single" w:color="auto" w:sz="4" w:space="0"/>
              <w:right w:val="single" w:color="auto" w:sz="4" w:space="0"/>
            </w:tcBorders>
            <w:vAlign w:val="center"/>
          </w:tcPr>
          <w:p>
            <w:pPr>
              <w:jc w:val="center"/>
            </w:pPr>
            <w:r>
              <w:t>95242.00</w:t>
            </w:r>
          </w:p>
        </w:tc>
        <w:tc>
          <w:tcPr>
            <w:tcW w:w="2440" w:type="dxa"/>
            <w:tcBorders>
              <w:top w:val="nil"/>
              <w:left w:val="nil"/>
              <w:bottom w:val="single" w:color="auto" w:sz="4" w:space="0"/>
              <w:right w:val="single" w:color="auto" w:sz="4" w:space="0"/>
            </w:tcBorders>
            <w:vAlign w:val="center"/>
          </w:tcPr>
          <w:p>
            <w:pPr>
              <w:jc w:val="center"/>
            </w:pPr>
            <w:r>
              <w:t>0.00</w:t>
            </w:r>
          </w:p>
        </w:tc>
        <w:tc>
          <w:tcPr>
            <w:tcW w:w="1647" w:type="dxa"/>
            <w:tcBorders>
              <w:top w:val="nil"/>
              <w:left w:val="nil"/>
              <w:bottom w:val="single" w:color="auto" w:sz="4" w:space="0"/>
              <w:right w:val="single" w:color="auto" w:sz="4" w:space="0"/>
            </w:tcBorders>
            <w:vAlign w:val="center"/>
          </w:tcPr>
          <w:p>
            <w:pPr>
              <w:jc w:val="center"/>
            </w:pPr>
            <w:r>
              <w:t>42242.00</w:t>
            </w:r>
          </w:p>
        </w:tc>
        <w:tc>
          <w:tcPr>
            <w:tcW w:w="2519" w:type="dxa"/>
            <w:tcBorders>
              <w:top w:val="nil"/>
              <w:left w:val="nil"/>
              <w:bottom w:val="single" w:color="auto" w:sz="4" w:space="0"/>
              <w:right w:val="single" w:color="auto" w:sz="4" w:space="0"/>
            </w:tcBorders>
            <w:vAlign w:val="center"/>
          </w:tcPr>
          <w:p>
            <w:pPr>
              <w:jc w:val="center"/>
            </w:pPr>
            <w:r>
              <w:t>53000.00</w:t>
            </w:r>
          </w:p>
        </w:tc>
        <w:tc>
          <w:tcPr>
            <w:tcW w:w="1780" w:type="dxa"/>
            <w:tcBorders>
              <w:top w:val="nil"/>
              <w:left w:val="nil"/>
              <w:bottom w:val="single" w:color="auto" w:sz="4" w:space="0"/>
              <w:right w:val="single" w:color="auto" w:sz="4" w:space="0"/>
            </w:tcBorders>
            <w:vAlign w:val="center"/>
          </w:tcPr>
          <w:p>
            <w:pPr>
              <w:jc w:val="center"/>
            </w:pPr>
            <w:r>
              <w:t>0.00</w:t>
            </w:r>
          </w:p>
        </w:tc>
      </w:tr>
      <w:tr>
        <w:tblPrEx>
          <w:tblLayout w:type="fixed"/>
          <w:tblCellMar>
            <w:top w:w="0" w:type="dxa"/>
            <w:left w:w="108" w:type="dxa"/>
            <w:bottom w:w="0" w:type="dxa"/>
            <w:right w:w="108" w:type="dxa"/>
          </w:tblCellMar>
        </w:tblPrEx>
        <w:trPr>
          <w:trHeight w:val="1126" w:hRule="atLeast"/>
        </w:trPr>
        <w:tc>
          <w:tcPr>
            <w:tcW w:w="3150" w:type="dxa"/>
            <w:tcBorders>
              <w:top w:val="nil"/>
              <w:left w:val="single" w:color="auto" w:sz="4" w:space="0"/>
              <w:bottom w:val="single" w:color="auto" w:sz="4" w:space="0"/>
              <w:right w:val="single" w:color="auto" w:sz="4" w:space="0"/>
            </w:tcBorders>
            <w:vAlign w:val="center"/>
          </w:tcPr>
          <w:p>
            <w:pPr>
              <w:jc w:val="center"/>
            </w:pPr>
            <w:r>
              <w:t>531007</w:t>
            </w:r>
            <w:r>
              <w:rPr>
                <w:rFonts w:hint="eastAsia" w:hAnsi="宋体" w:cs="宋体"/>
              </w:rPr>
              <w:t>温岭市建筑工程质量安全事务中心</w:t>
            </w:r>
          </w:p>
        </w:tc>
        <w:tc>
          <w:tcPr>
            <w:tcW w:w="1960" w:type="dxa"/>
            <w:tcBorders>
              <w:top w:val="nil"/>
              <w:left w:val="nil"/>
              <w:bottom w:val="single" w:color="auto" w:sz="4" w:space="0"/>
              <w:right w:val="single" w:color="auto" w:sz="4" w:space="0"/>
            </w:tcBorders>
            <w:vAlign w:val="center"/>
          </w:tcPr>
          <w:p>
            <w:pPr>
              <w:jc w:val="center"/>
            </w:pPr>
            <w:r>
              <w:t>80919.00</w:t>
            </w:r>
          </w:p>
        </w:tc>
        <w:tc>
          <w:tcPr>
            <w:tcW w:w="2440" w:type="dxa"/>
            <w:tcBorders>
              <w:top w:val="nil"/>
              <w:left w:val="nil"/>
              <w:bottom w:val="single" w:color="auto" w:sz="4" w:space="0"/>
              <w:right w:val="single" w:color="auto" w:sz="4" w:space="0"/>
            </w:tcBorders>
            <w:vAlign w:val="center"/>
          </w:tcPr>
          <w:p>
            <w:pPr>
              <w:jc w:val="center"/>
            </w:pPr>
            <w:r>
              <w:t>0.00</w:t>
            </w:r>
          </w:p>
        </w:tc>
        <w:tc>
          <w:tcPr>
            <w:tcW w:w="1647" w:type="dxa"/>
            <w:tcBorders>
              <w:top w:val="nil"/>
              <w:left w:val="nil"/>
              <w:bottom w:val="single" w:color="auto" w:sz="4" w:space="0"/>
              <w:right w:val="single" w:color="auto" w:sz="4" w:space="0"/>
            </w:tcBorders>
            <w:vAlign w:val="center"/>
          </w:tcPr>
          <w:p>
            <w:pPr>
              <w:jc w:val="center"/>
            </w:pPr>
            <w:r>
              <w:t>1419.00</w:t>
            </w:r>
          </w:p>
        </w:tc>
        <w:tc>
          <w:tcPr>
            <w:tcW w:w="2519" w:type="dxa"/>
            <w:tcBorders>
              <w:top w:val="nil"/>
              <w:left w:val="nil"/>
              <w:bottom w:val="single" w:color="auto" w:sz="4" w:space="0"/>
              <w:right w:val="single" w:color="auto" w:sz="4" w:space="0"/>
            </w:tcBorders>
            <w:vAlign w:val="center"/>
          </w:tcPr>
          <w:p>
            <w:pPr>
              <w:jc w:val="center"/>
            </w:pPr>
            <w:r>
              <w:t>79500.00</w:t>
            </w:r>
          </w:p>
        </w:tc>
        <w:tc>
          <w:tcPr>
            <w:tcW w:w="1780" w:type="dxa"/>
            <w:tcBorders>
              <w:top w:val="nil"/>
              <w:left w:val="nil"/>
              <w:bottom w:val="single" w:color="auto" w:sz="4" w:space="0"/>
              <w:right w:val="single" w:color="auto" w:sz="4" w:space="0"/>
            </w:tcBorders>
            <w:vAlign w:val="center"/>
          </w:tcPr>
          <w:p>
            <w:pPr>
              <w:jc w:val="center"/>
            </w:pPr>
            <w:r>
              <w:t>0.00</w:t>
            </w:r>
          </w:p>
        </w:tc>
      </w:tr>
    </w:tbl>
    <w:p>
      <w:pPr>
        <w:jc w:val="left"/>
        <w:rPr>
          <w:rFonts w:ascii="宋体"/>
          <w:sz w:val="20"/>
          <w:szCs w:val="20"/>
        </w:rPr>
      </w:pPr>
      <w:r>
        <w:rPr>
          <w:rFonts w:hint="eastAsia" w:ascii="宋体" w:hAnsi="宋体" w:cs="宋体"/>
          <w:sz w:val="20"/>
          <w:szCs w:val="20"/>
        </w:rPr>
        <w:t>备注：</w:t>
      </w:r>
      <w:r>
        <w:rPr>
          <w:rFonts w:ascii="Arial" w:hAnsi="Arial" w:cs="Arial"/>
          <w:sz w:val="20"/>
          <w:szCs w:val="20"/>
        </w:rPr>
        <w:t>2021</w:t>
      </w:r>
      <w:r>
        <w:rPr>
          <w:rFonts w:hint="eastAsia" w:ascii="宋体" w:hAnsi="宋体" w:cs="宋体"/>
          <w:sz w:val="20"/>
          <w:szCs w:val="20"/>
        </w:rPr>
        <w:t>年全市公务用车购置和因公出国境预算资金由财政统留管理，未编列到</w:t>
      </w:r>
      <w:r>
        <w:rPr>
          <w:rFonts w:ascii="Arial" w:hAnsi="Arial" w:cs="Arial"/>
          <w:sz w:val="20"/>
          <w:szCs w:val="20"/>
        </w:rPr>
        <w:t>2021</w:t>
      </w:r>
      <w:r>
        <w:rPr>
          <w:rFonts w:hint="eastAsia" w:ascii="宋体" w:hAnsi="宋体" w:cs="宋体"/>
          <w:sz w:val="20"/>
          <w:szCs w:val="20"/>
        </w:rPr>
        <w:t>年部门预算中。经批准同意部门购置公务用车和安排因公出国（境）的，所需费用由财政按实追加部门年度“三公”经费预算额度。</w:t>
      </w:r>
    </w:p>
    <w:p>
      <w:pPr>
        <w:spacing w:line="580" w:lineRule="exact"/>
        <w:jc w:val="left"/>
        <w:rPr>
          <w:rFonts w:ascii="黑体" w:hAnsi="黑体" w:eastAsia="黑体"/>
          <w:sz w:val="32"/>
          <w:szCs w:val="32"/>
        </w:rPr>
      </w:pPr>
    </w:p>
    <w:p>
      <w:pPr>
        <w:spacing w:line="580" w:lineRule="exact"/>
        <w:jc w:val="left"/>
        <w:rPr>
          <w:rFonts w:ascii="仿宋_GB2312" w:eastAsia="仿宋_GB2312"/>
          <w:sz w:val="32"/>
          <w:szCs w:val="32"/>
        </w:rPr>
      </w:pPr>
      <w:r>
        <w:rPr>
          <w:rFonts w:hint="eastAsia" w:ascii="仿宋_GB2312" w:hAnsi="黑体" w:eastAsia="仿宋_GB2312" w:cs="仿宋_GB2312"/>
          <w:sz w:val="32"/>
          <w:szCs w:val="32"/>
        </w:rPr>
        <w:t>附件</w:t>
      </w:r>
      <w:r>
        <w:rPr>
          <w:rFonts w:ascii="仿宋_GB2312" w:hAnsi="仿宋" w:eastAsia="仿宋_GB2312" w:cs="仿宋_GB2312"/>
          <w:sz w:val="32"/>
          <w:szCs w:val="32"/>
        </w:rPr>
        <w:t>11</w:t>
      </w:r>
    </w:p>
    <w:p>
      <w:pPr>
        <w:pStyle w:val="17"/>
        <w:jc w:val="center"/>
        <w:rPr>
          <w:rFonts w:ascii="方正小标宋简体" w:eastAsia="方正小标宋简体" w:cs="Times New Roman"/>
          <w:sz w:val="36"/>
          <w:szCs w:val="36"/>
        </w:rPr>
      </w:pPr>
      <w:r>
        <w:rPr>
          <w:rFonts w:ascii="方正小标宋简体" w:eastAsia="方正小标宋简体" w:cs="方正小标宋简体"/>
          <w:sz w:val="36"/>
          <w:szCs w:val="36"/>
        </w:rPr>
        <w:t>2021</w:t>
      </w:r>
      <w:r>
        <w:rPr>
          <w:rFonts w:hint="eastAsia" w:ascii="方正小标宋简体" w:eastAsia="方正小标宋简体" w:cs="方正小标宋简体"/>
          <w:sz w:val="36"/>
          <w:szCs w:val="36"/>
        </w:rPr>
        <w:t>年部门预算财政拨款重点项目支出预算表（表</w:t>
      </w:r>
      <w:r>
        <w:rPr>
          <w:rFonts w:ascii="方正小标宋简体" w:eastAsia="方正小标宋简体" w:cs="方正小标宋简体"/>
          <w:sz w:val="36"/>
          <w:szCs w:val="36"/>
        </w:rPr>
        <w:t>11</w:t>
      </w:r>
      <w:r>
        <w:rPr>
          <w:rFonts w:hint="eastAsia" w:ascii="方正小标宋简体" w:eastAsia="方正小标宋简体" w:cs="方正小标宋简体"/>
          <w:sz w:val="36"/>
          <w:szCs w:val="36"/>
        </w:rPr>
        <w:t>）</w:t>
      </w:r>
    </w:p>
    <w:tbl>
      <w:tblPr>
        <w:tblStyle w:val="7"/>
        <w:tblW w:w="14543" w:type="dxa"/>
        <w:tblInd w:w="-538" w:type="dxa"/>
        <w:tblLayout w:type="fixed"/>
        <w:tblCellMar>
          <w:top w:w="15" w:type="dxa"/>
          <w:left w:w="15" w:type="dxa"/>
          <w:bottom w:w="15" w:type="dxa"/>
          <w:right w:w="15" w:type="dxa"/>
        </w:tblCellMar>
      </w:tblPr>
      <w:tblGrid>
        <w:gridCol w:w="942"/>
        <w:gridCol w:w="1470"/>
        <w:gridCol w:w="720"/>
        <w:gridCol w:w="1139"/>
        <w:gridCol w:w="480"/>
        <w:gridCol w:w="540"/>
        <w:gridCol w:w="540"/>
        <w:gridCol w:w="555"/>
        <w:gridCol w:w="630"/>
        <w:gridCol w:w="1050"/>
        <w:gridCol w:w="420"/>
        <w:gridCol w:w="570"/>
        <w:gridCol w:w="435"/>
        <w:gridCol w:w="1163"/>
        <w:gridCol w:w="3889"/>
      </w:tblGrid>
      <w:tr>
        <w:tblPrEx>
          <w:tblLayout w:type="fixed"/>
          <w:tblCellMar>
            <w:top w:w="15" w:type="dxa"/>
            <w:left w:w="15" w:type="dxa"/>
            <w:bottom w:w="15" w:type="dxa"/>
            <w:right w:w="15" w:type="dxa"/>
          </w:tblCellMar>
        </w:tblPrEx>
        <w:trPr>
          <w:trHeight w:val="493" w:hRule="atLeast"/>
          <w:tblHeader/>
        </w:trPr>
        <w:tc>
          <w:tcPr>
            <w:tcW w:w="94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center"/>
              <w:rPr>
                <w:b/>
                <w:bCs/>
                <w:color w:val="000000"/>
                <w:sz w:val="18"/>
                <w:szCs w:val="18"/>
              </w:rPr>
            </w:pPr>
            <w:r>
              <w:rPr>
                <w:rFonts w:hint="eastAsia" w:hAnsi="宋体" w:cs="宋体"/>
                <w:b/>
                <w:bCs/>
                <w:color w:val="000000"/>
                <w:sz w:val="18"/>
                <w:szCs w:val="18"/>
              </w:rPr>
              <w:t>单位名称</w:t>
            </w:r>
          </w:p>
        </w:tc>
        <w:tc>
          <w:tcPr>
            <w:tcW w:w="1470" w:type="dxa"/>
            <w:vMerge w:val="restart"/>
            <w:tcBorders>
              <w:top w:val="single" w:color="000000" w:sz="4" w:space="0"/>
              <w:left w:val="nil"/>
              <w:bottom w:val="nil"/>
              <w:right w:val="single" w:color="000000" w:sz="4" w:space="0"/>
            </w:tcBorders>
            <w:vAlign w:val="center"/>
          </w:tcPr>
          <w:p>
            <w:pPr>
              <w:spacing w:line="240" w:lineRule="exact"/>
              <w:jc w:val="center"/>
              <w:textAlignment w:val="center"/>
              <w:rPr>
                <w:b/>
                <w:bCs/>
                <w:color w:val="000000"/>
                <w:sz w:val="18"/>
                <w:szCs w:val="18"/>
              </w:rPr>
            </w:pPr>
            <w:r>
              <w:rPr>
                <w:rFonts w:hint="eastAsia" w:hAnsi="宋体" w:cs="宋体"/>
                <w:b/>
                <w:bCs/>
                <w:color w:val="000000"/>
                <w:sz w:val="18"/>
                <w:szCs w:val="18"/>
              </w:rPr>
              <w:t>项目名称</w:t>
            </w:r>
          </w:p>
        </w:tc>
        <w:tc>
          <w:tcPr>
            <w:tcW w:w="3419" w:type="dxa"/>
            <w:gridSpan w:val="5"/>
            <w:tcBorders>
              <w:top w:val="single" w:color="000000" w:sz="4" w:space="0"/>
              <w:left w:val="nil"/>
              <w:bottom w:val="single" w:color="000000" w:sz="4" w:space="0"/>
              <w:right w:val="single" w:color="000000" w:sz="4" w:space="0"/>
            </w:tcBorders>
            <w:vAlign w:val="center"/>
          </w:tcPr>
          <w:p>
            <w:pPr>
              <w:spacing w:line="240" w:lineRule="exact"/>
              <w:jc w:val="center"/>
              <w:textAlignment w:val="center"/>
              <w:rPr>
                <w:b/>
                <w:bCs/>
                <w:color w:val="000000"/>
                <w:sz w:val="18"/>
                <w:szCs w:val="18"/>
              </w:rPr>
            </w:pPr>
            <w:r>
              <w:rPr>
                <w:rFonts w:hint="eastAsia" w:hAnsi="宋体" w:cs="宋体"/>
                <w:b/>
                <w:bCs/>
                <w:color w:val="000000"/>
                <w:sz w:val="18"/>
                <w:szCs w:val="18"/>
              </w:rPr>
              <w:t>财政拨款</w:t>
            </w:r>
          </w:p>
        </w:tc>
        <w:tc>
          <w:tcPr>
            <w:tcW w:w="555" w:type="dxa"/>
            <w:vMerge w:val="restart"/>
            <w:tcBorders>
              <w:top w:val="single" w:color="000000" w:sz="4" w:space="0"/>
              <w:left w:val="nil"/>
              <w:bottom w:val="nil"/>
              <w:right w:val="single" w:color="000000" w:sz="4" w:space="0"/>
            </w:tcBorders>
            <w:vAlign w:val="center"/>
          </w:tcPr>
          <w:p>
            <w:pPr>
              <w:spacing w:line="240" w:lineRule="exact"/>
              <w:jc w:val="center"/>
              <w:textAlignment w:val="center"/>
              <w:rPr>
                <w:b/>
                <w:bCs/>
                <w:color w:val="000000"/>
                <w:sz w:val="18"/>
                <w:szCs w:val="18"/>
              </w:rPr>
            </w:pPr>
            <w:r>
              <w:rPr>
                <w:rFonts w:hint="eastAsia" w:hAnsi="Arial" w:cs="宋体"/>
                <w:b/>
                <w:bCs/>
                <w:color w:val="000000"/>
                <w:sz w:val="18"/>
                <w:szCs w:val="18"/>
              </w:rPr>
              <w:t>专户收入</w:t>
            </w:r>
          </w:p>
        </w:tc>
        <w:tc>
          <w:tcPr>
            <w:tcW w:w="630" w:type="dxa"/>
            <w:vMerge w:val="restart"/>
            <w:tcBorders>
              <w:top w:val="single" w:color="000000" w:sz="4" w:space="0"/>
              <w:left w:val="nil"/>
              <w:bottom w:val="nil"/>
              <w:right w:val="single" w:color="000000" w:sz="4" w:space="0"/>
            </w:tcBorders>
            <w:vAlign w:val="center"/>
          </w:tcPr>
          <w:p>
            <w:pPr>
              <w:spacing w:line="240" w:lineRule="exact"/>
              <w:jc w:val="center"/>
              <w:textAlignment w:val="center"/>
              <w:rPr>
                <w:b/>
                <w:bCs/>
                <w:color w:val="000000"/>
                <w:sz w:val="18"/>
                <w:szCs w:val="18"/>
              </w:rPr>
            </w:pPr>
            <w:r>
              <w:rPr>
                <w:rFonts w:hint="eastAsia" w:hAnsi="Arial" w:cs="宋体"/>
                <w:b/>
                <w:bCs/>
                <w:color w:val="000000"/>
                <w:sz w:val="18"/>
                <w:szCs w:val="18"/>
              </w:rPr>
              <w:t>国有资本经营预算收入</w:t>
            </w:r>
          </w:p>
        </w:tc>
        <w:tc>
          <w:tcPr>
            <w:tcW w:w="1050" w:type="dxa"/>
            <w:vMerge w:val="restart"/>
            <w:tcBorders>
              <w:top w:val="single" w:color="000000" w:sz="4" w:space="0"/>
              <w:left w:val="nil"/>
              <w:bottom w:val="nil"/>
              <w:right w:val="single" w:color="000000" w:sz="4" w:space="0"/>
            </w:tcBorders>
            <w:vAlign w:val="center"/>
          </w:tcPr>
          <w:p>
            <w:pPr>
              <w:spacing w:line="240" w:lineRule="exact"/>
              <w:jc w:val="center"/>
              <w:textAlignment w:val="center"/>
              <w:rPr>
                <w:b/>
                <w:bCs/>
                <w:color w:val="000000"/>
                <w:sz w:val="18"/>
                <w:szCs w:val="18"/>
              </w:rPr>
            </w:pPr>
            <w:r>
              <w:rPr>
                <w:rFonts w:hint="eastAsia" w:hAnsi="Arial" w:cs="宋体"/>
                <w:b/>
                <w:bCs/>
                <w:color w:val="000000"/>
                <w:sz w:val="18"/>
                <w:szCs w:val="18"/>
              </w:rPr>
              <w:t>其他收入</w:t>
            </w:r>
          </w:p>
        </w:tc>
        <w:tc>
          <w:tcPr>
            <w:tcW w:w="420" w:type="dxa"/>
            <w:vMerge w:val="restart"/>
            <w:tcBorders>
              <w:top w:val="single" w:color="000000" w:sz="4" w:space="0"/>
              <w:left w:val="nil"/>
              <w:bottom w:val="nil"/>
              <w:right w:val="single" w:color="000000" w:sz="4" w:space="0"/>
            </w:tcBorders>
            <w:vAlign w:val="center"/>
          </w:tcPr>
          <w:p>
            <w:pPr>
              <w:spacing w:line="240" w:lineRule="exact"/>
              <w:jc w:val="center"/>
              <w:textAlignment w:val="center"/>
              <w:rPr>
                <w:b/>
                <w:bCs/>
                <w:color w:val="000000"/>
                <w:sz w:val="18"/>
                <w:szCs w:val="18"/>
              </w:rPr>
            </w:pPr>
            <w:r>
              <w:rPr>
                <w:rFonts w:hint="eastAsia" w:hAnsi="Arial" w:cs="宋体"/>
                <w:b/>
                <w:bCs/>
                <w:color w:val="000000"/>
                <w:sz w:val="18"/>
                <w:szCs w:val="18"/>
              </w:rPr>
              <w:t>退库</w:t>
            </w:r>
          </w:p>
        </w:tc>
        <w:tc>
          <w:tcPr>
            <w:tcW w:w="570" w:type="dxa"/>
            <w:tcBorders>
              <w:top w:val="single" w:color="000000" w:sz="4" w:space="0"/>
              <w:left w:val="nil"/>
              <w:bottom w:val="nil"/>
              <w:right w:val="single" w:color="000000" w:sz="4" w:space="0"/>
            </w:tcBorders>
          </w:tcPr>
          <w:p>
            <w:pPr>
              <w:spacing w:line="240" w:lineRule="exact"/>
              <w:jc w:val="center"/>
              <w:textAlignment w:val="center"/>
              <w:rPr>
                <w:b/>
                <w:bCs/>
                <w:color w:val="000000"/>
                <w:sz w:val="18"/>
                <w:szCs w:val="18"/>
              </w:rPr>
            </w:pPr>
          </w:p>
        </w:tc>
        <w:tc>
          <w:tcPr>
            <w:tcW w:w="435" w:type="dxa"/>
            <w:vMerge w:val="restart"/>
            <w:tcBorders>
              <w:top w:val="single" w:color="000000" w:sz="4" w:space="0"/>
              <w:left w:val="nil"/>
              <w:bottom w:val="nil"/>
              <w:right w:val="single" w:color="000000" w:sz="4" w:space="0"/>
            </w:tcBorders>
            <w:vAlign w:val="center"/>
          </w:tcPr>
          <w:p>
            <w:pPr>
              <w:spacing w:line="240" w:lineRule="exact"/>
              <w:jc w:val="center"/>
              <w:textAlignment w:val="center"/>
              <w:rPr>
                <w:b/>
                <w:bCs/>
                <w:color w:val="000000"/>
                <w:sz w:val="18"/>
                <w:szCs w:val="18"/>
              </w:rPr>
            </w:pPr>
            <w:r>
              <w:rPr>
                <w:rFonts w:hint="eastAsia" w:hAnsi="Arial" w:cs="宋体"/>
                <w:b/>
                <w:bCs/>
                <w:color w:val="000000"/>
                <w:sz w:val="18"/>
                <w:szCs w:val="18"/>
              </w:rPr>
              <w:t>镇</w:t>
            </w:r>
            <w:r>
              <w:rPr>
                <w:b/>
                <w:bCs/>
                <w:color w:val="000000"/>
                <w:sz w:val="18"/>
                <w:szCs w:val="18"/>
              </w:rPr>
              <w:t>(</w:t>
            </w:r>
            <w:r>
              <w:rPr>
                <w:rFonts w:hint="eastAsia" w:hAnsi="宋体" w:cs="宋体"/>
                <w:b/>
                <w:bCs/>
                <w:color w:val="000000"/>
                <w:sz w:val="18"/>
                <w:szCs w:val="18"/>
              </w:rPr>
              <w:t>街道</w:t>
            </w:r>
            <w:r>
              <w:rPr>
                <w:b/>
                <w:bCs/>
                <w:color w:val="000000"/>
                <w:sz w:val="18"/>
                <w:szCs w:val="18"/>
              </w:rPr>
              <w:t>)</w:t>
            </w:r>
            <w:r>
              <w:rPr>
                <w:rFonts w:hint="eastAsia" w:hAnsi="宋体" w:cs="宋体"/>
                <w:b/>
                <w:bCs/>
                <w:color w:val="000000"/>
                <w:sz w:val="18"/>
                <w:szCs w:val="18"/>
              </w:rPr>
              <w:t>补助</w:t>
            </w:r>
          </w:p>
        </w:tc>
        <w:tc>
          <w:tcPr>
            <w:tcW w:w="1163" w:type="dxa"/>
            <w:vMerge w:val="restart"/>
            <w:tcBorders>
              <w:top w:val="single" w:color="000000" w:sz="4" w:space="0"/>
              <w:left w:val="nil"/>
              <w:bottom w:val="nil"/>
              <w:right w:val="single" w:color="000000" w:sz="4" w:space="0"/>
            </w:tcBorders>
            <w:vAlign w:val="center"/>
          </w:tcPr>
          <w:p>
            <w:pPr>
              <w:spacing w:line="240" w:lineRule="exact"/>
              <w:jc w:val="center"/>
              <w:textAlignment w:val="center"/>
              <w:rPr>
                <w:b/>
                <w:bCs/>
                <w:color w:val="000000"/>
                <w:sz w:val="18"/>
                <w:szCs w:val="18"/>
              </w:rPr>
            </w:pPr>
            <w:r>
              <w:rPr>
                <w:rFonts w:hint="eastAsia" w:hAnsi="宋体" w:cs="宋体"/>
                <w:b/>
                <w:bCs/>
                <w:color w:val="000000"/>
                <w:sz w:val="18"/>
                <w:szCs w:val="18"/>
              </w:rPr>
              <w:t>总计</w:t>
            </w:r>
          </w:p>
        </w:tc>
        <w:tc>
          <w:tcPr>
            <w:tcW w:w="3889" w:type="dxa"/>
            <w:vMerge w:val="restart"/>
            <w:tcBorders>
              <w:top w:val="single" w:color="000000" w:sz="4" w:space="0"/>
              <w:left w:val="nil"/>
              <w:bottom w:val="nil"/>
              <w:right w:val="single" w:color="000000" w:sz="4" w:space="0"/>
            </w:tcBorders>
            <w:vAlign w:val="center"/>
          </w:tcPr>
          <w:p>
            <w:pPr>
              <w:spacing w:line="240" w:lineRule="exact"/>
              <w:jc w:val="center"/>
              <w:textAlignment w:val="center"/>
              <w:rPr>
                <w:b/>
                <w:bCs/>
                <w:color w:val="000000"/>
                <w:sz w:val="18"/>
                <w:szCs w:val="18"/>
              </w:rPr>
            </w:pPr>
            <w:r>
              <w:rPr>
                <w:rFonts w:hint="eastAsia" w:hAnsi="宋体" w:cs="宋体"/>
                <w:b/>
                <w:bCs/>
                <w:color w:val="000000"/>
                <w:sz w:val="18"/>
                <w:szCs w:val="18"/>
              </w:rPr>
              <w:t>项目绩效目标</w:t>
            </w:r>
          </w:p>
        </w:tc>
      </w:tr>
      <w:tr>
        <w:tblPrEx>
          <w:tblLayout w:type="fixed"/>
          <w:tblCellMar>
            <w:top w:w="15" w:type="dxa"/>
            <w:left w:w="15" w:type="dxa"/>
            <w:bottom w:w="15" w:type="dxa"/>
            <w:right w:w="15" w:type="dxa"/>
          </w:tblCellMar>
        </w:tblPrEx>
        <w:trPr>
          <w:trHeight w:val="777" w:hRule="atLeast"/>
          <w:tblHeader/>
        </w:trPr>
        <w:tc>
          <w:tcPr>
            <w:tcW w:w="94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b/>
                <w:bCs/>
                <w:color w:val="000000"/>
                <w:sz w:val="18"/>
                <w:szCs w:val="18"/>
              </w:rPr>
            </w:pPr>
          </w:p>
        </w:tc>
        <w:tc>
          <w:tcPr>
            <w:tcW w:w="1470" w:type="dxa"/>
            <w:vMerge w:val="continue"/>
            <w:tcBorders>
              <w:top w:val="single" w:color="000000" w:sz="4" w:space="0"/>
              <w:left w:val="nil"/>
              <w:bottom w:val="nil"/>
              <w:right w:val="single" w:color="000000" w:sz="4" w:space="0"/>
            </w:tcBorders>
            <w:vAlign w:val="center"/>
          </w:tcPr>
          <w:p>
            <w:pPr>
              <w:widowControl/>
              <w:spacing w:line="240" w:lineRule="exact"/>
              <w:jc w:val="left"/>
              <w:rPr>
                <w:b/>
                <w:bCs/>
                <w:color w:val="000000"/>
                <w:sz w:val="18"/>
                <w:szCs w:val="18"/>
              </w:rPr>
            </w:pPr>
          </w:p>
        </w:tc>
        <w:tc>
          <w:tcPr>
            <w:tcW w:w="720" w:type="dxa"/>
            <w:tcBorders>
              <w:top w:val="single" w:color="000000" w:sz="4" w:space="0"/>
              <w:left w:val="nil"/>
              <w:bottom w:val="single" w:color="000000" w:sz="4" w:space="0"/>
              <w:right w:val="single" w:color="000000" w:sz="4" w:space="0"/>
            </w:tcBorders>
            <w:vAlign w:val="center"/>
          </w:tcPr>
          <w:p>
            <w:pPr>
              <w:spacing w:line="240" w:lineRule="exact"/>
              <w:jc w:val="center"/>
              <w:textAlignment w:val="center"/>
              <w:rPr>
                <w:b/>
                <w:bCs/>
                <w:color w:val="000000"/>
                <w:sz w:val="18"/>
                <w:szCs w:val="18"/>
              </w:rPr>
            </w:pPr>
            <w:r>
              <w:rPr>
                <w:rFonts w:hint="eastAsia" w:hAnsi="Arial" w:cs="宋体"/>
                <w:b/>
                <w:bCs/>
                <w:color w:val="000000"/>
                <w:sz w:val="18"/>
                <w:szCs w:val="18"/>
              </w:rPr>
              <w:t>一般公共预算拨款收入</w:t>
            </w:r>
          </w:p>
        </w:tc>
        <w:tc>
          <w:tcPr>
            <w:tcW w:w="1139" w:type="dxa"/>
            <w:tcBorders>
              <w:top w:val="single" w:color="000000" w:sz="4" w:space="0"/>
              <w:left w:val="nil"/>
              <w:bottom w:val="single" w:color="000000" w:sz="4" w:space="0"/>
              <w:right w:val="single" w:color="000000" w:sz="4" w:space="0"/>
            </w:tcBorders>
            <w:vAlign w:val="center"/>
          </w:tcPr>
          <w:p>
            <w:pPr>
              <w:spacing w:line="240" w:lineRule="exact"/>
              <w:jc w:val="center"/>
              <w:textAlignment w:val="center"/>
              <w:rPr>
                <w:b/>
                <w:bCs/>
                <w:color w:val="000000"/>
                <w:sz w:val="18"/>
                <w:szCs w:val="18"/>
              </w:rPr>
            </w:pPr>
            <w:r>
              <w:rPr>
                <w:rFonts w:hint="eastAsia" w:hAnsi="Arial" w:cs="宋体"/>
                <w:b/>
                <w:bCs/>
                <w:color w:val="000000"/>
                <w:sz w:val="18"/>
                <w:szCs w:val="18"/>
              </w:rPr>
              <w:t>政府性基金预算拨款</w:t>
            </w:r>
          </w:p>
        </w:tc>
        <w:tc>
          <w:tcPr>
            <w:tcW w:w="480" w:type="dxa"/>
            <w:tcBorders>
              <w:top w:val="single" w:color="000000" w:sz="4" w:space="0"/>
              <w:left w:val="nil"/>
              <w:bottom w:val="single" w:color="000000" w:sz="4" w:space="0"/>
              <w:right w:val="single" w:color="000000" w:sz="4" w:space="0"/>
            </w:tcBorders>
            <w:vAlign w:val="center"/>
          </w:tcPr>
          <w:p>
            <w:pPr>
              <w:spacing w:line="240" w:lineRule="exact"/>
              <w:jc w:val="center"/>
              <w:textAlignment w:val="center"/>
              <w:rPr>
                <w:b/>
                <w:bCs/>
                <w:color w:val="000000"/>
                <w:sz w:val="18"/>
                <w:szCs w:val="18"/>
              </w:rPr>
            </w:pPr>
            <w:r>
              <w:rPr>
                <w:rFonts w:hint="eastAsia" w:hAnsi="Arial" w:cs="宋体"/>
                <w:b/>
                <w:bCs/>
                <w:color w:val="000000"/>
                <w:sz w:val="18"/>
                <w:szCs w:val="18"/>
              </w:rPr>
              <w:t>省补助收入</w:t>
            </w:r>
          </w:p>
        </w:tc>
        <w:tc>
          <w:tcPr>
            <w:tcW w:w="540" w:type="dxa"/>
            <w:tcBorders>
              <w:top w:val="single" w:color="000000" w:sz="4" w:space="0"/>
              <w:left w:val="nil"/>
              <w:bottom w:val="single" w:color="000000" w:sz="4" w:space="0"/>
              <w:right w:val="single" w:color="000000" w:sz="4" w:space="0"/>
            </w:tcBorders>
            <w:vAlign w:val="center"/>
          </w:tcPr>
          <w:p>
            <w:pPr>
              <w:spacing w:line="240" w:lineRule="exact"/>
              <w:jc w:val="center"/>
              <w:textAlignment w:val="center"/>
              <w:rPr>
                <w:b/>
                <w:bCs/>
                <w:color w:val="000000"/>
                <w:sz w:val="18"/>
                <w:szCs w:val="18"/>
              </w:rPr>
            </w:pPr>
            <w:r>
              <w:rPr>
                <w:rFonts w:hint="eastAsia" w:hAnsi="Arial" w:cs="宋体"/>
                <w:b/>
                <w:bCs/>
                <w:color w:val="000000"/>
                <w:sz w:val="18"/>
                <w:szCs w:val="18"/>
              </w:rPr>
              <w:t>调入资金</w:t>
            </w:r>
          </w:p>
        </w:tc>
        <w:tc>
          <w:tcPr>
            <w:tcW w:w="540" w:type="dxa"/>
            <w:tcBorders>
              <w:top w:val="single" w:color="000000" w:sz="4" w:space="0"/>
              <w:left w:val="nil"/>
              <w:bottom w:val="single" w:color="000000" w:sz="4" w:space="0"/>
              <w:right w:val="single" w:color="000000" w:sz="4" w:space="0"/>
            </w:tcBorders>
            <w:vAlign w:val="center"/>
          </w:tcPr>
          <w:p>
            <w:pPr>
              <w:spacing w:line="240" w:lineRule="exact"/>
              <w:jc w:val="center"/>
              <w:textAlignment w:val="center"/>
              <w:rPr>
                <w:b/>
                <w:bCs/>
                <w:color w:val="000000"/>
                <w:sz w:val="18"/>
                <w:szCs w:val="18"/>
              </w:rPr>
            </w:pPr>
            <w:r>
              <w:rPr>
                <w:rFonts w:hint="eastAsia" w:hAnsi="Arial" w:cs="宋体"/>
                <w:b/>
                <w:bCs/>
                <w:color w:val="000000"/>
                <w:sz w:val="18"/>
                <w:szCs w:val="18"/>
              </w:rPr>
              <w:t>上年结转</w:t>
            </w:r>
          </w:p>
        </w:tc>
        <w:tc>
          <w:tcPr>
            <w:tcW w:w="555" w:type="dxa"/>
            <w:vMerge w:val="continue"/>
            <w:tcBorders>
              <w:top w:val="single" w:color="000000" w:sz="4" w:space="0"/>
              <w:left w:val="nil"/>
              <w:bottom w:val="nil"/>
              <w:right w:val="single" w:color="000000" w:sz="4" w:space="0"/>
            </w:tcBorders>
            <w:vAlign w:val="center"/>
          </w:tcPr>
          <w:p>
            <w:pPr>
              <w:widowControl/>
              <w:spacing w:line="240" w:lineRule="exact"/>
              <w:jc w:val="left"/>
              <w:rPr>
                <w:color w:val="000000"/>
                <w:sz w:val="18"/>
                <w:szCs w:val="18"/>
              </w:rPr>
            </w:pPr>
          </w:p>
        </w:tc>
        <w:tc>
          <w:tcPr>
            <w:tcW w:w="630" w:type="dxa"/>
            <w:vMerge w:val="continue"/>
            <w:tcBorders>
              <w:top w:val="single" w:color="000000" w:sz="4" w:space="0"/>
              <w:left w:val="nil"/>
              <w:bottom w:val="nil"/>
              <w:right w:val="single" w:color="000000" w:sz="4" w:space="0"/>
            </w:tcBorders>
            <w:vAlign w:val="center"/>
          </w:tcPr>
          <w:p>
            <w:pPr>
              <w:widowControl/>
              <w:spacing w:line="240" w:lineRule="exact"/>
              <w:jc w:val="left"/>
              <w:rPr>
                <w:color w:val="000000"/>
                <w:sz w:val="18"/>
                <w:szCs w:val="18"/>
              </w:rPr>
            </w:pPr>
          </w:p>
        </w:tc>
        <w:tc>
          <w:tcPr>
            <w:tcW w:w="1050" w:type="dxa"/>
            <w:vMerge w:val="continue"/>
            <w:tcBorders>
              <w:top w:val="single" w:color="000000" w:sz="4" w:space="0"/>
              <w:left w:val="nil"/>
              <w:bottom w:val="nil"/>
              <w:right w:val="single" w:color="000000" w:sz="4" w:space="0"/>
            </w:tcBorders>
            <w:vAlign w:val="center"/>
          </w:tcPr>
          <w:p>
            <w:pPr>
              <w:widowControl/>
              <w:spacing w:line="240" w:lineRule="exact"/>
              <w:jc w:val="left"/>
              <w:rPr>
                <w:color w:val="000000"/>
                <w:sz w:val="18"/>
                <w:szCs w:val="18"/>
              </w:rPr>
            </w:pPr>
          </w:p>
        </w:tc>
        <w:tc>
          <w:tcPr>
            <w:tcW w:w="420" w:type="dxa"/>
            <w:vMerge w:val="continue"/>
            <w:tcBorders>
              <w:top w:val="single" w:color="000000" w:sz="4" w:space="0"/>
              <w:left w:val="nil"/>
              <w:bottom w:val="nil"/>
              <w:right w:val="single" w:color="000000" w:sz="4" w:space="0"/>
            </w:tcBorders>
            <w:vAlign w:val="center"/>
          </w:tcPr>
          <w:p>
            <w:pPr>
              <w:widowControl/>
              <w:spacing w:line="240" w:lineRule="exact"/>
              <w:jc w:val="left"/>
              <w:rPr>
                <w:color w:val="000000"/>
                <w:sz w:val="18"/>
                <w:szCs w:val="18"/>
              </w:rPr>
            </w:pPr>
          </w:p>
        </w:tc>
        <w:tc>
          <w:tcPr>
            <w:tcW w:w="570" w:type="dxa"/>
            <w:tcBorders>
              <w:top w:val="nil"/>
              <w:left w:val="nil"/>
              <w:bottom w:val="single" w:color="000000" w:sz="4" w:space="0"/>
              <w:right w:val="single" w:color="000000" w:sz="4" w:space="0"/>
            </w:tcBorders>
          </w:tcPr>
          <w:p>
            <w:pPr>
              <w:spacing w:line="240" w:lineRule="exact"/>
              <w:jc w:val="center"/>
              <w:rPr>
                <w:b/>
                <w:bCs/>
                <w:color w:val="000000"/>
                <w:sz w:val="18"/>
                <w:szCs w:val="18"/>
              </w:rPr>
            </w:pPr>
            <w:r>
              <w:rPr>
                <w:rFonts w:hint="eastAsia" w:hAnsi="Arial" w:cs="宋体"/>
                <w:b/>
                <w:bCs/>
                <w:color w:val="000000"/>
                <w:sz w:val="18"/>
                <w:szCs w:val="18"/>
              </w:rPr>
              <w:t>国库其他资金</w:t>
            </w:r>
          </w:p>
        </w:tc>
        <w:tc>
          <w:tcPr>
            <w:tcW w:w="435" w:type="dxa"/>
            <w:vMerge w:val="continue"/>
            <w:tcBorders>
              <w:top w:val="single" w:color="000000" w:sz="4" w:space="0"/>
              <w:left w:val="nil"/>
              <w:bottom w:val="nil"/>
              <w:right w:val="single" w:color="000000" w:sz="4" w:space="0"/>
            </w:tcBorders>
            <w:vAlign w:val="center"/>
          </w:tcPr>
          <w:p>
            <w:pPr>
              <w:widowControl/>
              <w:spacing w:line="240" w:lineRule="exact"/>
              <w:jc w:val="left"/>
              <w:rPr>
                <w:color w:val="000000"/>
                <w:sz w:val="18"/>
                <w:szCs w:val="18"/>
              </w:rPr>
            </w:pPr>
          </w:p>
        </w:tc>
        <w:tc>
          <w:tcPr>
            <w:tcW w:w="1163" w:type="dxa"/>
            <w:vMerge w:val="continue"/>
            <w:tcBorders>
              <w:top w:val="single" w:color="000000" w:sz="4" w:space="0"/>
              <w:left w:val="nil"/>
              <w:bottom w:val="nil"/>
              <w:right w:val="single" w:color="000000" w:sz="4" w:space="0"/>
            </w:tcBorders>
            <w:vAlign w:val="center"/>
          </w:tcPr>
          <w:p>
            <w:pPr>
              <w:widowControl/>
              <w:spacing w:line="240" w:lineRule="exact"/>
              <w:jc w:val="left"/>
              <w:rPr>
                <w:color w:val="000000"/>
                <w:sz w:val="18"/>
                <w:szCs w:val="18"/>
              </w:rPr>
            </w:pPr>
          </w:p>
        </w:tc>
        <w:tc>
          <w:tcPr>
            <w:tcW w:w="3889" w:type="dxa"/>
            <w:vMerge w:val="continue"/>
            <w:tcBorders>
              <w:top w:val="single" w:color="000000" w:sz="4" w:space="0"/>
              <w:left w:val="nil"/>
              <w:bottom w:val="nil"/>
              <w:right w:val="single" w:color="000000" w:sz="4" w:space="0"/>
            </w:tcBorders>
            <w:vAlign w:val="center"/>
          </w:tcPr>
          <w:p>
            <w:pPr>
              <w:widowControl/>
              <w:spacing w:line="240" w:lineRule="exact"/>
              <w:jc w:val="left"/>
              <w:rPr>
                <w:color w:val="000000"/>
                <w:sz w:val="18"/>
                <w:szCs w:val="18"/>
              </w:rPr>
            </w:pPr>
          </w:p>
        </w:tc>
      </w:tr>
      <w:tr>
        <w:tblPrEx>
          <w:tblLayout w:type="fixed"/>
          <w:tblCellMar>
            <w:top w:w="15" w:type="dxa"/>
            <w:left w:w="15" w:type="dxa"/>
            <w:bottom w:w="15" w:type="dxa"/>
            <w:right w:w="15" w:type="dxa"/>
          </w:tblCellMar>
        </w:tblPrEx>
        <w:trPr>
          <w:trHeight w:val="441" w:hRule="atLeast"/>
        </w:trPr>
        <w:tc>
          <w:tcPr>
            <w:tcW w:w="942" w:type="dxa"/>
            <w:tcBorders>
              <w:top w:val="single" w:color="000000" w:sz="4" w:space="0"/>
              <w:left w:val="single" w:color="000000" w:sz="4" w:space="0"/>
              <w:bottom w:val="single" w:color="000000" w:sz="4" w:space="0"/>
              <w:right w:val="single" w:color="000000" w:sz="4" w:space="0"/>
            </w:tcBorders>
            <w:vAlign w:val="bottom"/>
          </w:tcPr>
          <w:p>
            <w:pPr>
              <w:spacing w:line="240" w:lineRule="exact"/>
              <w:jc w:val="left"/>
              <w:textAlignment w:val="bottom"/>
              <w:rPr>
                <w:color w:val="000000"/>
                <w:sz w:val="18"/>
                <w:szCs w:val="18"/>
              </w:rPr>
            </w:pPr>
            <w:r>
              <w:rPr>
                <w:rFonts w:hint="eastAsia" w:hAnsi="Arial" w:cs="宋体"/>
                <w:color w:val="000000"/>
                <w:sz w:val="18"/>
                <w:szCs w:val="18"/>
              </w:rPr>
              <w:t>住建局</w:t>
            </w:r>
          </w:p>
        </w:tc>
        <w:tc>
          <w:tcPr>
            <w:tcW w:w="1470" w:type="dxa"/>
            <w:tcBorders>
              <w:top w:val="single" w:color="000000" w:sz="4" w:space="0"/>
              <w:left w:val="nil"/>
              <w:bottom w:val="single" w:color="000000" w:sz="4" w:space="0"/>
              <w:right w:val="single" w:color="000000" w:sz="4" w:space="0"/>
            </w:tcBorders>
          </w:tcPr>
          <w:p>
            <w:pPr>
              <w:spacing w:line="240" w:lineRule="exact"/>
              <w:jc w:val="left"/>
              <w:textAlignment w:val="bottom"/>
              <w:rPr>
                <w:color w:val="000000"/>
                <w:sz w:val="18"/>
                <w:szCs w:val="18"/>
              </w:rPr>
            </w:pPr>
          </w:p>
        </w:tc>
        <w:tc>
          <w:tcPr>
            <w:tcW w:w="720" w:type="dxa"/>
            <w:tcBorders>
              <w:top w:val="single" w:color="000000" w:sz="4" w:space="0"/>
              <w:left w:val="nil"/>
              <w:bottom w:val="single" w:color="000000" w:sz="4" w:space="0"/>
              <w:right w:val="single" w:color="000000" w:sz="4" w:space="0"/>
            </w:tcBorders>
            <w:vAlign w:val="bottom"/>
          </w:tcPr>
          <w:p>
            <w:pPr>
              <w:spacing w:line="240" w:lineRule="exact"/>
              <w:jc w:val="left"/>
              <w:textAlignment w:val="bottom"/>
              <w:rPr>
                <w:color w:val="000000"/>
                <w:sz w:val="18"/>
                <w:szCs w:val="18"/>
              </w:rPr>
            </w:pPr>
          </w:p>
        </w:tc>
        <w:tc>
          <w:tcPr>
            <w:tcW w:w="1139" w:type="dxa"/>
            <w:tcBorders>
              <w:top w:val="single" w:color="000000" w:sz="4" w:space="0"/>
              <w:left w:val="nil"/>
              <w:bottom w:val="single" w:color="000000" w:sz="4" w:space="0"/>
              <w:right w:val="single" w:color="000000" w:sz="4" w:space="0"/>
            </w:tcBorders>
            <w:vAlign w:val="center"/>
          </w:tcPr>
          <w:p>
            <w:pPr>
              <w:spacing w:line="240" w:lineRule="exact"/>
              <w:jc w:val="right"/>
              <w:textAlignment w:val="bottom"/>
              <w:rPr>
                <w:color w:val="000000"/>
                <w:sz w:val="18"/>
                <w:szCs w:val="18"/>
              </w:rPr>
            </w:pPr>
            <w:r>
              <w:rPr>
                <w:color w:val="000000"/>
                <w:sz w:val="18"/>
                <w:szCs w:val="18"/>
              </w:rPr>
              <w:t>127430000.00</w:t>
            </w:r>
          </w:p>
        </w:tc>
        <w:tc>
          <w:tcPr>
            <w:tcW w:w="480" w:type="dxa"/>
            <w:tcBorders>
              <w:top w:val="single" w:color="000000" w:sz="4" w:space="0"/>
              <w:left w:val="nil"/>
              <w:bottom w:val="single" w:color="000000" w:sz="4" w:space="0"/>
              <w:right w:val="single" w:color="000000" w:sz="4" w:space="0"/>
            </w:tcBorders>
            <w:vAlign w:val="center"/>
          </w:tcPr>
          <w:p>
            <w:pPr>
              <w:spacing w:line="240" w:lineRule="exact"/>
              <w:jc w:val="right"/>
              <w:textAlignment w:val="bottom"/>
              <w:rPr>
                <w:color w:val="000000"/>
                <w:sz w:val="18"/>
                <w:szCs w:val="18"/>
              </w:rPr>
            </w:pPr>
          </w:p>
        </w:tc>
        <w:tc>
          <w:tcPr>
            <w:tcW w:w="54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540" w:type="dxa"/>
            <w:tcBorders>
              <w:top w:val="single" w:color="000000" w:sz="4" w:space="0"/>
              <w:left w:val="nil"/>
              <w:bottom w:val="single" w:color="000000" w:sz="4" w:space="0"/>
              <w:right w:val="single" w:color="000000" w:sz="4" w:space="0"/>
            </w:tcBorders>
            <w:vAlign w:val="center"/>
          </w:tcPr>
          <w:p>
            <w:pPr>
              <w:spacing w:line="240" w:lineRule="exact"/>
              <w:jc w:val="right"/>
              <w:textAlignment w:val="bottom"/>
              <w:rPr>
                <w:color w:val="000000"/>
                <w:sz w:val="18"/>
                <w:szCs w:val="18"/>
              </w:rPr>
            </w:pPr>
          </w:p>
        </w:tc>
        <w:tc>
          <w:tcPr>
            <w:tcW w:w="555"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63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105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r>
              <w:rPr>
                <w:color w:val="000000"/>
                <w:sz w:val="18"/>
                <w:szCs w:val="18"/>
              </w:rPr>
              <w:t>95000000.00</w:t>
            </w:r>
          </w:p>
        </w:tc>
        <w:tc>
          <w:tcPr>
            <w:tcW w:w="42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57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435"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1163" w:type="dxa"/>
            <w:tcBorders>
              <w:top w:val="single" w:color="000000" w:sz="4" w:space="0"/>
              <w:left w:val="nil"/>
              <w:bottom w:val="single" w:color="000000" w:sz="4" w:space="0"/>
              <w:right w:val="single" w:color="000000" w:sz="4" w:space="0"/>
            </w:tcBorders>
            <w:vAlign w:val="center"/>
          </w:tcPr>
          <w:p>
            <w:pPr>
              <w:spacing w:line="240" w:lineRule="exact"/>
              <w:jc w:val="right"/>
              <w:textAlignment w:val="bottom"/>
              <w:rPr>
                <w:color w:val="000000"/>
                <w:sz w:val="18"/>
                <w:szCs w:val="18"/>
              </w:rPr>
            </w:pPr>
            <w:r>
              <w:rPr>
                <w:color w:val="000000"/>
                <w:sz w:val="18"/>
                <w:szCs w:val="18"/>
              </w:rPr>
              <w:t>222430000.00</w:t>
            </w:r>
          </w:p>
        </w:tc>
        <w:tc>
          <w:tcPr>
            <w:tcW w:w="3889" w:type="dxa"/>
            <w:tcBorders>
              <w:top w:val="single" w:color="000000" w:sz="4" w:space="0"/>
              <w:left w:val="nil"/>
              <w:bottom w:val="single" w:color="000000" w:sz="4" w:space="0"/>
              <w:right w:val="single" w:color="000000" w:sz="4" w:space="0"/>
            </w:tcBorders>
          </w:tcPr>
          <w:p>
            <w:pPr>
              <w:spacing w:line="240" w:lineRule="exact"/>
              <w:jc w:val="left"/>
              <w:textAlignment w:val="bottom"/>
              <w:rPr>
                <w:color w:val="000000"/>
                <w:sz w:val="18"/>
                <w:szCs w:val="18"/>
              </w:rPr>
            </w:pPr>
          </w:p>
        </w:tc>
      </w:tr>
      <w:tr>
        <w:tblPrEx>
          <w:tblLayout w:type="fixed"/>
          <w:tblCellMar>
            <w:top w:w="15" w:type="dxa"/>
            <w:left w:w="15" w:type="dxa"/>
            <w:bottom w:w="15" w:type="dxa"/>
            <w:right w:w="15" w:type="dxa"/>
          </w:tblCellMar>
        </w:tblPrEx>
        <w:trPr>
          <w:trHeight w:val="481" w:hRule="atLeast"/>
        </w:trPr>
        <w:tc>
          <w:tcPr>
            <w:tcW w:w="942" w:type="dxa"/>
            <w:tcBorders>
              <w:top w:val="single" w:color="000000" w:sz="4" w:space="0"/>
              <w:left w:val="single" w:color="000000" w:sz="4" w:space="0"/>
              <w:bottom w:val="single" w:color="000000" w:sz="4" w:space="0"/>
              <w:right w:val="single" w:color="000000" w:sz="4" w:space="0"/>
            </w:tcBorders>
            <w:vAlign w:val="bottom"/>
          </w:tcPr>
          <w:p>
            <w:pPr>
              <w:spacing w:line="240" w:lineRule="exact"/>
              <w:ind w:firstLine="180" w:firstLineChars="100"/>
              <w:jc w:val="left"/>
              <w:textAlignment w:val="bottom"/>
              <w:rPr>
                <w:color w:val="000000"/>
                <w:sz w:val="18"/>
                <w:szCs w:val="18"/>
              </w:rPr>
            </w:pPr>
            <w:r>
              <w:rPr>
                <w:rFonts w:hint="eastAsia" w:hAnsi="Arial" w:cs="宋体"/>
                <w:color w:val="000000"/>
                <w:sz w:val="18"/>
                <w:szCs w:val="18"/>
              </w:rPr>
              <w:t>住建局</w:t>
            </w:r>
            <w:r>
              <w:rPr>
                <w:color w:val="000000"/>
                <w:sz w:val="18"/>
                <w:szCs w:val="18"/>
              </w:rPr>
              <w:t>(</w:t>
            </w:r>
            <w:r>
              <w:rPr>
                <w:rFonts w:hint="eastAsia" w:hAnsi="宋体" w:cs="宋体"/>
                <w:color w:val="000000"/>
                <w:sz w:val="18"/>
                <w:szCs w:val="18"/>
              </w:rPr>
              <w:t>本级</w:t>
            </w:r>
            <w:r>
              <w:rPr>
                <w:color w:val="000000"/>
                <w:sz w:val="18"/>
                <w:szCs w:val="18"/>
              </w:rPr>
              <w:t>)</w:t>
            </w:r>
          </w:p>
        </w:tc>
        <w:tc>
          <w:tcPr>
            <w:tcW w:w="1470" w:type="dxa"/>
            <w:tcBorders>
              <w:top w:val="single" w:color="000000" w:sz="4" w:space="0"/>
              <w:left w:val="nil"/>
              <w:bottom w:val="single" w:color="000000" w:sz="4" w:space="0"/>
              <w:right w:val="single" w:color="000000" w:sz="4" w:space="0"/>
            </w:tcBorders>
          </w:tcPr>
          <w:p>
            <w:pPr>
              <w:spacing w:line="240" w:lineRule="exact"/>
              <w:jc w:val="left"/>
              <w:textAlignment w:val="bottom"/>
              <w:rPr>
                <w:color w:val="000000"/>
                <w:sz w:val="18"/>
                <w:szCs w:val="18"/>
              </w:rPr>
            </w:pPr>
          </w:p>
        </w:tc>
        <w:tc>
          <w:tcPr>
            <w:tcW w:w="720" w:type="dxa"/>
            <w:tcBorders>
              <w:top w:val="single" w:color="000000" w:sz="4" w:space="0"/>
              <w:left w:val="nil"/>
              <w:bottom w:val="single" w:color="000000" w:sz="4" w:space="0"/>
              <w:right w:val="single" w:color="000000" w:sz="4" w:space="0"/>
            </w:tcBorders>
            <w:vAlign w:val="bottom"/>
          </w:tcPr>
          <w:p>
            <w:pPr>
              <w:spacing w:line="240" w:lineRule="exact"/>
              <w:jc w:val="left"/>
              <w:textAlignment w:val="bottom"/>
              <w:rPr>
                <w:color w:val="000000"/>
                <w:sz w:val="18"/>
                <w:szCs w:val="18"/>
              </w:rPr>
            </w:pPr>
          </w:p>
        </w:tc>
        <w:tc>
          <w:tcPr>
            <w:tcW w:w="1139" w:type="dxa"/>
            <w:tcBorders>
              <w:top w:val="single" w:color="000000" w:sz="4" w:space="0"/>
              <w:left w:val="nil"/>
              <w:bottom w:val="single" w:color="000000" w:sz="4" w:space="0"/>
              <w:right w:val="single" w:color="000000" w:sz="4" w:space="0"/>
            </w:tcBorders>
            <w:vAlign w:val="center"/>
          </w:tcPr>
          <w:p>
            <w:pPr>
              <w:spacing w:line="240" w:lineRule="exact"/>
              <w:jc w:val="right"/>
              <w:textAlignment w:val="bottom"/>
              <w:rPr>
                <w:color w:val="000000"/>
                <w:sz w:val="18"/>
                <w:szCs w:val="18"/>
              </w:rPr>
            </w:pPr>
            <w:r>
              <w:rPr>
                <w:color w:val="000000"/>
                <w:sz w:val="18"/>
                <w:szCs w:val="18"/>
              </w:rPr>
              <w:t>127430000.00</w:t>
            </w:r>
          </w:p>
        </w:tc>
        <w:tc>
          <w:tcPr>
            <w:tcW w:w="480" w:type="dxa"/>
            <w:tcBorders>
              <w:top w:val="single" w:color="000000" w:sz="4" w:space="0"/>
              <w:left w:val="nil"/>
              <w:bottom w:val="single" w:color="000000" w:sz="4" w:space="0"/>
              <w:right w:val="single" w:color="000000" w:sz="4" w:space="0"/>
            </w:tcBorders>
            <w:vAlign w:val="center"/>
          </w:tcPr>
          <w:p>
            <w:pPr>
              <w:spacing w:line="240" w:lineRule="exact"/>
              <w:jc w:val="right"/>
              <w:textAlignment w:val="bottom"/>
              <w:rPr>
                <w:color w:val="000000"/>
                <w:sz w:val="18"/>
                <w:szCs w:val="18"/>
              </w:rPr>
            </w:pPr>
          </w:p>
        </w:tc>
        <w:tc>
          <w:tcPr>
            <w:tcW w:w="54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540" w:type="dxa"/>
            <w:tcBorders>
              <w:top w:val="single" w:color="000000" w:sz="4" w:space="0"/>
              <w:left w:val="nil"/>
              <w:bottom w:val="single" w:color="000000" w:sz="4" w:space="0"/>
              <w:right w:val="single" w:color="000000" w:sz="4" w:space="0"/>
            </w:tcBorders>
            <w:vAlign w:val="center"/>
          </w:tcPr>
          <w:p>
            <w:pPr>
              <w:spacing w:line="240" w:lineRule="exact"/>
              <w:jc w:val="right"/>
              <w:textAlignment w:val="bottom"/>
              <w:rPr>
                <w:color w:val="000000"/>
                <w:sz w:val="18"/>
                <w:szCs w:val="18"/>
              </w:rPr>
            </w:pPr>
          </w:p>
        </w:tc>
        <w:tc>
          <w:tcPr>
            <w:tcW w:w="555"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63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105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r>
              <w:rPr>
                <w:color w:val="000000"/>
                <w:sz w:val="18"/>
                <w:szCs w:val="18"/>
              </w:rPr>
              <w:t>95000000.00</w:t>
            </w:r>
          </w:p>
        </w:tc>
        <w:tc>
          <w:tcPr>
            <w:tcW w:w="42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57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435"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1163" w:type="dxa"/>
            <w:tcBorders>
              <w:top w:val="single" w:color="000000" w:sz="4" w:space="0"/>
              <w:left w:val="nil"/>
              <w:bottom w:val="single" w:color="000000" w:sz="4" w:space="0"/>
              <w:right w:val="single" w:color="000000" w:sz="4" w:space="0"/>
            </w:tcBorders>
            <w:vAlign w:val="center"/>
          </w:tcPr>
          <w:p>
            <w:pPr>
              <w:spacing w:line="240" w:lineRule="exact"/>
              <w:jc w:val="right"/>
              <w:textAlignment w:val="bottom"/>
              <w:rPr>
                <w:color w:val="000000"/>
                <w:sz w:val="18"/>
                <w:szCs w:val="18"/>
              </w:rPr>
            </w:pPr>
            <w:r>
              <w:rPr>
                <w:color w:val="000000"/>
                <w:sz w:val="18"/>
                <w:szCs w:val="18"/>
              </w:rPr>
              <w:t>222430000.00</w:t>
            </w:r>
          </w:p>
        </w:tc>
        <w:tc>
          <w:tcPr>
            <w:tcW w:w="3889" w:type="dxa"/>
            <w:tcBorders>
              <w:top w:val="single" w:color="000000" w:sz="4" w:space="0"/>
              <w:left w:val="nil"/>
              <w:bottom w:val="single" w:color="000000" w:sz="4" w:space="0"/>
              <w:right w:val="single" w:color="000000" w:sz="4" w:space="0"/>
            </w:tcBorders>
          </w:tcPr>
          <w:p>
            <w:pPr>
              <w:spacing w:line="240" w:lineRule="exact"/>
              <w:jc w:val="left"/>
              <w:textAlignment w:val="bottom"/>
              <w:rPr>
                <w:color w:val="000000"/>
                <w:sz w:val="18"/>
                <w:szCs w:val="18"/>
              </w:rPr>
            </w:pPr>
          </w:p>
        </w:tc>
      </w:tr>
      <w:tr>
        <w:tblPrEx>
          <w:tblLayout w:type="fixed"/>
          <w:tblCellMar>
            <w:top w:w="15" w:type="dxa"/>
            <w:left w:w="15" w:type="dxa"/>
            <w:bottom w:w="15" w:type="dxa"/>
            <w:right w:w="15" w:type="dxa"/>
          </w:tblCellMar>
        </w:tblPrEx>
        <w:trPr>
          <w:trHeight w:val="581" w:hRule="atLeast"/>
        </w:trPr>
        <w:tc>
          <w:tcPr>
            <w:tcW w:w="942" w:type="dxa"/>
            <w:tcBorders>
              <w:top w:val="single" w:color="000000" w:sz="4" w:space="0"/>
              <w:left w:val="single" w:color="000000" w:sz="4" w:space="0"/>
              <w:bottom w:val="single" w:color="000000" w:sz="4" w:space="0"/>
              <w:right w:val="single" w:color="000000" w:sz="4" w:space="0"/>
            </w:tcBorders>
            <w:vAlign w:val="bottom"/>
          </w:tcPr>
          <w:p>
            <w:pPr>
              <w:spacing w:line="240" w:lineRule="exact"/>
              <w:ind w:firstLine="180" w:firstLineChars="100"/>
              <w:jc w:val="left"/>
              <w:textAlignment w:val="bottom"/>
              <w:rPr>
                <w:color w:val="000000"/>
                <w:sz w:val="18"/>
                <w:szCs w:val="18"/>
              </w:rPr>
            </w:pPr>
          </w:p>
        </w:tc>
        <w:tc>
          <w:tcPr>
            <w:tcW w:w="147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color w:val="000000"/>
                <w:sz w:val="18"/>
                <w:szCs w:val="18"/>
              </w:rPr>
            </w:pPr>
            <w:r>
              <w:rPr>
                <w:rFonts w:hint="eastAsia" w:hAnsi="宋体" w:cs="宋体"/>
                <w:color w:val="000000"/>
                <w:kern w:val="0"/>
                <w:sz w:val="18"/>
                <w:szCs w:val="18"/>
              </w:rPr>
              <w:t>经常性绿化养护费（海绵城市设施维护）</w:t>
            </w:r>
          </w:p>
        </w:tc>
        <w:tc>
          <w:tcPr>
            <w:tcW w:w="720" w:type="dxa"/>
            <w:tcBorders>
              <w:top w:val="single" w:color="000000" w:sz="4" w:space="0"/>
              <w:left w:val="nil"/>
              <w:bottom w:val="single" w:color="000000" w:sz="4" w:space="0"/>
              <w:right w:val="single" w:color="000000" w:sz="4" w:space="0"/>
            </w:tcBorders>
            <w:vAlign w:val="center"/>
          </w:tcPr>
          <w:p>
            <w:pPr>
              <w:spacing w:line="240" w:lineRule="exact"/>
              <w:jc w:val="center"/>
              <w:textAlignment w:val="bottom"/>
              <w:rPr>
                <w:color w:val="000000"/>
                <w:sz w:val="18"/>
                <w:szCs w:val="18"/>
              </w:rPr>
            </w:pPr>
          </w:p>
        </w:tc>
        <w:tc>
          <w:tcPr>
            <w:tcW w:w="1139" w:type="dxa"/>
            <w:tcBorders>
              <w:top w:val="single" w:color="000000" w:sz="4" w:space="0"/>
              <w:left w:val="nil"/>
              <w:bottom w:val="single" w:color="000000" w:sz="4" w:space="0"/>
              <w:right w:val="single" w:color="000000" w:sz="4" w:space="0"/>
            </w:tcBorders>
            <w:vAlign w:val="center"/>
          </w:tcPr>
          <w:p>
            <w:pPr>
              <w:spacing w:line="240" w:lineRule="exact"/>
              <w:jc w:val="right"/>
              <w:textAlignment w:val="bottom"/>
              <w:rPr>
                <w:color w:val="000000"/>
                <w:sz w:val="18"/>
                <w:szCs w:val="18"/>
              </w:rPr>
            </w:pPr>
            <w:r>
              <w:rPr>
                <w:color w:val="000000"/>
                <w:sz w:val="18"/>
                <w:szCs w:val="18"/>
              </w:rPr>
              <w:t>19750000.00</w:t>
            </w:r>
          </w:p>
        </w:tc>
        <w:tc>
          <w:tcPr>
            <w:tcW w:w="48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54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54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555"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63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105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42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57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435"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1163" w:type="dxa"/>
            <w:tcBorders>
              <w:top w:val="single" w:color="000000" w:sz="4" w:space="0"/>
              <w:left w:val="nil"/>
              <w:bottom w:val="single" w:color="000000" w:sz="4" w:space="0"/>
              <w:right w:val="single" w:color="000000" w:sz="4" w:space="0"/>
            </w:tcBorders>
            <w:vAlign w:val="center"/>
          </w:tcPr>
          <w:p>
            <w:pPr>
              <w:spacing w:line="240" w:lineRule="exact"/>
              <w:jc w:val="right"/>
              <w:textAlignment w:val="bottom"/>
              <w:rPr>
                <w:color w:val="000000"/>
                <w:sz w:val="18"/>
                <w:szCs w:val="18"/>
              </w:rPr>
            </w:pPr>
            <w:r>
              <w:rPr>
                <w:color w:val="000000"/>
                <w:sz w:val="18"/>
                <w:szCs w:val="18"/>
              </w:rPr>
              <w:t>19750000.00</w:t>
            </w:r>
          </w:p>
        </w:tc>
        <w:tc>
          <w:tcPr>
            <w:tcW w:w="3889"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color w:val="000000"/>
                <w:sz w:val="18"/>
                <w:szCs w:val="18"/>
              </w:rPr>
            </w:pPr>
            <w:r>
              <w:rPr>
                <w:rStyle w:val="20"/>
                <w:rFonts w:hint="eastAsia" w:ascii="Times New Roman"/>
                <w:sz w:val="18"/>
                <w:szCs w:val="18"/>
              </w:rPr>
              <w:t>通过市场化养护管理和自养相结合，加强对绿地（海绵城市设施）的经常性养护管理，切实做好修剪、病虫害防治、土肥水管理、杂草清除、苗木补植及海绵城市设施改造提升、绿地保洁、园林设施维护等养护工作，确保城区园林绿化养护事务中心负责养护的行道树植物、海绵城市设施完好、绿地整洁、设施完好，景观优美。</w:t>
            </w:r>
          </w:p>
        </w:tc>
      </w:tr>
      <w:tr>
        <w:tblPrEx>
          <w:tblLayout w:type="fixed"/>
          <w:tblCellMar>
            <w:top w:w="15" w:type="dxa"/>
            <w:left w:w="15" w:type="dxa"/>
            <w:bottom w:w="15" w:type="dxa"/>
            <w:right w:w="15" w:type="dxa"/>
          </w:tblCellMar>
        </w:tblPrEx>
        <w:trPr>
          <w:trHeight w:val="581" w:hRule="atLeast"/>
        </w:trPr>
        <w:tc>
          <w:tcPr>
            <w:tcW w:w="942" w:type="dxa"/>
            <w:tcBorders>
              <w:top w:val="single" w:color="000000" w:sz="4" w:space="0"/>
              <w:left w:val="single" w:color="000000" w:sz="4" w:space="0"/>
              <w:bottom w:val="single" w:color="000000" w:sz="4" w:space="0"/>
              <w:right w:val="single" w:color="000000" w:sz="4" w:space="0"/>
            </w:tcBorders>
            <w:vAlign w:val="bottom"/>
          </w:tcPr>
          <w:p>
            <w:pPr>
              <w:spacing w:line="240" w:lineRule="exact"/>
              <w:ind w:firstLine="180" w:firstLineChars="100"/>
              <w:jc w:val="left"/>
              <w:textAlignment w:val="bottom"/>
              <w:rPr>
                <w:color w:val="000000"/>
                <w:sz w:val="18"/>
                <w:szCs w:val="18"/>
              </w:rPr>
            </w:pPr>
          </w:p>
        </w:tc>
        <w:tc>
          <w:tcPr>
            <w:tcW w:w="147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color w:val="000000"/>
                <w:sz w:val="18"/>
                <w:szCs w:val="18"/>
              </w:rPr>
            </w:pPr>
            <w:r>
              <w:rPr>
                <w:rFonts w:hint="eastAsia" w:hAnsi="宋体" w:cs="宋体"/>
                <w:color w:val="000000"/>
                <w:kern w:val="0"/>
                <w:sz w:val="18"/>
                <w:szCs w:val="18"/>
              </w:rPr>
              <w:t>农村生活污水治理设施运行维护费及运行状态监测费</w:t>
            </w:r>
          </w:p>
        </w:tc>
        <w:tc>
          <w:tcPr>
            <w:tcW w:w="720" w:type="dxa"/>
            <w:tcBorders>
              <w:top w:val="single" w:color="000000" w:sz="4" w:space="0"/>
              <w:left w:val="nil"/>
              <w:bottom w:val="single" w:color="000000" w:sz="4" w:space="0"/>
              <w:right w:val="single" w:color="000000" w:sz="4" w:space="0"/>
            </w:tcBorders>
            <w:vAlign w:val="center"/>
          </w:tcPr>
          <w:p>
            <w:pPr>
              <w:spacing w:line="240" w:lineRule="exact"/>
              <w:jc w:val="center"/>
              <w:textAlignment w:val="bottom"/>
              <w:rPr>
                <w:color w:val="000000"/>
                <w:sz w:val="18"/>
                <w:szCs w:val="18"/>
              </w:rPr>
            </w:pPr>
          </w:p>
        </w:tc>
        <w:tc>
          <w:tcPr>
            <w:tcW w:w="1139" w:type="dxa"/>
            <w:tcBorders>
              <w:top w:val="single" w:color="000000" w:sz="4" w:space="0"/>
              <w:left w:val="nil"/>
              <w:bottom w:val="single" w:color="000000" w:sz="4" w:space="0"/>
              <w:right w:val="single" w:color="000000" w:sz="4" w:space="0"/>
            </w:tcBorders>
            <w:vAlign w:val="center"/>
          </w:tcPr>
          <w:p>
            <w:pPr>
              <w:spacing w:line="240" w:lineRule="exact"/>
              <w:jc w:val="right"/>
              <w:textAlignment w:val="bottom"/>
              <w:rPr>
                <w:color w:val="000000"/>
                <w:sz w:val="18"/>
                <w:szCs w:val="18"/>
              </w:rPr>
            </w:pPr>
            <w:r>
              <w:rPr>
                <w:color w:val="000000"/>
                <w:sz w:val="18"/>
                <w:szCs w:val="18"/>
              </w:rPr>
              <w:t>13500000.00</w:t>
            </w:r>
          </w:p>
        </w:tc>
        <w:tc>
          <w:tcPr>
            <w:tcW w:w="48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54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54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555"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63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105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42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57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435"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1163" w:type="dxa"/>
            <w:tcBorders>
              <w:top w:val="single" w:color="000000" w:sz="4" w:space="0"/>
              <w:left w:val="nil"/>
              <w:bottom w:val="single" w:color="000000" w:sz="4" w:space="0"/>
              <w:right w:val="single" w:color="000000" w:sz="4" w:space="0"/>
            </w:tcBorders>
            <w:vAlign w:val="center"/>
          </w:tcPr>
          <w:p>
            <w:pPr>
              <w:spacing w:line="240" w:lineRule="exact"/>
              <w:jc w:val="right"/>
              <w:textAlignment w:val="bottom"/>
              <w:rPr>
                <w:color w:val="000000"/>
                <w:sz w:val="18"/>
                <w:szCs w:val="18"/>
              </w:rPr>
            </w:pPr>
            <w:r>
              <w:rPr>
                <w:color w:val="000000"/>
                <w:sz w:val="18"/>
                <w:szCs w:val="18"/>
              </w:rPr>
              <w:t>13500000.00</w:t>
            </w:r>
          </w:p>
          <w:p>
            <w:pPr>
              <w:spacing w:line="240" w:lineRule="exact"/>
              <w:jc w:val="right"/>
              <w:textAlignment w:val="bottom"/>
              <w:rPr>
                <w:color w:val="000000"/>
                <w:sz w:val="18"/>
                <w:szCs w:val="18"/>
              </w:rPr>
            </w:pPr>
          </w:p>
        </w:tc>
        <w:tc>
          <w:tcPr>
            <w:tcW w:w="3889"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color w:val="000000"/>
                <w:sz w:val="18"/>
                <w:szCs w:val="18"/>
              </w:rPr>
            </w:pPr>
            <w:r>
              <w:rPr>
                <w:rFonts w:hint="eastAsia" w:hAnsi="宋体" w:cs="宋体"/>
                <w:color w:val="000000"/>
                <w:kern w:val="0"/>
                <w:sz w:val="18"/>
                <w:szCs w:val="18"/>
              </w:rPr>
              <w:t>通过对农村生活污水治理设施运行维护，保障设施正常运行，出水水质稳定。在全方位、多层次、广覆盖的维护管理下，农村的水环境、生态环境和人居环境得到明显提升和改善。</w:t>
            </w:r>
          </w:p>
        </w:tc>
      </w:tr>
      <w:tr>
        <w:tblPrEx>
          <w:tblLayout w:type="fixed"/>
          <w:tblCellMar>
            <w:top w:w="15" w:type="dxa"/>
            <w:left w:w="15" w:type="dxa"/>
            <w:bottom w:w="15" w:type="dxa"/>
            <w:right w:w="15" w:type="dxa"/>
          </w:tblCellMar>
        </w:tblPrEx>
        <w:trPr>
          <w:trHeight w:val="581" w:hRule="atLeast"/>
        </w:trPr>
        <w:tc>
          <w:tcPr>
            <w:tcW w:w="942" w:type="dxa"/>
            <w:tcBorders>
              <w:top w:val="single" w:color="000000" w:sz="4" w:space="0"/>
              <w:left w:val="single" w:color="000000" w:sz="4" w:space="0"/>
              <w:bottom w:val="single" w:color="000000" w:sz="4" w:space="0"/>
              <w:right w:val="single" w:color="000000" w:sz="4" w:space="0"/>
            </w:tcBorders>
            <w:vAlign w:val="bottom"/>
          </w:tcPr>
          <w:p>
            <w:pPr>
              <w:spacing w:line="240" w:lineRule="exact"/>
              <w:ind w:firstLine="180" w:firstLineChars="100"/>
              <w:jc w:val="left"/>
              <w:textAlignment w:val="bottom"/>
              <w:rPr>
                <w:color w:val="000000"/>
                <w:sz w:val="18"/>
                <w:szCs w:val="18"/>
              </w:rPr>
            </w:pPr>
          </w:p>
        </w:tc>
        <w:tc>
          <w:tcPr>
            <w:tcW w:w="147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color w:val="000000"/>
                <w:sz w:val="18"/>
                <w:szCs w:val="18"/>
              </w:rPr>
            </w:pPr>
            <w:r>
              <w:rPr>
                <w:rFonts w:hint="eastAsia" w:hAnsi="宋体" w:cs="宋体"/>
                <w:color w:val="000000"/>
                <w:kern w:val="0"/>
                <w:sz w:val="18"/>
                <w:szCs w:val="18"/>
              </w:rPr>
              <w:t>农污设施部门提升改造及纳入城污建设</w:t>
            </w:r>
          </w:p>
        </w:tc>
        <w:tc>
          <w:tcPr>
            <w:tcW w:w="720" w:type="dxa"/>
            <w:tcBorders>
              <w:top w:val="single" w:color="000000" w:sz="4" w:space="0"/>
              <w:left w:val="nil"/>
              <w:bottom w:val="single" w:color="000000" w:sz="4" w:space="0"/>
              <w:right w:val="single" w:color="000000" w:sz="4" w:space="0"/>
            </w:tcBorders>
            <w:vAlign w:val="bottom"/>
          </w:tcPr>
          <w:p>
            <w:pPr>
              <w:spacing w:line="240" w:lineRule="exact"/>
              <w:jc w:val="left"/>
              <w:textAlignment w:val="bottom"/>
              <w:rPr>
                <w:color w:val="000000"/>
                <w:sz w:val="18"/>
                <w:szCs w:val="18"/>
              </w:rPr>
            </w:pPr>
          </w:p>
        </w:tc>
        <w:tc>
          <w:tcPr>
            <w:tcW w:w="1139" w:type="dxa"/>
            <w:tcBorders>
              <w:top w:val="single" w:color="000000" w:sz="4" w:space="0"/>
              <w:left w:val="nil"/>
              <w:bottom w:val="single" w:color="000000" w:sz="4" w:space="0"/>
              <w:right w:val="single" w:color="000000" w:sz="4" w:space="0"/>
            </w:tcBorders>
            <w:vAlign w:val="center"/>
          </w:tcPr>
          <w:p>
            <w:pPr>
              <w:spacing w:line="240" w:lineRule="exact"/>
              <w:jc w:val="right"/>
              <w:textAlignment w:val="bottom"/>
              <w:rPr>
                <w:color w:val="000000"/>
                <w:sz w:val="18"/>
                <w:szCs w:val="18"/>
              </w:rPr>
            </w:pPr>
            <w:r>
              <w:rPr>
                <w:color w:val="000000"/>
                <w:sz w:val="18"/>
                <w:szCs w:val="18"/>
              </w:rPr>
              <w:t>23000000.00</w:t>
            </w:r>
          </w:p>
        </w:tc>
        <w:tc>
          <w:tcPr>
            <w:tcW w:w="48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54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54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555"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63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105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r>
              <w:rPr>
                <w:color w:val="000000"/>
                <w:sz w:val="18"/>
                <w:szCs w:val="18"/>
              </w:rPr>
              <w:t>27000000.00</w:t>
            </w:r>
          </w:p>
        </w:tc>
        <w:tc>
          <w:tcPr>
            <w:tcW w:w="42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57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435"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1163" w:type="dxa"/>
            <w:tcBorders>
              <w:top w:val="single" w:color="000000" w:sz="4" w:space="0"/>
              <w:left w:val="nil"/>
              <w:bottom w:val="single" w:color="000000" w:sz="4" w:space="0"/>
              <w:right w:val="single" w:color="000000" w:sz="4" w:space="0"/>
            </w:tcBorders>
            <w:vAlign w:val="center"/>
          </w:tcPr>
          <w:p>
            <w:pPr>
              <w:spacing w:line="240" w:lineRule="exact"/>
              <w:jc w:val="right"/>
              <w:textAlignment w:val="bottom"/>
              <w:rPr>
                <w:color w:val="000000"/>
                <w:sz w:val="18"/>
                <w:szCs w:val="18"/>
              </w:rPr>
            </w:pPr>
            <w:r>
              <w:rPr>
                <w:color w:val="000000"/>
                <w:sz w:val="18"/>
                <w:szCs w:val="18"/>
              </w:rPr>
              <w:t>50000000.00</w:t>
            </w:r>
          </w:p>
        </w:tc>
        <w:tc>
          <w:tcPr>
            <w:tcW w:w="3889"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color w:val="000000"/>
                <w:sz w:val="18"/>
                <w:szCs w:val="18"/>
              </w:rPr>
            </w:pPr>
            <w:r>
              <w:rPr>
                <w:rFonts w:hint="eastAsia" w:hAnsi="Arial" w:cs="宋体"/>
                <w:color w:val="000000"/>
                <w:kern w:val="0"/>
                <w:sz w:val="18"/>
                <w:szCs w:val="18"/>
              </w:rPr>
              <w:t>紧紧围绕</w:t>
            </w:r>
            <w:r>
              <w:rPr>
                <w:color w:val="000000"/>
                <w:kern w:val="0"/>
                <w:sz w:val="18"/>
                <w:szCs w:val="18"/>
              </w:rPr>
              <w:t>“</w:t>
            </w:r>
            <w:r>
              <w:rPr>
                <w:rFonts w:hint="eastAsia" w:hAnsi="Arial" w:cs="宋体"/>
                <w:color w:val="000000"/>
                <w:kern w:val="0"/>
                <w:sz w:val="18"/>
                <w:szCs w:val="18"/>
              </w:rPr>
              <w:t>环境大整治，习惯大变革</w:t>
            </w:r>
            <w:r>
              <w:rPr>
                <w:color w:val="000000"/>
                <w:kern w:val="0"/>
                <w:sz w:val="18"/>
                <w:szCs w:val="18"/>
              </w:rPr>
              <w:t>”</w:t>
            </w:r>
            <w:r>
              <w:rPr>
                <w:rFonts w:hint="eastAsia" w:hAnsi="Arial" w:cs="宋体"/>
                <w:color w:val="000000"/>
                <w:kern w:val="0"/>
                <w:sz w:val="18"/>
                <w:szCs w:val="18"/>
              </w:rPr>
              <w:t>为主题的环境革命，以改善水环境质量为核心，以提升污水处理能力为重点，逐步将有条件的农村生活污水治理设施接入城镇管网，基本实现了城镇污水全收集、全处理、全覆盖，有效提升全市水环境质量。</w:t>
            </w:r>
            <w:r>
              <w:rPr>
                <w:color w:val="000000"/>
                <w:kern w:val="0"/>
                <w:sz w:val="18"/>
                <w:szCs w:val="18"/>
              </w:rPr>
              <w:t>2020</w:t>
            </w:r>
            <w:r>
              <w:rPr>
                <w:rFonts w:hint="eastAsia" w:hAnsi="Arial" w:cs="宋体"/>
                <w:color w:val="000000"/>
                <w:kern w:val="0"/>
                <w:sz w:val="18"/>
                <w:szCs w:val="18"/>
              </w:rPr>
              <w:t>年累计下达</w:t>
            </w:r>
            <w:r>
              <w:rPr>
                <w:color w:val="000000"/>
                <w:kern w:val="0"/>
                <w:sz w:val="18"/>
                <w:szCs w:val="18"/>
              </w:rPr>
              <w:t>2</w:t>
            </w:r>
            <w:r>
              <w:rPr>
                <w:rFonts w:hint="eastAsia" w:hAnsi="Arial" w:cs="宋体"/>
                <w:color w:val="000000"/>
                <w:kern w:val="0"/>
                <w:sz w:val="18"/>
                <w:szCs w:val="18"/>
              </w:rPr>
              <w:t>批农污纳入城污计划，</w:t>
            </w:r>
            <w:r>
              <w:rPr>
                <w:color w:val="000000"/>
                <w:kern w:val="0"/>
                <w:sz w:val="18"/>
                <w:szCs w:val="18"/>
              </w:rPr>
              <w:t>2021</w:t>
            </w:r>
            <w:r>
              <w:rPr>
                <w:rFonts w:hint="eastAsia" w:hAnsi="Arial" w:cs="宋体"/>
                <w:color w:val="000000"/>
                <w:kern w:val="0"/>
                <w:sz w:val="18"/>
                <w:szCs w:val="18"/>
              </w:rPr>
              <w:t>年计划新建松门、箬横、新河、石塘、滨海、温峤、城南、坞根等</w:t>
            </w:r>
            <w:r>
              <w:rPr>
                <w:color w:val="000000"/>
                <w:kern w:val="0"/>
                <w:sz w:val="18"/>
                <w:szCs w:val="18"/>
              </w:rPr>
              <w:t>8</w:t>
            </w:r>
            <w:r>
              <w:rPr>
                <w:rFonts w:hint="eastAsia" w:hAnsi="Arial" w:cs="宋体"/>
                <w:color w:val="000000"/>
                <w:kern w:val="0"/>
                <w:sz w:val="18"/>
                <w:szCs w:val="18"/>
              </w:rPr>
              <w:t>镇农污终端纳入城污，新河</w:t>
            </w:r>
            <w:r>
              <w:rPr>
                <w:color w:val="000000"/>
                <w:kern w:val="0"/>
                <w:sz w:val="18"/>
                <w:szCs w:val="18"/>
              </w:rPr>
              <w:t>37</w:t>
            </w:r>
            <w:r>
              <w:rPr>
                <w:rFonts w:hint="eastAsia" w:hAnsi="Arial" w:cs="宋体"/>
                <w:color w:val="000000"/>
                <w:kern w:val="0"/>
                <w:sz w:val="18"/>
                <w:szCs w:val="18"/>
              </w:rPr>
              <w:t>个村、滨海</w:t>
            </w:r>
            <w:r>
              <w:rPr>
                <w:color w:val="000000"/>
                <w:kern w:val="0"/>
                <w:sz w:val="18"/>
                <w:szCs w:val="18"/>
              </w:rPr>
              <w:t>16</w:t>
            </w:r>
            <w:r>
              <w:rPr>
                <w:rFonts w:hint="eastAsia" w:hAnsi="Arial" w:cs="宋体"/>
                <w:color w:val="000000"/>
                <w:kern w:val="0"/>
                <w:sz w:val="18"/>
                <w:szCs w:val="18"/>
              </w:rPr>
              <w:t>个村完成，其他镇完成</w:t>
            </w:r>
            <w:r>
              <w:rPr>
                <w:color w:val="000000"/>
                <w:kern w:val="0"/>
                <w:sz w:val="18"/>
                <w:szCs w:val="18"/>
              </w:rPr>
              <w:t>30%</w:t>
            </w:r>
            <w:r>
              <w:rPr>
                <w:rFonts w:hint="eastAsia" w:hAnsi="Arial" w:cs="宋体"/>
                <w:color w:val="000000"/>
                <w:kern w:val="0"/>
                <w:sz w:val="18"/>
                <w:szCs w:val="18"/>
              </w:rPr>
              <w:t>。</w:t>
            </w:r>
          </w:p>
        </w:tc>
      </w:tr>
      <w:tr>
        <w:tblPrEx>
          <w:tblLayout w:type="fixed"/>
          <w:tblCellMar>
            <w:top w:w="15" w:type="dxa"/>
            <w:left w:w="15" w:type="dxa"/>
            <w:bottom w:w="15" w:type="dxa"/>
            <w:right w:w="15" w:type="dxa"/>
          </w:tblCellMar>
        </w:tblPrEx>
        <w:trPr>
          <w:trHeight w:val="581" w:hRule="atLeast"/>
        </w:trPr>
        <w:tc>
          <w:tcPr>
            <w:tcW w:w="942" w:type="dxa"/>
            <w:tcBorders>
              <w:top w:val="single" w:color="000000" w:sz="4" w:space="0"/>
              <w:left w:val="single" w:color="000000" w:sz="4" w:space="0"/>
              <w:bottom w:val="single" w:color="000000" w:sz="4" w:space="0"/>
              <w:right w:val="single" w:color="000000" w:sz="4" w:space="0"/>
            </w:tcBorders>
            <w:vAlign w:val="bottom"/>
          </w:tcPr>
          <w:p>
            <w:pPr>
              <w:spacing w:line="240" w:lineRule="exact"/>
              <w:ind w:firstLine="180" w:firstLineChars="100"/>
              <w:jc w:val="left"/>
              <w:textAlignment w:val="bottom"/>
              <w:rPr>
                <w:color w:val="000000"/>
                <w:sz w:val="18"/>
                <w:szCs w:val="18"/>
              </w:rPr>
            </w:pPr>
          </w:p>
        </w:tc>
        <w:tc>
          <w:tcPr>
            <w:tcW w:w="147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color w:val="000000"/>
                <w:sz w:val="18"/>
                <w:szCs w:val="18"/>
              </w:rPr>
            </w:pPr>
            <w:r>
              <w:rPr>
                <w:rFonts w:hint="eastAsia" w:hAnsi="宋体" w:cs="宋体"/>
                <w:color w:val="000000"/>
                <w:kern w:val="0"/>
                <w:sz w:val="18"/>
                <w:szCs w:val="18"/>
              </w:rPr>
              <w:t>市政养护费</w:t>
            </w:r>
            <w:r>
              <w:rPr>
                <w:color w:val="000000"/>
                <w:kern w:val="0"/>
                <w:sz w:val="18"/>
                <w:szCs w:val="18"/>
              </w:rPr>
              <w:t>(</w:t>
            </w:r>
            <w:r>
              <w:rPr>
                <w:rFonts w:hint="eastAsia" w:hAnsi="宋体" w:cs="宋体"/>
                <w:color w:val="000000"/>
                <w:kern w:val="0"/>
                <w:sz w:val="18"/>
                <w:szCs w:val="18"/>
              </w:rPr>
              <w:t>海绵城市设施维护）</w:t>
            </w:r>
          </w:p>
        </w:tc>
        <w:tc>
          <w:tcPr>
            <w:tcW w:w="720" w:type="dxa"/>
            <w:tcBorders>
              <w:top w:val="single" w:color="000000" w:sz="4" w:space="0"/>
              <w:left w:val="nil"/>
              <w:bottom w:val="single" w:color="000000" w:sz="4" w:space="0"/>
              <w:right w:val="single" w:color="000000" w:sz="4" w:space="0"/>
            </w:tcBorders>
            <w:vAlign w:val="bottom"/>
          </w:tcPr>
          <w:p>
            <w:pPr>
              <w:spacing w:line="240" w:lineRule="exact"/>
              <w:jc w:val="left"/>
              <w:textAlignment w:val="bottom"/>
              <w:rPr>
                <w:color w:val="000000"/>
                <w:sz w:val="18"/>
                <w:szCs w:val="18"/>
              </w:rPr>
            </w:pPr>
          </w:p>
        </w:tc>
        <w:tc>
          <w:tcPr>
            <w:tcW w:w="1139" w:type="dxa"/>
            <w:tcBorders>
              <w:top w:val="single" w:color="000000" w:sz="4" w:space="0"/>
              <w:left w:val="nil"/>
              <w:bottom w:val="single" w:color="000000" w:sz="4" w:space="0"/>
              <w:right w:val="single" w:color="000000" w:sz="4" w:space="0"/>
            </w:tcBorders>
            <w:vAlign w:val="center"/>
          </w:tcPr>
          <w:p>
            <w:pPr>
              <w:spacing w:line="240" w:lineRule="exact"/>
              <w:jc w:val="right"/>
              <w:textAlignment w:val="bottom"/>
              <w:rPr>
                <w:color w:val="000000"/>
                <w:sz w:val="18"/>
                <w:szCs w:val="18"/>
              </w:rPr>
            </w:pPr>
            <w:r>
              <w:rPr>
                <w:color w:val="000000"/>
                <w:sz w:val="18"/>
                <w:szCs w:val="18"/>
              </w:rPr>
              <w:t>28180000.00</w:t>
            </w:r>
          </w:p>
        </w:tc>
        <w:tc>
          <w:tcPr>
            <w:tcW w:w="48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54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54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555"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63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105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42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57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435"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1163" w:type="dxa"/>
            <w:tcBorders>
              <w:top w:val="single" w:color="000000" w:sz="4" w:space="0"/>
              <w:left w:val="nil"/>
              <w:bottom w:val="single" w:color="000000" w:sz="4" w:space="0"/>
              <w:right w:val="single" w:color="000000" w:sz="4" w:space="0"/>
            </w:tcBorders>
            <w:vAlign w:val="center"/>
          </w:tcPr>
          <w:p>
            <w:pPr>
              <w:spacing w:line="240" w:lineRule="exact"/>
              <w:jc w:val="right"/>
              <w:textAlignment w:val="bottom"/>
              <w:rPr>
                <w:color w:val="000000"/>
                <w:sz w:val="18"/>
                <w:szCs w:val="18"/>
              </w:rPr>
            </w:pPr>
            <w:r>
              <w:rPr>
                <w:color w:val="000000"/>
                <w:sz w:val="18"/>
                <w:szCs w:val="18"/>
              </w:rPr>
              <w:t>28180000.00</w:t>
            </w:r>
          </w:p>
        </w:tc>
        <w:tc>
          <w:tcPr>
            <w:tcW w:w="3889"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color w:val="000000"/>
                <w:sz w:val="18"/>
                <w:szCs w:val="18"/>
              </w:rPr>
            </w:pPr>
            <w:r>
              <w:rPr>
                <w:rStyle w:val="22"/>
                <w:rFonts w:hint="eastAsia" w:ascii="Times New Roman"/>
                <w:sz w:val="18"/>
                <w:szCs w:val="18"/>
              </w:rPr>
              <w:t>养护市政道路</w:t>
            </w:r>
            <w:r>
              <w:rPr>
                <w:color w:val="000000"/>
                <w:kern w:val="0"/>
                <w:sz w:val="18"/>
                <w:szCs w:val="18"/>
              </w:rPr>
              <w:t>487.5</w:t>
            </w:r>
            <w:r>
              <w:rPr>
                <w:rStyle w:val="22"/>
                <w:rFonts w:hint="eastAsia" w:ascii="Times New Roman"/>
                <w:sz w:val="18"/>
                <w:szCs w:val="18"/>
              </w:rPr>
              <w:t>万平方米；维修设备设施规范率</w:t>
            </w:r>
            <w:r>
              <w:rPr>
                <w:color w:val="000000"/>
                <w:kern w:val="0"/>
                <w:sz w:val="18"/>
                <w:szCs w:val="18"/>
              </w:rPr>
              <w:t>≧</w:t>
            </w:r>
            <w:r>
              <w:rPr>
                <w:rStyle w:val="22"/>
                <w:rFonts w:ascii="Times New Roman" w:hAnsi="Times New Roman" w:cs="Times New Roman"/>
                <w:sz w:val="18"/>
                <w:szCs w:val="18"/>
              </w:rPr>
              <w:t>98%</w:t>
            </w:r>
            <w:r>
              <w:rPr>
                <w:rStyle w:val="22"/>
                <w:rFonts w:hint="eastAsia" w:ascii="Times New Roman"/>
                <w:sz w:val="18"/>
                <w:szCs w:val="18"/>
              </w:rPr>
              <w:t>；全年完成日常养护面积占维修计划比例</w:t>
            </w:r>
            <w:r>
              <w:rPr>
                <w:color w:val="000000"/>
                <w:kern w:val="0"/>
                <w:sz w:val="18"/>
                <w:szCs w:val="18"/>
              </w:rPr>
              <w:t>≧</w:t>
            </w:r>
            <w:r>
              <w:rPr>
                <w:rStyle w:val="22"/>
                <w:rFonts w:ascii="Times New Roman" w:hAnsi="Times New Roman" w:cs="Times New Roman"/>
                <w:sz w:val="18"/>
                <w:szCs w:val="18"/>
              </w:rPr>
              <w:t>98%</w:t>
            </w:r>
            <w:r>
              <w:rPr>
                <w:rStyle w:val="22"/>
                <w:rFonts w:hint="eastAsia" w:ascii="Times New Roman"/>
                <w:sz w:val="18"/>
                <w:szCs w:val="18"/>
              </w:rPr>
              <w:t>。通过对道路路面及时修复，市政设施发现隐患及时维修，提升路面质量，提高城市品质，优化环境，保障市民的出行安全。</w:t>
            </w:r>
          </w:p>
        </w:tc>
      </w:tr>
      <w:tr>
        <w:tblPrEx>
          <w:tblLayout w:type="fixed"/>
          <w:tblCellMar>
            <w:top w:w="15" w:type="dxa"/>
            <w:left w:w="15" w:type="dxa"/>
            <w:bottom w:w="15" w:type="dxa"/>
            <w:right w:w="15" w:type="dxa"/>
          </w:tblCellMar>
        </w:tblPrEx>
        <w:trPr>
          <w:trHeight w:val="581" w:hRule="atLeast"/>
        </w:trPr>
        <w:tc>
          <w:tcPr>
            <w:tcW w:w="942" w:type="dxa"/>
            <w:tcBorders>
              <w:top w:val="single" w:color="000000" w:sz="4" w:space="0"/>
              <w:left w:val="single" w:color="000000" w:sz="4" w:space="0"/>
              <w:bottom w:val="single" w:color="000000" w:sz="4" w:space="0"/>
              <w:right w:val="single" w:color="000000" w:sz="4" w:space="0"/>
            </w:tcBorders>
            <w:vAlign w:val="bottom"/>
          </w:tcPr>
          <w:p>
            <w:pPr>
              <w:spacing w:line="240" w:lineRule="exact"/>
              <w:ind w:firstLine="180" w:firstLineChars="100"/>
              <w:jc w:val="left"/>
              <w:textAlignment w:val="bottom"/>
              <w:rPr>
                <w:color w:val="000000"/>
                <w:sz w:val="18"/>
                <w:szCs w:val="18"/>
              </w:rPr>
            </w:pPr>
          </w:p>
        </w:tc>
        <w:tc>
          <w:tcPr>
            <w:tcW w:w="147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color w:val="000000"/>
                <w:sz w:val="18"/>
                <w:szCs w:val="18"/>
              </w:rPr>
            </w:pPr>
            <w:r>
              <w:rPr>
                <w:rFonts w:hint="eastAsia" w:hAnsi="宋体" w:cs="宋体"/>
                <w:color w:val="000000"/>
                <w:kern w:val="0"/>
                <w:sz w:val="18"/>
                <w:szCs w:val="18"/>
              </w:rPr>
              <w:t>污水零直排建设工程</w:t>
            </w:r>
          </w:p>
        </w:tc>
        <w:tc>
          <w:tcPr>
            <w:tcW w:w="720" w:type="dxa"/>
            <w:tcBorders>
              <w:top w:val="single" w:color="000000" w:sz="4" w:space="0"/>
              <w:left w:val="nil"/>
              <w:bottom w:val="single" w:color="000000" w:sz="4" w:space="0"/>
              <w:right w:val="single" w:color="000000" w:sz="4" w:space="0"/>
            </w:tcBorders>
            <w:vAlign w:val="bottom"/>
          </w:tcPr>
          <w:p>
            <w:pPr>
              <w:spacing w:line="240" w:lineRule="exact"/>
              <w:jc w:val="left"/>
              <w:textAlignment w:val="bottom"/>
              <w:rPr>
                <w:color w:val="000000"/>
                <w:sz w:val="18"/>
                <w:szCs w:val="18"/>
              </w:rPr>
            </w:pPr>
          </w:p>
        </w:tc>
        <w:tc>
          <w:tcPr>
            <w:tcW w:w="1139" w:type="dxa"/>
            <w:tcBorders>
              <w:top w:val="single" w:color="000000" w:sz="4" w:space="0"/>
              <w:left w:val="nil"/>
              <w:bottom w:val="single" w:color="000000" w:sz="4" w:space="0"/>
              <w:right w:val="single" w:color="000000" w:sz="4" w:space="0"/>
            </w:tcBorders>
            <w:vAlign w:val="center"/>
          </w:tcPr>
          <w:p>
            <w:pPr>
              <w:spacing w:line="240" w:lineRule="exact"/>
              <w:jc w:val="right"/>
              <w:textAlignment w:val="bottom"/>
              <w:rPr>
                <w:color w:val="000000"/>
                <w:sz w:val="18"/>
                <w:szCs w:val="18"/>
              </w:rPr>
            </w:pPr>
            <w:r>
              <w:rPr>
                <w:color w:val="000000"/>
                <w:sz w:val="18"/>
                <w:szCs w:val="18"/>
              </w:rPr>
              <w:t>32000000.00</w:t>
            </w:r>
          </w:p>
        </w:tc>
        <w:tc>
          <w:tcPr>
            <w:tcW w:w="48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54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54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555"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63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105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r>
              <w:rPr>
                <w:color w:val="000000"/>
                <w:sz w:val="18"/>
                <w:szCs w:val="18"/>
              </w:rPr>
              <w:t>49000000.00</w:t>
            </w:r>
          </w:p>
        </w:tc>
        <w:tc>
          <w:tcPr>
            <w:tcW w:w="42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57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435"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1163" w:type="dxa"/>
            <w:tcBorders>
              <w:top w:val="single" w:color="000000" w:sz="4" w:space="0"/>
              <w:left w:val="nil"/>
              <w:bottom w:val="single" w:color="000000" w:sz="4" w:space="0"/>
              <w:right w:val="single" w:color="000000" w:sz="4" w:space="0"/>
            </w:tcBorders>
            <w:vAlign w:val="center"/>
          </w:tcPr>
          <w:p>
            <w:pPr>
              <w:spacing w:line="240" w:lineRule="exact"/>
              <w:jc w:val="right"/>
              <w:textAlignment w:val="bottom"/>
              <w:rPr>
                <w:color w:val="000000"/>
                <w:sz w:val="18"/>
                <w:szCs w:val="18"/>
              </w:rPr>
            </w:pPr>
            <w:r>
              <w:rPr>
                <w:color w:val="000000"/>
                <w:sz w:val="18"/>
                <w:szCs w:val="18"/>
              </w:rPr>
              <w:t>81000000.00</w:t>
            </w:r>
          </w:p>
        </w:tc>
        <w:tc>
          <w:tcPr>
            <w:tcW w:w="3889"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color w:val="000000"/>
                <w:sz w:val="18"/>
                <w:szCs w:val="18"/>
              </w:rPr>
            </w:pPr>
            <w:r>
              <w:rPr>
                <w:rFonts w:hint="eastAsia" w:hAnsi="宋体" w:cs="宋体"/>
                <w:color w:val="000000"/>
                <w:kern w:val="0"/>
                <w:sz w:val="18"/>
                <w:szCs w:val="18"/>
              </w:rPr>
              <w:t>紧紧围绕</w:t>
            </w:r>
            <w:r>
              <w:rPr>
                <w:color w:val="000000"/>
                <w:kern w:val="0"/>
                <w:sz w:val="18"/>
                <w:szCs w:val="18"/>
              </w:rPr>
              <w:t>“</w:t>
            </w:r>
            <w:r>
              <w:rPr>
                <w:rFonts w:hint="eastAsia" w:hAnsi="宋体" w:cs="宋体"/>
                <w:color w:val="000000"/>
                <w:kern w:val="0"/>
                <w:sz w:val="18"/>
                <w:szCs w:val="18"/>
              </w:rPr>
              <w:t>环境大整治，习惯大变革</w:t>
            </w:r>
            <w:r>
              <w:rPr>
                <w:color w:val="000000"/>
                <w:kern w:val="0"/>
                <w:sz w:val="18"/>
                <w:szCs w:val="18"/>
              </w:rPr>
              <w:t>”</w:t>
            </w:r>
            <w:r>
              <w:rPr>
                <w:rFonts w:hint="eastAsia" w:hAnsi="宋体" w:cs="宋体"/>
                <w:color w:val="000000"/>
                <w:kern w:val="0"/>
                <w:sz w:val="18"/>
                <w:szCs w:val="18"/>
              </w:rPr>
              <w:t>为主题的环境革命，以改善水环境质量为核心，以提升污水处理能力为重点，扎实推进污水零直排建设，通过城镇污水处理设施建设，基本实现了城镇污水全收集、全处理、全覆盖，有效提升全市水环境质量。</w:t>
            </w:r>
          </w:p>
        </w:tc>
      </w:tr>
      <w:tr>
        <w:tblPrEx>
          <w:tblLayout w:type="fixed"/>
          <w:tblCellMar>
            <w:top w:w="15" w:type="dxa"/>
            <w:left w:w="15" w:type="dxa"/>
            <w:bottom w:w="15" w:type="dxa"/>
            <w:right w:w="15" w:type="dxa"/>
          </w:tblCellMar>
        </w:tblPrEx>
        <w:trPr>
          <w:trHeight w:val="581" w:hRule="atLeast"/>
        </w:trPr>
        <w:tc>
          <w:tcPr>
            <w:tcW w:w="942" w:type="dxa"/>
            <w:tcBorders>
              <w:top w:val="single" w:color="000000" w:sz="4" w:space="0"/>
              <w:left w:val="single" w:color="000000" w:sz="4" w:space="0"/>
              <w:bottom w:val="single" w:color="000000" w:sz="4" w:space="0"/>
              <w:right w:val="single" w:color="000000" w:sz="4" w:space="0"/>
            </w:tcBorders>
            <w:vAlign w:val="bottom"/>
          </w:tcPr>
          <w:p>
            <w:pPr>
              <w:spacing w:line="240" w:lineRule="exact"/>
              <w:ind w:firstLine="180" w:firstLineChars="100"/>
              <w:jc w:val="left"/>
              <w:textAlignment w:val="bottom"/>
              <w:rPr>
                <w:color w:val="000000"/>
                <w:sz w:val="18"/>
                <w:szCs w:val="18"/>
              </w:rPr>
            </w:pPr>
          </w:p>
        </w:tc>
        <w:tc>
          <w:tcPr>
            <w:tcW w:w="147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color w:val="000000"/>
                <w:sz w:val="18"/>
                <w:szCs w:val="18"/>
              </w:rPr>
            </w:pPr>
            <w:r>
              <w:rPr>
                <w:rFonts w:hint="eastAsia" w:hAnsi="宋体" w:cs="宋体"/>
                <w:color w:val="000000"/>
                <w:kern w:val="0"/>
                <w:sz w:val="18"/>
                <w:szCs w:val="18"/>
              </w:rPr>
              <w:t>镇级污水处理设施及城镇覆盖村污水管网建设</w:t>
            </w:r>
          </w:p>
        </w:tc>
        <w:tc>
          <w:tcPr>
            <w:tcW w:w="720" w:type="dxa"/>
            <w:tcBorders>
              <w:top w:val="single" w:color="000000" w:sz="4" w:space="0"/>
              <w:left w:val="nil"/>
              <w:bottom w:val="single" w:color="000000" w:sz="4" w:space="0"/>
              <w:right w:val="single" w:color="000000" w:sz="4" w:space="0"/>
            </w:tcBorders>
            <w:vAlign w:val="bottom"/>
          </w:tcPr>
          <w:p>
            <w:pPr>
              <w:spacing w:line="240" w:lineRule="exact"/>
              <w:jc w:val="left"/>
              <w:textAlignment w:val="bottom"/>
              <w:rPr>
                <w:color w:val="000000"/>
                <w:sz w:val="18"/>
                <w:szCs w:val="18"/>
              </w:rPr>
            </w:pPr>
          </w:p>
        </w:tc>
        <w:tc>
          <w:tcPr>
            <w:tcW w:w="1139" w:type="dxa"/>
            <w:tcBorders>
              <w:top w:val="single" w:color="000000" w:sz="4" w:space="0"/>
              <w:left w:val="nil"/>
              <w:bottom w:val="single" w:color="000000" w:sz="4" w:space="0"/>
              <w:right w:val="single" w:color="000000" w:sz="4" w:space="0"/>
            </w:tcBorders>
            <w:vAlign w:val="center"/>
          </w:tcPr>
          <w:p>
            <w:pPr>
              <w:spacing w:line="240" w:lineRule="exact"/>
              <w:jc w:val="right"/>
              <w:textAlignment w:val="bottom"/>
              <w:rPr>
                <w:color w:val="000000"/>
                <w:sz w:val="18"/>
                <w:szCs w:val="18"/>
              </w:rPr>
            </w:pPr>
            <w:r>
              <w:rPr>
                <w:color w:val="000000"/>
                <w:sz w:val="18"/>
                <w:szCs w:val="18"/>
              </w:rPr>
              <w:t>11000000.00</w:t>
            </w:r>
          </w:p>
        </w:tc>
        <w:tc>
          <w:tcPr>
            <w:tcW w:w="48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54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54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555"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63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105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r>
              <w:rPr>
                <w:color w:val="000000"/>
                <w:sz w:val="18"/>
                <w:szCs w:val="18"/>
              </w:rPr>
              <w:t>19000000.00</w:t>
            </w:r>
          </w:p>
        </w:tc>
        <w:tc>
          <w:tcPr>
            <w:tcW w:w="42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570"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435" w:type="dxa"/>
            <w:tcBorders>
              <w:top w:val="single" w:color="000000" w:sz="4" w:space="0"/>
              <w:left w:val="nil"/>
              <w:bottom w:val="single" w:color="000000" w:sz="4" w:space="0"/>
              <w:right w:val="single" w:color="000000" w:sz="4" w:space="0"/>
            </w:tcBorders>
            <w:vAlign w:val="center"/>
          </w:tcPr>
          <w:p>
            <w:pPr>
              <w:spacing w:line="240" w:lineRule="exact"/>
              <w:jc w:val="right"/>
              <w:rPr>
                <w:color w:val="000000"/>
                <w:sz w:val="18"/>
                <w:szCs w:val="18"/>
              </w:rPr>
            </w:pPr>
          </w:p>
        </w:tc>
        <w:tc>
          <w:tcPr>
            <w:tcW w:w="1163" w:type="dxa"/>
            <w:tcBorders>
              <w:top w:val="single" w:color="000000" w:sz="4" w:space="0"/>
              <w:left w:val="nil"/>
              <w:bottom w:val="single" w:color="000000" w:sz="4" w:space="0"/>
              <w:right w:val="single" w:color="000000" w:sz="4" w:space="0"/>
            </w:tcBorders>
            <w:vAlign w:val="center"/>
          </w:tcPr>
          <w:p>
            <w:pPr>
              <w:spacing w:line="240" w:lineRule="exact"/>
              <w:jc w:val="right"/>
              <w:textAlignment w:val="bottom"/>
              <w:rPr>
                <w:color w:val="000000"/>
                <w:sz w:val="18"/>
                <w:szCs w:val="18"/>
              </w:rPr>
            </w:pPr>
            <w:r>
              <w:rPr>
                <w:color w:val="000000"/>
                <w:sz w:val="18"/>
                <w:szCs w:val="18"/>
              </w:rPr>
              <w:t>30000000.00</w:t>
            </w:r>
          </w:p>
        </w:tc>
        <w:tc>
          <w:tcPr>
            <w:tcW w:w="3889"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color w:val="000000"/>
                <w:sz w:val="18"/>
                <w:szCs w:val="18"/>
              </w:rPr>
            </w:pPr>
            <w:r>
              <w:rPr>
                <w:rFonts w:hint="eastAsia" w:hAnsi="Arial" w:cs="宋体"/>
                <w:color w:val="000000"/>
                <w:kern w:val="0"/>
                <w:sz w:val="18"/>
                <w:szCs w:val="18"/>
              </w:rPr>
              <w:t>坚持治污为先，以污水厂提标改造、主管网和泵站建设、城镇覆盖村截污纳管为抓手，较好地完成城镇截污纳管目标任务，着力推动水环境整治。</w:t>
            </w:r>
          </w:p>
        </w:tc>
      </w:tr>
    </w:tbl>
    <w:p>
      <w:pPr>
        <w:pStyle w:val="17"/>
        <w:ind w:firstLine="300" w:firstLineChars="150"/>
        <w:rPr>
          <w:rFonts w:ascii="宋体" w:cs="Times New Roman"/>
          <w:sz w:val="20"/>
          <w:szCs w:val="20"/>
        </w:rPr>
      </w:pPr>
    </w:p>
    <w:p>
      <w:pPr>
        <w:pStyle w:val="17"/>
        <w:spacing w:line="320" w:lineRule="exact"/>
        <w:rPr>
          <w:rFonts w:hAnsi="仿宋" w:cs="Times New Roman"/>
        </w:rPr>
      </w:pPr>
    </w:p>
    <w:sectPr>
      <w:pgSz w:w="16840" w:h="11907" w:orient="landscape"/>
      <w:pgMar w:top="1588" w:right="1928" w:bottom="1474" w:left="170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altName w:val="仿宋_GB2312"/>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separate"/>
    </w:r>
    <w:r>
      <w:rPr>
        <w:rStyle w:val="9"/>
      </w:rPr>
      <w:t>- 1 -</w:t>
    </w:r>
    <w:r>
      <w:rPr>
        <w:rStyle w:val="9"/>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47DD"/>
    <w:rsid w:val="000069D4"/>
    <w:rsid w:val="0001178B"/>
    <w:rsid w:val="000151F3"/>
    <w:rsid w:val="0002236E"/>
    <w:rsid w:val="000247F5"/>
    <w:rsid w:val="00032148"/>
    <w:rsid w:val="00035725"/>
    <w:rsid w:val="000364F5"/>
    <w:rsid w:val="0004457D"/>
    <w:rsid w:val="00055FB9"/>
    <w:rsid w:val="000650B8"/>
    <w:rsid w:val="000669F2"/>
    <w:rsid w:val="00067655"/>
    <w:rsid w:val="00072421"/>
    <w:rsid w:val="000731DD"/>
    <w:rsid w:val="000735FB"/>
    <w:rsid w:val="00074BCD"/>
    <w:rsid w:val="00076E02"/>
    <w:rsid w:val="00077C26"/>
    <w:rsid w:val="00082D18"/>
    <w:rsid w:val="0008416B"/>
    <w:rsid w:val="00086524"/>
    <w:rsid w:val="00090C58"/>
    <w:rsid w:val="0009369F"/>
    <w:rsid w:val="000A05C1"/>
    <w:rsid w:val="000A1335"/>
    <w:rsid w:val="000A1DD1"/>
    <w:rsid w:val="000A5546"/>
    <w:rsid w:val="000A7951"/>
    <w:rsid w:val="000A7AF6"/>
    <w:rsid w:val="000B055B"/>
    <w:rsid w:val="000B2856"/>
    <w:rsid w:val="000B4453"/>
    <w:rsid w:val="000B485C"/>
    <w:rsid w:val="000B51CC"/>
    <w:rsid w:val="000B5CF8"/>
    <w:rsid w:val="000B7537"/>
    <w:rsid w:val="000C109F"/>
    <w:rsid w:val="000C1526"/>
    <w:rsid w:val="000C41F2"/>
    <w:rsid w:val="000C4FDD"/>
    <w:rsid w:val="000D03BA"/>
    <w:rsid w:val="000D1130"/>
    <w:rsid w:val="000D4110"/>
    <w:rsid w:val="000E1C3B"/>
    <w:rsid w:val="000E2F82"/>
    <w:rsid w:val="000E6156"/>
    <w:rsid w:val="000E6645"/>
    <w:rsid w:val="000E7392"/>
    <w:rsid w:val="0010065D"/>
    <w:rsid w:val="001008AD"/>
    <w:rsid w:val="00103ABB"/>
    <w:rsid w:val="00104078"/>
    <w:rsid w:val="00106306"/>
    <w:rsid w:val="00106818"/>
    <w:rsid w:val="00106B0E"/>
    <w:rsid w:val="00111637"/>
    <w:rsid w:val="00114FD8"/>
    <w:rsid w:val="001152B2"/>
    <w:rsid w:val="001153E9"/>
    <w:rsid w:val="0011658B"/>
    <w:rsid w:val="00122299"/>
    <w:rsid w:val="00124C2B"/>
    <w:rsid w:val="00127FDA"/>
    <w:rsid w:val="00132816"/>
    <w:rsid w:val="001339B9"/>
    <w:rsid w:val="001355F2"/>
    <w:rsid w:val="001421B5"/>
    <w:rsid w:val="001466B3"/>
    <w:rsid w:val="001504DC"/>
    <w:rsid w:val="00152F47"/>
    <w:rsid w:val="00156A2A"/>
    <w:rsid w:val="001572A8"/>
    <w:rsid w:val="00161C8A"/>
    <w:rsid w:val="00162353"/>
    <w:rsid w:val="00166FB7"/>
    <w:rsid w:val="00167258"/>
    <w:rsid w:val="00170587"/>
    <w:rsid w:val="00172A27"/>
    <w:rsid w:val="00177942"/>
    <w:rsid w:val="0017796E"/>
    <w:rsid w:val="00180716"/>
    <w:rsid w:val="00180838"/>
    <w:rsid w:val="00184FCD"/>
    <w:rsid w:val="001851FC"/>
    <w:rsid w:val="00187D72"/>
    <w:rsid w:val="001A2716"/>
    <w:rsid w:val="001A2B6D"/>
    <w:rsid w:val="001A2B73"/>
    <w:rsid w:val="001A2F7F"/>
    <w:rsid w:val="001A51E9"/>
    <w:rsid w:val="001A5316"/>
    <w:rsid w:val="001A6187"/>
    <w:rsid w:val="001B23BD"/>
    <w:rsid w:val="001B45F4"/>
    <w:rsid w:val="001B487F"/>
    <w:rsid w:val="001B4A06"/>
    <w:rsid w:val="001B6C9D"/>
    <w:rsid w:val="001C448A"/>
    <w:rsid w:val="001C60C5"/>
    <w:rsid w:val="001C7C1F"/>
    <w:rsid w:val="001D113F"/>
    <w:rsid w:val="001D2E5F"/>
    <w:rsid w:val="001D4136"/>
    <w:rsid w:val="001D5988"/>
    <w:rsid w:val="001E12DD"/>
    <w:rsid w:val="001E3696"/>
    <w:rsid w:val="001E3FD5"/>
    <w:rsid w:val="0020394D"/>
    <w:rsid w:val="00203F08"/>
    <w:rsid w:val="00205B98"/>
    <w:rsid w:val="00205F93"/>
    <w:rsid w:val="00206579"/>
    <w:rsid w:val="0021018A"/>
    <w:rsid w:val="00210BF0"/>
    <w:rsid w:val="00211613"/>
    <w:rsid w:val="00214DEF"/>
    <w:rsid w:val="00216C48"/>
    <w:rsid w:val="00221A47"/>
    <w:rsid w:val="00222515"/>
    <w:rsid w:val="0022468F"/>
    <w:rsid w:val="00224A68"/>
    <w:rsid w:val="00224E45"/>
    <w:rsid w:val="00226EBF"/>
    <w:rsid w:val="002301EF"/>
    <w:rsid w:val="002302C8"/>
    <w:rsid w:val="00234371"/>
    <w:rsid w:val="00235DC9"/>
    <w:rsid w:val="00241ED0"/>
    <w:rsid w:val="00246CD1"/>
    <w:rsid w:val="00250D91"/>
    <w:rsid w:val="002550AB"/>
    <w:rsid w:val="002556D7"/>
    <w:rsid w:val="002607F9"/>
    <w:rsid w:val="00266A71"/>
    <w:rsid w:val="002743D6"/>
    <w:rsid w:val="002760B9"/>
    <w:rsid w:val="00276604"/>
    <w:rsid w:val="00276611"/>
    <w:rsid w:val="00277147"/>
    <w:rsid w:val="00281287"/>
    <w:rsid w:val="00291140"/>
    <w:rsid w:val="0029288E"/>
    <w:rsid w:val="0029470A"/>
    <w:rsid w:val="00294ED8"/>
    <w:rsid w:val="002A00C3"/>
    <w:rsid w:val="002A023A"/>
    <w:rsid w:val="002A31FD"/>
    <w:rsid w:val="002A3D5D"/>
    <w:rsid w:val="002A4403"/>
    <w:rsid w:val="002A5A8F"/>
    <w:rsid w:val="002A6E8B"/>
    <w:rsid w:val="002B0731"/>
    <w:rsid w:val="002B3A7A"/>
    <w:rsid w:val="002B6B46"/>
    <w:rsid w:val="002C5478"/>
    <w:rsid w:val="002C7465"/>
    <w:rsid w:val="002C7567"/>
    <w:rsid w:val="002C7C56"/>
    <w:rsid w:val="002D3186"/>
    <w:rsid w:val="002D511F"/>
    <w:rsid w:val="002D5A0A"/>
    <w:rsid w:val="002D72E2"/>
    <w:rsid w:val="002E06A3"/>
    <w:rsid w:val="002E76D3"/>
    <w:rsid w:val="002F4370"/>
    <w:rsid w:val="003039D9"/>
    <w:rsid w:val="00305841"/>
    <w:rsid w:val="00311CEA"/>
    <w:rsid w:val="003125BC"/>
    <w:rsid w:val="003131A3"/>
    <w:rsid w:val="0032069B"/>
    <w:rsid w:val="003240E6"/>
    <w:rsid w:val="00327872"/>
    <w:rsid w:val="00330634"/>
    <w:rsid w:val="003306C7"/>
    <w:rsid w:val="00331EC7"/>
    <w:rsid w:val="00341118"/>
    <w:rsid w:val="00350024"/>
    <w:rsid w:val="0035090C"/>
    <w:rsid w:val="00350F2E"/>
    <w:rsid w:val="0035428A"/>
    <w:rsid w:val="00355B3A"/>
    <w:rsid w:val="00362EA9"/>
    <w:rsid w:val="00363C09"/>
    <w:rsid w:val="003809D5"/>
    <w:rsid w:val="0038248E"/>
    <w:rsid w:val="00382F07"/>
    <w:rsid w:val="00384F23"/>
    <w:rsid w:val="00385B45"/>
    <w:rsid w:val="003910E0"/>
    <w:rsid w:val="00391877"/>
    <w:rsid w:val="00391B2B"/>
    <w:rsid w:val="0039391C"/>
    <w:rsid w:val="003960B5"/>
    <w:rsid w:val="003965F4"/>
    <w:rsid w:val="003968A3"/>
    <w:rsid w:val="00396F9F"/>
    <w:rsid w:val="00397A48"/>
    <w:rsid w:val="003A1432"/>
    <w:rsid w:val="003A1D2D"/>
    <w:rsid w:val="003A798E"/>
    <w:rsid w:val="003A7F86"/>
    <w:rsid w:val="003B6D86"/>
    <w:rsid w:val="003C3708"/>
    <w:rsid w:val="003C370D"/>
    <w:rsid w:val="003D12B9"/>
    <w:rsid w:val="003D2ECE"/>
    <w:rsid w:val="003D350C"/>
    <w:rsid w:val="003D5CA3"/>
    <w:rsid w:val="003D7284"/>
    <w:rsid w:val="003E1AC5"/>
    <w:rsid w:val="003E372B"/>
    <w:rsid w:val="003E5E3F"/>
    <w:rsid w:val="003F23AF"/>
    <w:rsid w:val="003F47EB"/>
    <w:rsid w:val="003F4AEF"/>
    <w:rsid w:val="003F4D9C"/>
    <w:rsid w:val="003F4F0B"/>
    <w:rsid w:val="00400C7E"/>
    <w:rsid w:val="00401571"/>
    <w:rsid w:val="00411AD7"/>
    <w:rsid w:val="004121B9"/>
    <w:rsid w:val="004132E1"/>
    <w:rsid w:val="0041646D"/>
    <w:rsid w:val="0041744D"/>
    <w:rsid w:val="00420D25"/>
    <w:rsid w:val="0042689F"/>
    <w:rsid w:val="00431E7B"/>
    <w:rsid w:val="00434137"/>
    <w:rsid w:val="00437929"/>
    <w:rsid w:val="00440530"/>
    <w:rsid w:val="00440CDE"/>
    <w:rsid w:val="00445B6E"/>
    <w:rsid w:val="0044644A"/>
    <w:rsid w:val="004471DA"/>
    <w:rsid w:val="00447E62"/>
    <w:rsid w:val="00450A3C"/>
    <w:rsid w:val="00455E71"/>
    <w:rsid w:val="00456FBD"/>
    <w:rsid w:val="004576A6"/>
    <w:rsid w:val="004613B1"/>
    <w:rsid w:val="00463489"/>
    <w:rsid w:val="00463663"/>
    <w:rsid w:val="004647D0"/>
    <w:rsid w:val="00467177"/>
    <w:rsid w:val="004725D5"/>
    <w:rsid w:val="00474491"/>
    <w:rsid w:val="00481F78"/>
    <w:rsid w:val="00483D2F"/>
    <w:rsid w:val="00485FA5"/>
    <w:rsid w:val="00486AF1"/>
    <w:rsid w:val="0048734D"/>
    <w:rsid w:val="00490363"/>
    <w:rsid w:val="0049181A"/>
    <w:rsid w:val="00493B5D"/>
    <w:rsid w:val="00495883"/>
    <w:rsid w:val="00496333"/>
    <w:rsid w:val="004A0A22"/>
    <w:rsid w:val="004A2224"/>
    <w:rsid w:val="004A6F2F"/>
    <w:rsid w:val="004B09BF"/>
    <w:rsid w:val="004B291A"/>
    <w:rsid w:val="004B56AF"/>
    <w:rsid w:val="004C1113"/>
    <w:rsid w:val="004C2026"/>
    <w:rsid w:val="004C35D6"/>
    <w:rsid w:val="004C5890"/>
    <w:rsid w:val="004C7202"/>
    <w:rsid w:val="004C78B2"/>
    <w:rsid w:val="004C7FA8"/>
    <w:rsid w:val="004D03B8"/>
    <w:rsid w:val="004D0EFB"/>
    <w:rsid w:val="004D173F"/>
    <w:rsid w:val="004D2577"/>
    <w:rsid w:val="004D2BA9"/>
    <w:rsid w:val="004D3856"/>
    <w:rsid w:val="004D3F3C"/>
    <w:rsid w:val="004E3987"/>
    <w:rsid w:val="004E3D66"/>
    <w:rsid w:val="004F007A"/>
    <w:rsid w:val="004F2463"/>
    <w:rsid w:val="004F275E"/>
    <w:rsid w:val="004F3AC7"/>
    <w:rsid w:val="004F5EC6"/>
    <w:rsid w:val="00501051"/>
    <w:rsid w:val="00503565"/>
    <w:rsid w:val="0050457A"/>
    <w:rsid w:val="00507981"/>
    <w:rsid w:val="00510218"/>
    <w:rsid w:val="005118A8"/>
    <w:rsid w:val="005174D5"/>
    <w:rsid w:val="00523288"/>
    <w:rsid w:val="0052506E"/>
    <w:rsid w:val="005267D7"/>
    <w:rsid w:val="00531548"/>
    <w:rsid w:val="00534166"/>
    <w:rsid w:val="005343E5"/>
    <w:rsid w:val="00535B4C"/>
    <w:rsid w:val="005419E7"/>
    <w:rsid w:val="0054442C"/>
    <w:rsid w:val="00545042"/>
    <w:rsid w:val="005470E3"/>
    <w:rsid w:val="0055080F"/>
    <w:rsid w:val="005534B4"/>
    <w:rsid w:val="00561624"/>
    <w:rsid w:val="0056193C"/>
    <w:rsid w:val="00561E26"/>
    <w:rsid w:val="00562517"/>
    <w:rsid w:val="0056293F"/>
    <w:rsid w:val="00563287"/>
    <w:rsid w:val="00564912"/>
    <w:rsid w:val="00570E75"/>
    <w:rsid w:val="005715FB"/>
    <w:rsid w:val="005716B9"/>
    <w:rsid w:val="00573136"/>
    <w:rsid w:val="00573528"/>
    <w:rsid w:val="005759FB"/>
    <w:rsid w:val="0057620F"/>
    <w:rsid w:val="005764B8"/>
    <w:rsid w:val="0058101E"/>
    <w:rsid w:val="00581855"/>
    <w:rsid w:val="0058307A"/>
    <w:rsid w:val="00583BDE"/>
    <w:rsid w:val="005846E3"/>
    <w:rsid w:val="00586120"/>
    <w:rsid w:val="00586708"/>
    <w:rsid w:val="005906DE"/>
    <w:rsid w:val="005932F2"/>
    <w:rsid w:val="00596866"/>
    <w:rsid w:val="005A613C"/>
    <w:rsid w:val="005B0BFE"/>
    <w:rsid w:val="005B1D08"/>
    <w:rsid w:val="005B2600"/>
    <w:rsid w:val="005C2D2E"/>
    <w:rsid w:val="005C40AF"/>
    <w:rsid w:val="005C5019"/>
    <w:rsid w:val="005C6195"/>
    <w:rsid w:val="005D0851"/>
    <w:rsid w:val="005D45F8"/>
    <w:rsid w:val="005D723B"/>
    <w:rsid w:val="005D7635"/>
    <w:rsid w:val="005E5247"/>
    <w:rsid w:val="005E5D2F"/>
    <w:rsid w:val="005E5DA3"/>
    <w:rsid w:val="005E6AC7"/>
    <w:rsid w:val="005F17F3"/>
    <w:rsid w:val="005F1839"/>
    <w:rsid w:val="005F1842"/>
    <w:rsid w:val="005F4C0A"/>
    <w:rsid w:val="005F4E7E"/>
    <w:rsid w:val="005F6B39"/>
    <w:rsid w:val="0061078F"/>
    <w:rsid w:val="00611DE2"/>
    <w:rsid w:val="00612174"/>
    <w:rsid w:val="006133C5"/>
    <w:rsid w:val="00613E4A"/>
    <w:rsid w:val="00615BF5"/>
    <w:rsid w:val="00616D88"/>
    <w:rsid w:val="006178B3"/>
    <w:rsid w:val="006178F4"/>
    <w:rsid w:val="00620075"/>
    <w:rsid w:val="00620F8B"/>
    <w:rsid w:val="0062312A"/>
    <w:rsid w:val="00624558"/>
    <w:rsid w:val="00626D7C"/>
    <w:rsid w:val="0063107F"/>
    <w:rsid w:val="00631A89"/>
    <w:rsid w:val="00631E5E"/>
    <w:rsid w:val="00634777"/>
    <w:rsid w:val="0064060F"/>
    <w:rsid w:val="00640FD7"/>
    <w:rsid w:val="00641635"/>
    <w:rsid w:val="00644F9C"/>
    <w:rsid w:val="00645396"/>
    <w:rsid w:val="006456A8"/>
    <w:rsid w:val="006461B2"/>
    <w:rsid w:val="00654044"/>
    <w:rsid w:val="006561B5"/>
    <w:rsid w:val="00661EB1"/>
    <w:rsid w:val="006630AC"/>
    <w:rsid w:val="006630E6"/>
    <w:rsid w:val="00673F58"/>
    <w:rsid w:val="006827A3"/>
    <w:rsid w:val="00683254"/>
    <w:rsid w:val="006856E4"/>
    <w:rsid w:val="0068649E"/>
    <w:rsid w:val="00690967"/>
    <w:rsid w:val="00694D4A"/>
    <w:rsid w:val="006960D0"/>
    <w:rsid w:val="006963CB"/>
    <w:rsid w:val="00696BD2"/>
    <w:rsid w:val="00697016"/>
    <w:rsid w:val="006A1CEA"/>
    <w:rsid w:val="006A3150"/>
    <w:rsid w:val="006A45DF"/>
    <w:rsid w:val="006A5AED"/>
    <w:rsid w:val="006A5F15"/>
    <w:rsid w:val="006A7D8E"/>
    <w:rsid w:val="006B3F28"/>
    <w:rsid w:val="006B6809"/>
    <w:rsid w:val="006B763A"/>
    <w:rsid w:val="006C1BBC"/>
    <w:rsid w:val="006C5EDC"/>
    <w:rsid w:val="006C6995"/>
    <w:rsid w:val="006D09E4"/>
    <w:rsid w:val="006D743F"/>
    <w:rsid w:val="006E0595"/>
    <w:rsid w:val="006E125D"/>
    <w:rsid w:val="006E3605"/>
    <w:rsid w:val="006E4DAC"/>
    <w:rsid w:val="006E5311"/>
    <w:rsid w:val="006E590E"/>
    <w:rsid w:val="006F1697"/>
    <w:rsid w:val="006F411A"/>
    <w:rsid w:val="006F4637"/>
    <w:rsid w:val="0070221D"/>
    <w:rsid w:val="007038E0"/>
    <w:rsid w:val="00705A16"/>
    <w:rsid w:val="00705B58"/>
    <w:rsid w:val="007077D2"/>
    <w:rsid w:val="00713254"/>
    <w:rsid w:val="007137AD"/>
    <w:rsid w:val="00713DBA"/>
    <w:rsid w:val="007216B1"/>
    <w:rsid w:val="007232B8"/>
    <w:rsid w:val="0073103E"/>
    <w:rsid w:val="00732AC9"/>
    <w:rsid w:val="00733163"/>
    <w:rsid w:val="00735873"/>
    <w:rsid w:val="0073696B"/>
    <w:rsid w:val="00737314"/>
    <w:rsid w:val="007436B4"/>
    <w:rsid w:val="0074493D"/>
    <w:rsid w:val="00744DAB"/>
    <w:rsid w:val="00751836"/>
    <w:rsid w:val="00751900"/>
    <w:rsid w:val="0075624D"/>
    <w:rsid w:val="00756362"/>
    <w:rsid w:val="007571F8"/>
    <w:rsid w:val="00757EB2"/>
    <w:rsid w:val="00762429"/>
    <w:rsid w:val="00762F36"/>
    <w:rsid w:val="007631E2"/>
    <w:rsid w:val="0076345E"/>
    <w:rsid w:val="00764017"/>
    <w:rsid w:val="007658CA"/>
    <w:rsid w:val="0076592D"/>
    <w:rsid w:val="00767371"/>
    <w:rsid w:val="007678B0"/>
    <w:rsid w:val="00771906"/>
    <w:rsid w:val="007724CD"/>
    <w:rsid w:val="00773FAC"/>
    <w:rsid w:val="0077463A"/>
    <w:rsid w:val="00775511"/>
    <w:rsid w:val="00777958"/>
    <w:rsid w:val="007801DC"/>
    <w:rsid w:val="0078230B"/>
    <w:rsid w:val="007828DA"/>
    <w:rsid w:val="00784FA2"/>
    <w:rsid w:val="00787BFC"/>
    <w:rsid w:val="00787DD6"/>
    <w:rsid w:val="00792CE6"/>
    <w:rsid w:val="0079313F"/>
    <w:rsid w:val="007A06FA"/>
    <w:rsid w:val="007A2B66"/>
    <w:rsid w:val="007A4B7B"/>
    <w:rsid w:val="007A5EFF"/>
    <w:rsid w:val="007A69FF"/>
    <w:rsid w:val="007B48ED"/>
    <w:rsid w:val="007C10A7"/>
    <w:rsid w:val="007C55FF"/>
    <w:rsid w:val="007C6B4C"/>
    <w:rsid w:val="007D0706"/>
    <w:rsid w:val="007D3F8C"/>
    <w:rsid w:val="007D42C2"/>
    <w:rsid w:val="007D61A3"/>
    <w:rsid w:val="007E027F"/>
    <w:rsid w:val="007E44D0"/>
    <w:rsid w:val="007E5FEA"/>
    <w:rsid w:val="007E67F1"/>
    <w:rsid w:val="007F140A"/>
    <w:rsid w:val="007F1C67"/>
    <w:rsid w:val="007F3F10"/>
    <w:rsid w:val="007F45FC"/>
    <w:rsid w:val="007F55E4"/>
    <w:rsid w:val="007F6792"/>
    <w:rsid w:val="0080192D"/>
    <w:rsid w:val="0080336C"/>
    <w:rsid w:val="00807803"/>
    <w:rsid w:val="00811BB1"/>
    <w:rsid w:val="00811D21"/>
    <w:rsid w:val="00812170"/>
    <w:rsid w:val="0081360B"/>
    <w:rsid w:val="00814344"/>
    <w:rsid w:val="00820C1A"/>
    <w:rsid w:val="00820C71"/>
    <w:rsid w:val="00820E91"/>
    <w:rsid w:val="00820F6E"/>
    <w:rsid w:val="00823698"/>
    <w:rsid w:val="00823A26"/>
    <w:rsid w:val="00823F5C"/>
    <w:rsid w:val="00825CEB"/>
    <w:rsid w:val="00825EF5"/>
    <w:rsid w:val="008269CC"/>
    <w:rsid w:val="00827A1B"/>
    <w:rsid w:val="00831EBC"/>
    <w:rsid w:val="00833BE4"/>
    <w:rsid w:val="00834E38"/>
    <w:rsid w:val="00835C1C"/>
    <w:rsid w:val="0083783E"/>
    <w:rsid w:val="00837A37"/>
    <w:rsid w:val="00842196"/>
    <w:rsid w:val="008442C1"/>
    <w:rsid w:val="00845F0B"/>
    <w:rsid w:val="00850CCB"/>
    <w:rsid w:val="00851CBD"/>
    <w:rsid w:val="00853A6A"/>
    <w:rsid w:val="00861732"/>
    <w:rsid w:val="00863E03"/>
    <w:rsid w:val="00867695"/>
    <w:rsid w:val="00870E9F"/>
    <w:rsid w:val="00871141"/>
    <w:rsid w:val="0087532E"/>
    <w:rsid w:val="008757AF"/>
    <w:rsid w:val="00875B27"/>
    <w:rsid w:val="008760FD"/>
    <w:rsid w:val="00876479"/>
    <w:rsid w:val="00881720"/>
    <w:rsid w:val="0088217D"/>
    <w:rsid w:val="008825D8"/>
    <w:rsid w:val="008854B3"/>
    <w:rsid w:val="00887AA8"/>
    <w:rsid w:val="008948D3"/>
    <w:rsid w:val="008A53A6"/>
    <w:rsid w:val="008A6513"/>
    <w:rsid w:val="008B1AD6"/>
    <w:rsid w:val="008B337A"/>
    <w:rsid w:val="008C19CC"/>
    <w:rsid w:val="008C4697"/>
    <w:rsid w:val="008D0584"/>
    <w:rsid w:val="008D514B"/>
    <w:rsid w:val="008D7F14"/>
    <w:rsid w:val="008E2100"/>
    <w:rsid w:val="008E3702"/>
    <w:rsid w:val="008E7304"/>
    <w:rsid w:val="008F2D69"/>
    <w:rsid w:val="009000FD"/>
    <w:rsid w:val="00900839"/>
    <w:rsid w:val="00902297"/>
    <w:rsid w:val="009037CF"/>
    <w:rsid w:val="00904C4C"/>
    <w:rsid w:val="00910FB6"/>
    <w:rsid w:val="00912ACE"/>
    <w:rsid w:val="009135D4"/>
    <w:rsid w:val="00915421"/>
    <w:rsid w:val="009177CD"/>
    <w:rsid w:val="00917B79"/>
    <w:rsid w:val="00925CC6"/>
    <w:rsid w:val="00927527"/>
    <w:rsid w:val="00931B95"/>
    <w:rsid w:val="00931C3C"/>
    <w:rsid w:val="00933A7B"/>
    <w:rsid w:val="0093570C"/>
    <w:rsid w:val="00935DA5"/>
    <w:rsid w:val="009371AF"/>
    <w:rsid w:val="00937A54"/>
    <w:rsid w:val="00940C00"/>
    <w:rsid w:val="00941AE1"/>
    <w:rsid w:val="00941CD5"/>
    <w:rsid w:val="009446D5"/>
    <w:rsid w:val="009465C3"/>
    <w:rsid w:val="00947192"/>
    <w:rsid w:val="00954F11"/>
    <w:rsid w:val="00956B07"/>
    <w:rsid w:val="00960A9D"/>
    <w:rsid w:val="009630F2"/>
    <w:rsid w:val="009633AF"/>
    <w:rsid w:val="00966D80"/>
    <w:rsid w:val="00967879"/>
    <w:rsid w:val="009707A2"/>
    <w:rsid w:val="00970C3F"/>
    <w:rsid w:val="00973ED5"/>
    <w:rsid w:val="00974C7F"/>
    <w:rsid w:val="0098144A"/>
    <w:rsid w:val="00982CB0"/>
    <w:rsid w:val="00984878"/>
    <w:rsid w:val="00984C7F"/>
    <w:rsid w:val="00992851"/>
    <w:rsid w:val="009A1FD7"/>
    <w:rsid w:val="009A2409"/>
    <w:rsid w:val="009A3EB5"/>
    <w:rsid w:val="009B1B01"/>
    <w:rsid w:val="009B1D90"/>
    <w:rsid w:val="009B36BE"/>
    <w:rsid w:val="009C10C5"/>
    <w:rsid w:val="009C1881"/>
    <w:rsid w:val="009C1C31"/>
    <w:rsid w:val="009C3764"/>
    <w:rsid w:val="009C5F34"/>
    <w:rsid w:val="009D0FAA"/>
    <w:rsid w:val="009D0FF2"/>
    <w:rsid w:val="009D2EB9"/>
    <w:rsid w:val="009D3597"/>
    <w:rsid w:val="009D5C86"/>
    <w:rsid w:val="009D6745"/>
    <w:rsid w:val="009E4421"/>
    <w:rsid w:val="009F12EC"/>
    <w:rsid w:val="009F45DD"/>
    <w:rsid w:val="009F6320"/>
    <w:rsid w:val="00A01B8D"/>
    <w:rsid w:val="00A0357C"/>
    <w:rsid w:val="00A0401F"/>
    <w:rsid w:val="00A06137"/>
    <w:rsid w:val="00A07AFD"/>
    <w:rsid w:val="00A14239"/>
    <w:rsid w:val="00A15001"/>
    <w:rsid w:val="00A158E5"/>
    <w:rsid w:val="00A15CCF"/>
    <w:rsid w:val="00A21AC5"/>
    <w:rsid w:val="00A21F7C"/>
    <w:rsid w:val="00A22CE9"/>
    <w:rsid w:val="00A23E45"/>
    <w:rsid w:val="00A2418A"/>
    <w:rsid w:val="00A327B5"/>
    <w:rsid w:val="00A334D0"/>
    <w:rsid w:val="00A340B8"/>
    <w:rsid w:val="00A3488E"/>
    <w:rsid w:val="00A41466"/>
    <w:rsid w:val="00A42CA6"/>
    <w:rsid w:val="00A4688D"/>
    <w:rsid w:val="00A51BCB"/>
    <w:rsid w:val="00A55023"/>
    <w:rsid w:val="00A60155"/>
    <w:rsid w:val="00A63389"/>
    <w:rsid w:val="00A63D5E"/>
    <w:rsid w:val="00A642AA"/>
    <w:rsid w:val="00A65226"/>
    <w:rsid w:val="00A739C7"/>
    <w:rsid w:val="00A74244"/>
    <w:rsid w:val="00A7436B"/>
    <w:rsid w:val="00A75570"/>
    <w:rsid w:val="00A76B0A"/>
    <w:rsid w:val="00A80773"/>
    <w:rsid w:val="00A85F49"/>
    <w:rsid w:val="00A91221"/>
    <w:rsid w:val="00A9185F"/>
    <w:rsid w:val="00A92F07"/>
    <w:rsid w:val="00A950A9"/>
    <w:rsid w:val="00A953B3"/>
    <w:rsid w:val="00A976D1"/>
    <w:rsid w:val="00A978A2"/>
    <w:rsid w:val="00A97966"/>
    <w:rsid w:val="00AA0A8D"/>
    <w:rsid w:val="00AA1B50"/>
    <w:rsid w:val="00AA1C6B"/>
    <w:rsid w:val="00AB05C7"/>
    <w:rsid w:val="00AB0994"/>
    <w:rsid w:val="00AC12E0"/>
    <w:rsid w:val="00AC1B47"/>
    <w:rsid w:val="00AC1C0E"/>
    <w:rsid w:val="00AC2801"/>
    <w:rsid w:val="00AC4E36"/>
    <w:rsid w:val="00AC53E3"/>
    <w:rsid w:val="00AD0671"/>
    <w:rsid w:val="00AD78E0"/>
    <w:rsid w:val="00AD7C27"/>
    <w:rsid w:val="00AE69FC"/>
    <w:rsid w:val="00AF3499"/>
    <w:rsid w:val="00AF7939"/>
    <w:rsid w:val="00B02A11"/>
    <w:rsid w:val="00B03EF3"/>
    <w:rsid w:val="00B0409D"/>
    <w:rsid w:val="00B04A75"/>
    <w:rsid w:val="00B05AE0"/>
    <w:rsid w:val="00B06251"/>
    <w:rsid w:val="00B167AF"/>
    <w:rsid w:val="00B17D8F"/>
    <w:rsid w:val="00B23862"/>
    <w:rsid w:val="00B2399B"/>
    <w:rsid w:val="00B2624E"/>
    <w:rsid w:val="00B274E1"/>
    <w:rsid w:val="00B31F5E"/>
    <w:rsid w:val="00B33987"/>
    <w:rsid w:val="00B34450"/>
    <w:rsid w:val="00B36A54"/>
    <w:rsid w:val="00B37A2D"/>
    <w:rsid w:val="00B37FA8"/>
    <w:rsid w:val="00B43C43"/>
    <w:rsid w:val="00B470AF"/>
    <w:rsid w:val="00B47CF5"/>
    <w:rsid w:val="00B5217B"/>
    <w:rsid w:val="00B561CA"/>
    <w:rsid w:val="00B56B2B"/>
    <w:rsid w:val="00B56F03"/>
    <w:rsid w:val="00B57A77"/>
    <w:rsid w:val="00B6689D"/>
    <w:rsid w:val="00B72FDF"/>
    <w:rsid w:val="00B73690"/>
    <w:rsid w:val="00B75D92"/>
    <w:rsid w:val="00B85C92"/>
    <w:rsid w:val="00B96D2D"/>
    <w:rsid w:val="00BA2A14"/>
    <w:rsid w:val="00BB28E0"/>
    <w:rsid w:val="00BB2C1A"/>
    <w:rsid w:val="00BB3EAC"/>
    <w:rsid w:val="00BB55D8"/>
    <w:rsid w:val="00BB5E10"/>
    <w:rsid w:val="00BC1F97"/>
    <w:rsid w:val="00BD5D2E"/>
    <w:rsid w:val="00BD60CF"/>
    <w:rsid w:val="00BE13AA"/>
    <w:rsid w:val="00BE6BF5"/>
    <w:rsid w:val="00BF351D"/>
    <w:rsid w:val="00BF5826"/>
    <w:rsid w:val="00BF7D3B"/>
    <w:rsid w:val="00C01168"/>
    <w:rsid w:val="00C03A91"/>
    <w:rsid w:val="00C03C6C"/>
    <w:rsid w:val="00C043CF"/>
    <w:rsid w:val="00C0493D"/>
    <w:rsid w:val="00C04A75"/>
    <w:rsid w:val="00C05DD4"/>
    <w:rsid w:val="00C07194"/>
    <w:rsid w:val="00C11FB5"/>
    <w:rsid w:val="00C15960"/>
    <w:rsid w:val="00C20CF4"/>
    <w:rsid w:val="00C22FE4"/>
    <w:rsid w:val="00C2469E"/>
    <w:rsid w:val="00C24E4D"/>
    <w:rsid w:val="00C264A8"/>
    <w:rsid w:val="00C26E74"/>
    <w:rsid w:val="00C32893"/>
    <w:rsid w:val="00C4149E"/>
    <w:rsid w:val="00C4178D"/>
    <w:rsid w:val="00C42B34"/>
    <w:rsid w:val="00C44AF8"/>
    <w:rsid w:val="00C4581A"/>
    <w:rsid w:val="00C46BBC"/>
    <w:rsid w:val="00C50B48"/>
    <w:rsid w:val="00C53713"/>
    <w:rsid w:val="00C54BC1"/>
    <w:rsid w:val="00C5586D"/>
    <w:rsid w:val="00C57CEA"/>
    <w:rsid w:val="00C61CD5"/>
    <w:rsid w:val="00C7154E"/>
    <w:rsid w:val="00C71BD4"/>
    <w:rsid w:val="00C733AA"/>
    <w:rsid w:val="00C739D1"/>
    <w:rsid w:val="00C7631F"/>
    <w:rsid w:val="00C7751D"/>
    <w:rsid w:val="00C82046"/>
    <w:rsid w:val="00C83388"/>
    <w:rsid w:val="00C8389E"/>
    <w:rsid w:val="00C843B8"/>
    <w:rsid w:val="00C854D9"/>
    <w:rsid w:val="00C85DBA"/>
    <w:rsid w:val="00C8738F"/>
    <w:rsid w:val="00C9197D"/>
    <w:rsid w:val="00C93B66"/>
    <w:rsid w:val="00CA11B5"/>
    <w:rsid w:val="00CA20D4"/>
    <w:rsid w:val="00CA29CF"/>
    <w:rsid w:val="00CA4F62"/>
    <w:rsid w:val="00CA6205"/>
    <w:rsid w:val="00CA715B"/>
    <w:rsid w:val="00CA7B15"/>
    <w:rsid w:val="00CB277B"/>
    <w:rsid w:val="00CB6682"/>
    <w:rsid w:val="00CB7811"/>
    <w:rsid w:val="00CC0869"/>
    <w:rsid w:val="00CC6195"/>
    <w:rsid w:val="00CC7835"/>
    <w:rsid w:val="00CD1131"/>
    <w:rsid w:val="00CD36A5"/>
    <w:rsid w:val="00CD4023"/>
    <w:rsid w:val="00CD5202"/>
    <w:rsid w:val="00CD5552"/>
    <w:rsid w:val="00CD561F"/>
    <w:rsid w:val="00CD5BB0"/>
    <w:rsid w:val="00CD6EBE"/>
    <w:rsid w:val="00CE6ED4"/>
    <w:rsid w:val="00CF229C"/>
    <w:rsid w:val="00CF2EC1"/>
    <w:rsid w:val="00CF3B84"/>
    <w:rsid w:val="00CF3D0E"/>
    <w:rsid w:val="00CF5415"/>
    <w:rsid w:val="00CF5801"/>
    <w:rsid w:val="00CF7E26"/>
    <w:rsid w:val="00D01590"/>
    <w:rsid w:val="00D03D90"/>
    <w:rsid w:val="00D059E9"/>
    <w:rsid w:val="00D06D2A"/>
    <w:rsid w:val="00D121C7"/>
    <w:rsid w:val="00D2361D"/>
    <w:rsid w:val="00D27AD6"/>
    <w:rsid w:val="00D32013"/>
    <w:rsid w:val="00D35C97"/>
    <w:rsid w:val="00D41043"/>
    <w:rsid w:val="00D43006"/>
    <w:rsid w:val="00D45045"/>
    <w:rsid w:val="00D4575C"/>
    <w:rsid w:val="00D46777"/>
    <w:rsid w:val="00D470D1"/>
    <w:rsid w:val="00D5123A"/>
    <w:rsid w:val="00D52DCE"/>
    <w:rsid w:val="00D566DB"/>
    <w:rsid w:val="00D56EEE"/>
    <w:rsid w:val="00D61A21"/>
    <w:rsid w:val="00D62533"/>
    <w:rsid w:val="00D62C98"/>
    <w:rsid w:val="00D63D70"/>
    <w:rsid w:val="00D67E9B"/>
    <w:rsid w:val="00D70A5F"/>
    <w:rsid w:val="00D7280D"/>
    <w:rsid w:val="00D74FF9"/>
    <w:rsid w:val="00D75912"/>
    <w:rsid w:val="00D75E9A"/>
    <w:rsid w:val="00D766BF"/>
    <w:rsid w:val="00D769AB"/>
    <w:rsid w:val="00D805D7"/>
    <w:rsid w:val="00D83CAE"/>
    <w:rsid w:val="00D84E64"/>
    <w:rsid w:val="00D86C6E"/>
    <w:rsid w:val="00D90F3A"/>
    <w:rsid w:val="00D930CE"/>
    <w:rsid w:val="00D9747F"/>
    <w:rsid w:val="00DA06DC"/>
    <w:rsid w:val="00DA49CC"/>
    <w:rsid w:val="00DC0D07"/>
    <w:rsid w:val="00DC2B46"/>
    <w:rsid w:val="00DC56D0"/>
    <w:rsid w:val="00DC5756"/>
    <w:rsid w:val="00DD03C4"/>
    <w:rsid w:val="00DD180B"/>
    <w:rsid w:val="00DD3D6A"/>
    <w:rsid w:val="00DD4952"/>
    <w:rsid w:val="00DD4E83"/>
    <w:rsid w:val="00DD72E0"/>
    <w:rsid w:val="00DD7D28"/>
    <w:rsid w:val="00DE3768"/>
    <w:rsid w:val="00DE4888"/>
    <w:rsid w:val="00DE5B0C"/>
    <w:rsid w:val="00DE62C5"/>
    <w:rsid w:val="00DF1F5A"/>
    <w:rsid w:val="00DF20F9"/>
    <w:rsid w:val="00DF339A"/>
    <w:rsid w:val="00E02860"/>
    <w:rsid w:val="00E04EAE"/>
    <w:rsid w:val="00E10BDF"/>
    <w:rsid w:val="00E114BF"/>
    <w:rsid w:val="00E172BD"/>
    <w:rsid w:val="00E23107"/>
    <w:rsid w:val="00E2503F"/>
    <w:rsid w:val="00E273F3"/>
    <w:rsid w:val="00E34385"/>
    <w:rsid w:val="00E3453B"/>
    <w:rsid w:val="00E36A79"/>
    <w:rsid w:val="00E37104"/>
    <w:rsid w:val="00E41BA0"/>
    <w:rsid w:val="00E5473A"/>
    <w:rsid w:val="00E6547C"/>
    <w:rsid w:val="00E65A91"/>
    <w:rsid w:val="00E6649C"/>
    <w:rsid w:val="00E664C5"/>
    <w:rsid w:val="00E66556"/>
    <w:rsid w:val="00E742D5"/>
    <w:rsid w:val="00E756B6"/>
    <w:rsid w:val="00E75FFC"/>
    <w:rsid w:val="00E767F1"/>
    <w:rsid w:val="00E77E56"/>
    <w:rsid w:val="00E86006"/>
    <w:rsid w:val="00E912FF"/>
    <w:rsid w:val="00E91410"/>
    <w:rsid w:val="00E95489"/>
    <w:rsid w:val="00E96925"/>
    <w:rsid w:val="00EA202A"/>
    <w:rsid w:val="00EA32B1"/>
    <w:rsid w:val="00EA3E84"/>
    <w:rsid w:val="00EB196C"/>
    <w:rsid w:val="00EB4594"/>
    <w:rsid w:val="00EB4993"/>
    <w:rsid w:val="00EB7B0D"/>
    <w:rsid w:val="00EC1A40"/>
    <w:rsid w:val="00EC7DB7"/>
    <w:rsid w:val="00ED0756"/>
    <w:rsid w:val="00ED6B52"/>
    <w:rsid w:val="00ED762E"/>
    <w:rsid w:val="00ED7729"/>
    <w:rsid w:val="00EE2286"/>
    <w:rsid w:val="00EE363E"/>
    <w:rsid w:val="00EE530E"/>
    <w:rsid w:val="00EE56E3"/>
    <w:rsid w:val="00EE6630"/>
    <w:rsid w:val="00EF0B79"/>
    <w:rsid w:val="00EF1837"/>
    <w:rsid w:val="00EF475D"/>
    <w:rsid w:val="00EF4AD7"/>
    <w:rsid w:val="00EF4F16"/>
    <w:rsid w:val="00EF5A63"/>
    <w:rsid w:val="00F01B2D"/>
    <w:rsid w:val="00F02BDE"/>
    <w:rsid w:val="00F04245"/>
    <w:rsid w:val="00F11DF7"/>
    <w:rsid w:val="00F149B0"/>
    <w:rsid w:val="00F14C2E"/>
    <w:rsid w:val="00F208C6"/>
    <w:rsid w:val="00F24285"/>
    <w:rsid w:val="00F2484C"/>
    <w:rsid w:val="00F24ED7"/>
    <w:rsid w:val="00F3163B"/>
    <w:rsid w:val="00F333BA"/>
    <w:rsid w:val="00F34B0C"/>
    <w:rsid w:val="00F40099"/>
    <w:rsid w:val="00F433D1"/>
    <w:rsid w:val="00F44CC3"/>
    <w:rsid w:val="00F45382"/>
    <w:rsid w:val="00F51F5B"/>
    <w:rsid w:val="00F5218A"/>
    <w:rsid w:val="00F52C74"/>
    <w:rsid w:val="00F62779"/>
    <w:rsid w:val="00F64112"/>
    <w:rsid w:val="00F67A74"/>
    <w:rsid w:val="00F75202"/>
    <w:rsid w:val="00F80771"/>
    <w:rsid w:val="00F8078A"/>
    <w:rsid w:val="00F82BB1"/>
    <w:rsid w:val="00F84F4A"/>
    <w:rsid w:val="00F85FF1"/>
    <w:rsid w:val="00F879EC"/>
    <w:rsid w:val="00F91B75"/>
    <w:rsid w:val="00F92AD3"/>
    <w:rsid w:val="00F9413C"/>
    <w:rsid w:val="00F9560A"/>
    <w:rsid w:val="00F95AD3"/>
    <w:rsid w:val="00F97853"/>
    <w:rsid w:val="00F97A01"/>
    <w:rsid w:val="00FA07B8"/>
    <w:rsid w:val="00FA2D73"/>
    <w:rsid w:val="00FB1F8D"/>
    <w:rsid w:val="00FB6600"/>
    <w:rsid w:val="00FB7990"/>
    <w:rsid w:val="00FC1169"/>
    <w:rsid w:val="00FC2565"/>
    <w:rsid w:val="00FC259E"/>
    <w:rsid w:val="00FC474A"/>
    <w:rsid w:val="00FD3AE9"/>
    <w:rsid w:val="00FD545C"/>
    <w:rsid w:val="00FD55AB"/>
    <w:rsid w:val="00FD754F"/>
    <w:rsid w:val="00FE1262"/>
    <w:rsid w:val="00FE2D36"/>
    <w:rsid w:val="00FE3A4F"/>
    <w:rsid w:val="00FE52E8"/>
    <w:rsid w:val="00FE70DA"/>
    <w:rsid w:val="00FF190C"/>
    <w:rsid w:val="00FF7106"/>
    <w:rsid w:val="00FF74CE"/>
    <w:rsid w:val="01456DBF"/>
    <w:rsid w:val="01814B57"/>
    <w:rsid w:val="01AD4D50"/>
    <w:rsid w:val="01BF7A07"/>
    <w:rsid w:val="025E729A"/>
    <w:rsid w:val="02A444D7"/>
    <w:rsid w:val="02B87C0E"/>
    <w:rsid w:val="02D80EF1"/>
    <w:rsid w:val="02DC6CC5"/>
    <w:rsid w:val="02ED032C"/>
    <w:rsid w:val="03396774"/>
    <w:rsid w:val="035768B9"/>
    <w:rsid w:val="03CB3F68"/>
    <w:rsid w:val="03ED1F74"/>
    <w:rsid w:val="041F7EAB"/>
    <w:rsid w:val="043B318D"/>
    <w:rsid w:val="04653B36"/>
    <w:rsid w:val="04797422"/>
    <w:rsid w:val="04A23863"/>
    <w:rsid w:val="04C956ED"/>
    <w:rsid w:val="04D4308B"/>
    <w:rsid w:val="04E12E7C"/>
    <w:rsid w:val="0510433A"/>
    <w:rsid w:val="051C77E7"/>
    <w:rsid w:val="05217E09"/>
    <w:rsid w:val="05493066"/>
    <w:rsid w:val="056079C7"/>
    <w:rsid w:val="05800695"/>
    <w:rsid w:val="05B660BD"/>
    <w:rsid w:val="05E40282"/>
    <w:rsid w:val="05FB20C0"/>
    <w:rsid w:val="061B315C"/>
    <w:rsid w:val="066806CE"/>
    <w:rsid w:val="06701197"/>
    <w:rsid w:val="06753BF2"/>
    <w:rsid w:val="067B182F"/>
    <w:rsid w:val="06C94E6E"/>
    <w:rsid w:val="06EE3B1E"/>
    <w:rsid w:val="06FF3073"/>
    <w:rsid w:val="07125502"/>
    <w:rsid w:val="073B2C16"/>
    <w:rsid w:val="080A675F"/>
    <w:rsid w:val="08842264"/>
    <w:rsid w:val="08B72BCC"/>
    <w:rsid w:val="090C214E"/>
    <w:rsid w:val="09173BCB"/>
    <w:rsid w:val="09521FE9"/>
    <w:rsid w:val="097F31BC"/>
    <w:rsid w:val="09806C65"/>
    <w:rsid w:val="098F06E2"/>
    <w:rsid w:val="09A26E12"/>
    <w:rsid w:val="09CF2B54"/>
    <w:rsid w:val="09DC3EB4"/>
    <w:rsid w:val="0A256E8D"/>
    <w:rsid w:val="0A774ADE"/>
    <w:rsid w:val="0AA73C9C"/>
    <w:rsid w:val="0ABC41B3"/>
    <w:rsid w:val="0B1D682D"/>
    <w:rsid w:val="0B7947EA"/>
    <w:rsid w:val="0BB30007"/>
    <w:rsid w:val="0BD25C28"/>
    <w:rsid w:val="0BD41231"/>
    <w:rsid w:val="0BFA0A35"/>
    <w:rsid w:val="0C3774F4"/>
    <w:rsid w:val="0C390B05"/>
    <w:rsid w:val="0CA95DF4"/>
    <w:rsid w:val="0CAE0A7C"/>
    <w:rsid w:val="0CE44628"/>
    <w:rsid w:val="0D116EE1"/>
    <w:rsid w:val="0D3715BC"/>
    <w:rsid w:val="0D6D3969"/>
    <w:rsid w:val="0D9A0EF0"/>
    <w:rsid w:val="0DFF7E14"/>
    <w:rsid w:val="0E2A7BBB"/>
    <w:rsid w:val="0EB73148"/>
    <w:rsid w:val="0ED40077"/>
    <w:rsid w:val="0EEE62D0"/>
    <w:rsid w:val="0F055772"/>
    <w:rsid w:val="0F27378A"/>
    <w:rsid w:val="0F613FB3"/>
    <w:rsid w:val="0FAB0C1F"/>
    <w:rsid w:val="0FC75DD0"/>
    <w:rsid w:val="0FEE37AF"/>
    <w:rsid w:val="0FF91371"/>
    <w:rsid w:val="101A2B69"/>
    <w:rsid w:val="102772EC"/>
    <w:rsid w:val="1030629C"/>
    <w:rsid w:val="103C5DEB"/>
    <w:rsid w:val="106F7CF1"/>
    <w:rsid w:val="107F4B69"/>
    <w:rsid w:val="10A07B6C"/>
    <w:rsid w:val="10F276A2"/>
    <w:rsid w:val="112E06CB"/>
    <w:rsid w:val="11420976"/>
    <w:rsid w:val="119A635C"/>
    <w:rsid w:val="11BD516B"/>
    <w:rsid w:val="11E04FCB"/>
    <w:rsid w:val="11E3258F"/>
    <w:rsid w:val="120307FD"/>
    <w:rsid w:val="125E2AE5"/>
    <w:rsid w:val="12B609C0"/>
    <w:rsid w:val="12B65818"/>
    <w:rsid w:val="132A55E9"/>
    <w:rsid w:val="135A5A4B"/>
    <w:rsid w:val="1361117F"/>
    <w:rsid w:val="136F4652"/>
    <w:rsid w:val="13705C3E"/>
    <w:rsid w:val="13855D75"/>
    <w:rsid w:val="138D3A0D"/>
    <w:rsid w:val="13CB17F0"/>
    <w:rsid w:val="13EC2EF2"/>
    <w:rsid w:val="14046E3F"/>
    <w:rsid w:val="142E0C48"/>
    <w:rsid w:val="142F2CC7"/>
    <w:rsid w:val="144C4645"/>
    <w:rsid w:val="14602758"/>
    <w:rsid w:val="14914356"/>
    <w:rsid w:val="14AE0A36"/>
    <w:rsid w:val="150653C9"/>
    <w:rsid w:val="151035A5"/>
    <w:rsid w:val="15145DCF"/>
    <w:rsid w:val="15146EC9"/>
    <w:rsid w:val="1520563D"/>
    <w:rsid w:val="15301D14"/>
    <w:rsid w:val="153B2BA8"/>
    <w:rsid w:val="155B6462"/>
    <w:rsid w:val="15626F79"/>
    <w:rsid w:val="1576372D"/>
    <w:rsid w:val="15932B3C"/>
    <w:rsid w:val="161F165B"/>
    <w:rsid w:val="162F66DC"/>
    <w:rsid w:val="1659544C"/>
    <w:rsid w:val="16AD12F5"/>
    <w:rsid w:val="17375B19"/>
    <w:rsid w:val="174A56D6"/>
    <w:rsid w:val="17870498"/>
    <w:rsid w:val="17B802A9"/>
    <w:rsid w:val="18091053"/>
    <w:rsid w:val="181E5C16"/>
    <w:rsid w:val="18281CEA"/>
    <w:rsid w:val="189B0214"/>
    <w:rsid w:val="18BF0DF6"/>
    <w:rsid w:val="195E07DD"/>
    <w:rsid w:val="197D5564"/>
    <w:rsid w:val="19843642"/>
    <w:rsid w:val="19B22043"/>
    <w:rsid w:val="19E40460"/>
    <w:rsid w:val="1A033708"/>
    <w:rsid w:val="1A1B0B68"/>
    <w:rsid w:val="1A457729"/>
    <w:rsid w:val="1A78314D"/>
    <w:rsid w:val="1B5A23C8"/>
    <w:rsid w:val="1BFC4C75"/>
    <w:rsid w:val="1C031982"/>
    <w:rsid w:val="1C141080"/>
    <w:rsid w:val="1C602777"/>
    <w:rsid w:val="1C9129EB"/>
    <w:rsid w:val="1C9F17BA"/>
    <w:rsid w:val="1CB27A63"/>
    <w:rsid w:val="1CF17903"/>
    <w:rsid w:val="1D0C7304"/>
    <w:rsid w:val="1D11123D"/>
    <w:rsid w:val="1D207785"/>
    <w:rsid w:val="1D444AA4"/>
    <w:rsid w:val="1D542E03"/>
    <w:rsid w:val="1D6977B5"/>
    <w:rsid w:val="1DAF5E32"/>
    <w:rsid w:val="1DDE046F"/>
    <w:rsid w:val="1DEC3EC2"/>
    <w:rsid w:val="1E0C1176"/>
    <w:rsid w:val="1E124D49"/>
    <w:rsid w:val="1E160443"/>
    <w:rsid w:val="1E1E65BA"/>
    <w:rsid w:val="1E486C17"/>
    <w:rsid w:val="1E5F6DD7"/>
    <w:rsid w:val="1E69676B"/>
    <w:rsid w:val="1E697260"/>
    <w:rsid w:val="1EAD3F0A"/>
    <w:rsid w:val="1ECC4C20"/>
    <w:rsid w:val="1EDA6656"/>
    <w:rsid w:val="1EE82A96"/>
    <w:rsid w:val="1F042779"/>
    <w:rsid w:val="1F10651D"/>
    <w:rsid w:val="1F281CAE"/>
    <w:rsid w:val="1F2A6F7D"/>
    <w:rsid w:val="1F2E38C2"/>
    <w:rsid w:val="1F376BD8"/>
    <w:rsid w:val="1F4B7EBE"/>
    <w:rsid w:val="1F5270E1"/>
    <w:rsid w:val="1F553C7B"/>
    <w:rsid w:val="1F5A0C2C"/>
    <w:rsid w:val="1F824486"/>
    <w:rsid w:val="1F8A7204"/>
    <w:rsid w:val="1FB362BB"/>
    <w:rsid w:val="1FC711A8"/>
    <w:rsid w:val="200459E1"/>
    <w:rsid w:val="20230EFD"/>
    <w:rsid w:val="203449FF"/>
    <w:rsid w:val="207C5FAD"/>
    <w:rsid w:val="20C32872"/>
    <w:rsid w:val="20C75C1C"/>
    <w:rsid w:val="20CE65B6"/>
    <w:rsid w:val="20D32BE3"/>
    <w:rsid w:val="20E64CEA"/>
    <w:rsid w:val="20E7257E"/>
    <w:rsid w:val="20FB7E02"/>
    <w:rsid w:val="20FF1F08"/>
    <w:rsid w:val="21075A8F"/>
    <w:rsid w:val="211346B2"/>
    <w:rsid w:val="211A310E"/>
    <w:rsid w:val="219D23CB"/>
    <w:rsid w:val="21A838A0"/>
    <w:rsid w:val="22227DFA"/>
    <w:rsid w:val="22650CE8"/>
    <w:rsid w:val="22A819CE"/>
    <w:rsid w:val="22D00846"/>
    <w:rsid w:val="22E15880"/>
    <w:rsid w:val="22EF7AD6"/>
    <w:rsid w:val="231A6E57"/>
    <w:rsid w:val="231A6EE1"/>
    <w:rsid w:val="236A7B6C"/>
    <w:rsid w:val="23986C08"/>
    <w:rsid w:val="23AE4FF8"/>
    <w:rsid w:val="23B14E3F"/>
    <w:rsid w:val="23BA5B3C"/>
    <w:rsid w:val="24230877"/>
    <w:rsid w:val="24297798"/>
    <w:rsid w:val="242B6907"/>
    <w:rsid w:val="2447270D"/>
    <w:rsid w:val="244733EF"/>
    <w:rsid w:val="249841EE"/>
    <w:rsid w:val="24B7251C"/>
    <w:rsid w:val="24CE7745"/>
    <w:rsid w:val="250307D8"/>
    <w:rsid w:val="25C8311D"/>
    <w:rsid w:val="25DF562E"/>
    <w:rsid w:val="25E97A87"/>
    <w:rsid w:val="25F43031"/>
    <w:rsid w:val="260A2713"/>
    <w:rsid w:val="262122BE"/>
    <w:rsid w:val="262801D3"/>
    <w:rsid w:val="26531F41"/>
    <w:rsid w:val="265E407D"/>
    <w:rsid w:val="269F7E8D"/>
    <w:rsid w:val="26B84767"/>
    <w:rsid w:val="275B711E"/>
    <w:rsid w:val="277D2F86"/>
    <w:rsid w:val="27956BAF"/>
    <w:rsid w:val="27FB32A4"/>
    <w:rsid w:val="28182A48"/>
    <w:rsid w:val="28336791"/>
    <w:rsid w:val="285A6999"/>
    <w:rsid w:val="286F6172"/>
    <w:rsid w:val="288C6E0C"/>
    <w:rsid w:val="28AE1710"/>
    <w:rsid w:val="28B54177"/>
    <w:rsid w:val="28EA0700"/>
    <w:rsid w:val="28F53AAF"/>
    <w:rsid w:val="2908133D"/>
    <w:rsid w:val="290A2824"/>
    <w:rsid w:val="291D0B87"/>
    <w:rsid w:val="299B44E9"/>
    <w:rsid w:val="29DA1E27"/>
    <w:rsid w:val="2A401DE8"/>
    <w:rsid w:val="2A5C75E3"/>
    <w:rsid w:val="2A607FB3"/>
    <w:rsid w:val="2A641DDC"/>
    <w:rsid w:val="2A8C66F3"/>
    <w:rsid w:val="2AF4605D"/>
    <w:rsid w:val="2B3B520A"/>
    <w:rsid w:val="2B92079B"/>
    <w:rsid w:val="2BA656E8"/>
    <w:rsid w:val="2BAA6D24"/>
    <w:rsid w:val="2BB63723"/>
    <w:rsid w:val="2BED4B0E"/>
    <w:rsid w:val="2C422A6F"/>
    <w:rsid w:val="2CB22747"/>
    <w:rsid w:val="2CB76468"/>
    <w:rsid w:val="2CCA58F5"/>
    <w:rsid w:val="2CD54BC8"/>
    <w:rsid w:val="2CFA62AE"/>
    <w:rsid w:val="2D0A1CC3"/>
    <w:rsid w:val="2D25281A"/>
    <w:rsid w:val="2D4233CE"/>
    <w:rsid w:val="2D6061D5"/>
    <w:rsid w:val="2D6E53DD"/>
    <w:rsid w:val="2D881B89"/>
    <w:rsid w:val="2DD51A0C"/>
    <w:rsid w:val="2DD96793"/>
    <w:rsid w:val="2E0F7092"/>
    <w:rsid w:val="2E15303B"/>
    <w:rsid w:val="2E2006A8"/>
    <w:rsid w:val="2E221A58"/>
    <w:rsid w:val="2E2611CA"/>
    <w:rsid w:val="2E3F6C58"/>
    <w:rsid w:val="2E6F4F09"/>
    <w:rsid w:val="2E6F75E9"/>
    <w:rsid w:val="2EC82F7F"/>
    <w:rsid w:val="2ED90248"/>
    <w:rsid w:val="2F0A4643"/>
    <w:rsid w:val="2F335A35"/>
    <w:rsid w:val="2F707D4C"/>
    <w:rsid w:val="2F9E0614"/>
    <w:rsid w:val="2FA1746D"/>
    <w:rsid w:val="2FAB13F4"/>
    <w:rsid w:val="2FCF5439"/>
    <w:rsid w:val="301E4681"/>
    <w:rsid w:val="303C4403"/>
    <w:rsid w:val="304C0745"/>
    <w:rsid w:val="304C40CB"/>
    <w:rsid w:val="305F20F6"/>
    <w:rsid w:val="309C44A5"/>
    <w:rsid w:val="309C4B08"/>
    <w:rsid w:val="30E329B0"/>
    <w:rsid w:val="30EF7A1E"/>
    <w:rsid w:val="3154442B"/>
    <w:rsid w:val="3188443B"/>
    <w:rsid w:val="31B23CA9"/>
    <w:rsid w:val="31C54681"/>
    <w:rsid w:val="31E5688B"/>
    <w:rsid w:val="3206081A"/>
    <w:rsid w:val="321B2714"/>
    <w:rsid w:val="32284500"/>
    <w:rsid w:val="322B75B2"/>
    <w:rsid w:val="325A57AA"/>
    <w:rsid w:val="325E0A31"/>
    <w:rsid w:val="328B3EC3"/>
    <w:rsid w:val="328D1409"/>
    <w:rsid w:val="328D38DD"/>
    <w:rsid w:val="32924089"/>
    <w:rsid w:val="32957FF6"/>
    <w:rsid w:val="32A557E7"/>
    <w:rsid w:val="32BF186D"/>
    <w:rsid w:val="33384993"/>
    <w:rsid w:val="334D1F20"/>
    <w:rsid w:val="33B97085"/>
    <w:rsid w:val="33C7406F"/>
    <w:rsid w:val="33E60FDF"/>
    <w:rsid w:val="345034EF"/>
    <w:rsid w:val="345E6CFC"/>
    <w:rsid w:val="346C0E2C"/>
    <w:rsid w:val="348E58A8"/>
    <w:rsid w:val="34947BC1"/>
    <w:rsid w:val="34954186"/>
    <w:rsid w:val="34DB0B59"/>
    <w:rsid w:val="34F61F9F"/>
    <w:rsid w:val="350A5E29"/>
    <w:rsid w:val="35461F93"/>
    <w:rsid w:val="3561580D"/>
    <w:rsid w:val="35664689"/>
    <w:rsid w:val="356959C6"/>
    <w:rsid w:val="358D6480"/>
    <w:rsid w:val="35BA6E58"/>
    <w:rsid w:val="35E2649A"/>
    <w:rsid w:val="360264A9"/>
    <w:rsid w:val="360C06E6"/>
    <w:rsid w:val="36113514"/>
    <w:rsid w:val="3697219A"/>
    <w:rsid w:val="36992961"/>
    <w:rsid w:val="369D39E3"/>
    <w:rsid w:val="36B05B59"/>
    <w:rsid w:val="372B298C"/>
    <w:rsid w:val="37481875"/>
    <w:rsid w:val="37522A6A"/>
    <w:rsid w:val="379D1DA5"/>
    <w:rsid w:val="37A02F74"/>
    <w:rsid w:val="37B20FD6"/>
    <w:rsid w:val="38043398"/>
    <w:rsid w:val="38224578"/>
    <w:rsid w:val="38BF4679"/>
    <w:rsid w:val="38FD1BA1"/>
    <w:rsid w:val="390A51D4"/>
    <w:rsid w:val="390D65AB"/>
    <w:rsid w:val="392347F2"/>
    <w:rsid w:val="39377C79"/>
    <w:rsid w:val="39402C19"/>
    <w:rsid w:val="394B537B"/>
    <w:rsid w:val="39537973"/>
    <w:rsid w:val="39575767"/>
    <w:rsid w:val="395B02B0"/>
    <w:rsid w:val="396E1613"/>
    <w:rsid w:val="39816173"/>
    <w:rsid w:val="398D62DA"/>
    <w:rsid w:val="39C767CB"/>
    <w:rsid w:val="3A2E383F"/>
    <w:rsid w:val="3A38341D"/>
    <w:rsid w:val="3A4271EF"/>
    <w:rsid w:val="3A6C13B5"/>
    <w:rsid w:val="3A7E1E03"/>
    <w:rsid w:val="3A7F12A5"/>
    <w:rsid w:val="3AA66B3D"/>
    <w:rsid w:val="3AAE6C4A"/>
    <w:rsid w:val="3AB44084"/>
    <w:rsid w:val="3AC62FF3"/>
    <w:rsid w:val="3AE03F05"/>
    <w:rsid w:val="3B081BA5"/>
    <w:rsid w:val="3B0A699B"/>
    <w:rsid w:val="3B4D232C"/>
    <w:rsid w:val="3B520BD4"/>
    <w:rsid w:val="3BA843D8"/>
    <w:rsid w:val="3BBD5BE1"/>
    <w:rsid w:val="3BD90B67"/>
    <w:rsid w:val="3BE93C37"/>
    <w:rsid w:val="3BFF3DA2"/>
    <w:rsid w:val="3C2C376D"/>
    <w:rsid w:val="3C762F96"/>
    <w:rsid w:val="3CD803F5"/>
    <w:rsid w:val="3DA300CC"/>
    <w:rsid w:val="3DFF244D"/>
    <w:rsid w:val="3E3A583F"/>
    <w:rsid w:val="3E5B2511"/>
    <w:rsid w:val="3E6542AC"/>
    <w:rsid w:val="3E742CCF"/>
    <w:rsid w:val="3F2B7DC1"/>
    <w:rsid w:val="3F4706B4"/>
    <w:rsid w:val="3F9821AD"/>
    <w:rsid w:val="3FA30624"/>
    <w:rsid w:val="40293BDD"/>
    <w:rsid w:val="402F0E60"/>
    <w:rsid w:val="40650D85"/>
    <w:rsid w:val="408E3042"/>
    <w:rsid w:val="40B05593"/>
    <w:rsid w:val="40B66EA5"/>
    <w:rsid w:val="40D5243A"/>
    <w:rsid w:val="40D85E96"/>
    <w:rsid w:val="40E403BC"/>
    <w:rsid w:val="40FC0D16"/>
    <w:rsid w:val="41022C35"/>
    <w:rsid w:val="410B7B6F"/>
    <w:rsid w:val="4168719B"/>
    <w:rsid w:val="41690DC2"/>
    <w:rsid w:val="41B46903"/>
    <w:rsid w:val="41D1032E"/>
    <w:rsid w:val="41FF5C18"/>
    <w:rsid w:val="421100D9"/>
    <w:rsid w:val="42137A09"/>
    <w:rsid w:val="4218667B"/>
    <w:rsid w:val="421B034D"/>
    <w:rsid w:val="4249394E"/>
    <w:rsid w:val="424E7F26"/>
    <w:rsid w:val="42820A1E"/>
    <w:rsid w:val="428A7652"/>
    <w:rsid w:val="432E2543"/>
    <w:rsid w:val="4378752D"/>
    <w:rsid w:val="439763B1"/>
    <w:rsid w:val="439A435B"/>
    <w:rsid w:val="444036DE"/>
    <w:rsid w:val="44455FAB"/>
    <w:rsid w:val="44503031"/>
    <w:rsid w:val="44A5457A"/>
    <w:rsid w:val="44FB77D4"/>
    <w:rsid w:val="4504575F"/>
    <w:rsid w:val="451D7235"/>
    <w:rsid w:val="454413CC"/>
    <w:rsid w:val="45791C94"/>
    <w:rsid w:val="45844C92"/>
    <w:rsid w:val="45895D14"/>
    <w:rsid w:val="458A0E4F"/>
    <w:rsid w:val="458C5A82"/>
    <w:rsid w:val="45966F41"/>
    <w:rsid w:val="45A2438B"/>
    <w:rsid w:val="45B40C44"/>
    <w:rsid w:val="45B80B63"/>
    <w:rsid w:val="45F72EB0"/>
    <w:rsid w:val="460035CB"/>
    <w:rsid w:val="463362FF"/>
    <w:rsid w:val="46424A15"/>
    <w:rsid w:val="464B3735"/>
    <w:rsid w:val="464F0B08"/>
    <w:rsid w:val="4656472C"/>
    <w:rsid w:val="466B51DD"/>
    <w:rsid w:val="46795AF4"/>
    <w:rsid w:val="467D697B"/>
    <w:rsid w:val="46822A4E"/>
    <w:rsid w:val="46AF2C85"/>
    <w:rsid w:val="47092E17"/>
    <w:rsid w:val="47252737"/>
    <w:rsid w:val="473F71FA"/>
    <w:rsid w:val="475470F4"/>
    <w:rsid w:val="475A5C59"/>
    <w:rsid w:val="47734026"/>
    <w:rsid w:val="479F4EB3"/>
    <w:rsid w:val="47AE0CE9"/>
    <w:rsid w:val="47B2590A"/>
    <w:rsid w:val="48234DD8"/>
    <w:rsid w:val="48461AE1"/>
    <w:rsid w:val="486D787D"/>
    <w:rsid w:val="48AF72B0"/>
    <w:rsid w:val="48B7328B"/>
    <w:rsid w:val="48C23575"/>
    <w:rsid w:val="48C53B7F"/>
    <w:rsid w:val="48E45A31"/>
    <w:rsid w:val="492961B0"/>
    <w:rsid w:val="49424D7C"/>
    <w:rsid w:val="49A907C6"/>
    <w:rsid w:val="49D25657"/>
    <w:rsid w:val="49DD213A"/>
    <w:rsid w:val="4A22222C"/>
    <w:rsid w:val="4A723E18"/>
    <w:rsid w:val="4AA02387"/>
    <w:rsid w:val="4AB74CED"/>
    <w:rsid w:val="4ACF2388"/>
    <w:rsid w:val="4B1420F9"/>
    <w:rsid w:val="4B2D36D9"/>
    <w:rsid w:val="4B6A2053"/>
    <w:rsid w:val="4B844AD8"/>
    <w:rsid w:val="4BF77696"/>
    <w:rsid w:val="4C4758C2"/>
    <w:rsid w:val="4C6E3AAD"/>
    <w:rsid w:val="4C7217B8"/>
    <w:rsid w:val="4CAA63D8"/>
    <w:rsid w:val="4CAE72B5"/>
    <w:rsid w:val="4CB55031"/>
    <w:rsid w:val="4CC12650"/>
    <w:rsid w:val="4CFC0C00"/>
    <w:rsid w:val="4D0E3D3E"/>
    <w:rsid w:val="4D186FB7"/>
    <w:rsid w:val="4D227F38"/>
    <w:rsid w:val="4D36792B"/>
    <w:rsid w:val="4D3A3B52"/>
    <w:rsid w:val="4D5D79AC"/>
    <w:rsid w:val="4D9352A4"/>
    <w:rsid w:val="4DAB5E00"/>
    <w:rsid w:val="4DAE3EFC"/>
    <w:rsid w:val="4DBB6E4D"/>
    <w:rsid w:val="4E124217"/>
    <w:rsid w:val="4E2410E9"/>
    <w:rsid w:val="4E283DB2"/>
    <w:rsid w:val="4E69222C"/>
    <w:rsid w:val="4EAA7AF7"/>
    <w:rsid w:val="4EB165CC"/>
    <w:rsid w:val="4EB35A9F"/>
    <w:rsid w:val="4EF664BE"/>
    <w:rsid w:val="4F004D52"/>
    <w:rsid w:val="4F5B71D2"/>
    <w:rsid w:val="4F6C28E6"/>
    <w:rsid w:val="4F736595"/>
    <w:rsid w:val="4FA453BC"/>
    <w:rsid w:val="4FB07D92"/>
    <w:rsid w:val="4FD5752A"/>
    <w:rsid w:val="4FEC32B0"/>
    <w:rsid w:val="50046A02"/>
    <w:rsid w:val="50465A57"/>
    <w:rsid w:val="50500AD8"/>
    <w:rsid w:val="50932CAE"/>
    <w:rsid w:val="50A30F52"/>
    <w:rsid w:val="50A555CB"/>
    <w:rsid w:val="50E30B5C"/>
    <w:rsid w:val="50F245C6"/>
    <w:rsid w:val="51213DB9"/>
    <w:rsid w:val="51823903"/>
    <w:rsid w:val="519C0AAF"/>
    <w:rsid w:val="51B373F3"/>
    <w:rsid w:val="52125589"/>
    <w:rsid w:val="52590CEB"/>
    <w:rsid w:val="52661B6B"/>
    <w:rsid w:val="526A4FBF"/>
    <w:rsid w:val="5274263E"/>
    <w:rsid w:val="52A30A36"/>
    <w:rsid w:val="531E4A55"/>
    <w:rsid w:val="53355246"/>
    <w:rsid w:val="5343664A"/>
    <w:rsid w:val="5371071E"/>
    <w:rsid w:val="53812351"/>
    <w:rsid w:val="53937F8B"/>
    <w:rsid w:val="539C5984"/>
    <w:rsid w:val="53A47CCD"/>
    <w:rsid w:val="53B735E6"/>
    <w:rsid w:val="542E77BF"/>
    <w:rsid w:val="54320111"/>
    <w:rsid w:val="545B2BD9"/>
    <w:rsid w:val="546641F4"/>
    <w:rsid w:val="54A34B37"/>
    <w:rsid w:val="54D87E10"/>
    <w:rsid w:val="55425342"/>
    <w:rsid w:val="5562705C"/>
    <w:rsid w:val="55A047CB"/>
    <w:rsid w:val="567942AD"/>
    <w:rsid w:val="56815510"/>
    <w:rsid w:val="5683436D"/>
    <w:rsid w:val="56C10F52"/>
    <w:rsid w:val="56F85A4A"/>
    <w:rsid w:val="572810F9"/>
    <w:rsid w:val="572D1965"/>
    <w:rsid w:val="5756669B"/>
    <w:rsid w:val="579935BE"/>
    <w:rsid w:val="57AE0304"/>
    <w:rsid w:val="57B130F2"/>
    <w:rsid w:val="57CB0A79"/>
    <w:rsid w:val="57D63C0D"/>
    <w:rsid w:val="57E876CE"/>
    <w:rsid w:val="57F60D52"/>
    <w:rsid w:val="58A34022"/>
    <w:rsid w:val="58AD1C51"/>
    <w:rsid w:val="58C85847"/>
    <w:rsid w:val="59275901"/>
    <w:rsid w:val="596F4CF5"/>
    <w:rsid w:val="599E18DE"/>
    <w:rsid w:val="59A46112"/>
    <w:rsid w:val="59AF237A"/>
    <w:rsid w:val="59E366FF"/>
    <w:rsid w:val="5A167273"/>
    <w:rsid w:val="5A1A2F79"/>
    <w:rsid w:val="5A7E335F"/>
    <w:rsid w:val="5A940A69"/>
    <w:rsid w:val="5AC836CF"/>
    <w:rsid w:val="5AC93FB2"/>
    <w:rsid w:val="5AD14724"/>
    <w:rsid w:val="5AD2642D"/>
    <w:rsid w:val="5B10604E"/>
    <w:rsid w:val="5B232C91"/>
    <w:rsid w:val="5B311F13"/>
    <w:rsid w:val="5B624C65"/>
    <w:rsid w:val="5C262D3E"/>
    <w:rsid w:val="5C264572"/>
    <w:rsid w:val="5C3D77A8"/>
    <w:rsid w:val="5C8D4F42"/>
    <w:rsid w:val="5CD4142B"/>
    <w:rsid w:val="5D380DBC"/>
    <w:rsid w:val="5D517CFB"/>
    <w:rsid w:val="5D6C5193"/>
    <w:rsid w:val="5D6D1D69"/>
    <w:rsid w:val="5DBC09DE"/>
    <w:rsid w:val="5DCD4CA5"/>
    <w:rsid w:val="5DE42170"/>
    <w:rsid w:val="5DFD3235"/>
    <w:rsid w:val="5E126D90"/>
    <w:rsid w:val="5E1A2F09"/>
    <w:rsid w:val="5E447542"/>
    <w:rsid w:val="5E534128"/>
    <w:rsid w:val="5E5D5539"/>
    <w:rsid w:val="5E7D0D25"/>
    <w:rsid w:val="5EC37E26"/>
    <w:rsid w:val="5ECB69D9"/>
    <w:rsid w:val="5EE16157"/>
    <w:rsid w:val="5EEE173B"/>
    <w:rsid w:val="5F0B303C"/>
    <w:rsid w:val="5F1C7C00"/>
    <w:rsid w:val="5F6E51B5"/>
    <w:rsid w:val="602C328A"/>
    <w:rsid w:val="604E14BB"/>
    <w:rsid w:val="6084567E"/>
    <w:rsid w:val="60CF460D"/>
    <w:rsid w:val="60DF32AA"/>
    <w:rsid w:val="61236F06"/>
    <w:rsid w:val="61376A44"/>
    <w:rsid w:val="614A63DC"/>
    <w:rsid w:val="614D594C"/>
    <w:rsid w:val="61A92E6E"/>
    <w:rsid w:val="620166AA"/>
    <w:rsid w:val="620C7120"/>
    <w:rsid w:val="62251A90"/>
    <w:rsid w:val="624B77F9"/>
    <w:rsid w:val="626706FA"/>
    <w:rsid w:val="62806285"/>
    <w:rsid w:val="62903737"/>
    <w:rsid w:val="62C01273"/>
    <w:rsid w:val="62F563E8"/>
    <w:rsid w:val="630B12C3"/>
    <w:rsid w:val="632F201F"/>
    <w:rsid w:val="633057C4"/>
    <w:rsid w:val="63A62EF2"/>
    <w:rsid w:val="63EE2559"/>
    <w:rsid w:val="64085DC3"/>
    <w:rsid w:val="640A2152"/>
    <w:rsid w:val="64462637"/>
    <w:rsid w:val="649011F9"/>
    <w:rsid w:val="64D040B7"/>
    <w:rsid w:val="64D610E4"/>
    <w:rsid w:val="652D0BB6"/>
    <w:rsid w:val="653423AC"/>
    <w:rsid w:val="65440183"/>
    <w:rsid w:val="65491CBF"/>
    <w:rsid w:val="65492476"/>
    <w:rsid w:val="656C6F19"/>
    <w:rsid w:val="658C2D1B"/>
    <w:rsid w:val="65DB11EF"/>
    <w:rsid w:val="65E721C7"/>
    <w:rsid w:val="662D3BEC"/>
    <w:rsid w:val="663A7680"/>
    <w:rsid w:val="66AF441E"/>
    <w:rsid w:val="6707010B"/>
    <w:rsid w:val="674F4948"/>
    <w:rsid w:val="6778540E"/>
    <w:rsid w:val="67D257AB"/>
    <w:rsid w:val="683A74E7"/>
    <w:rsid w:val="684829BE"/>
    <w:rsid w:val="68530653"/>
    <w:rsid w:val="685331A6"/>
    <w:rsid w:val="687B1F73"/>
    <w:rsid w:val="68981B62"/>
    <w:rsid w:val="68B6461A"/>
    <w:rsid w:val="68DD5B22"/>
    <w:rsid w:val="68EF3A3E"/>
    <w:rsid w:val="68F16395"/>
    <w:rsid w:val="68F823B9"/>
    <w:rsid w:val="6976017E"/>
    <w:rsid w:val="69AC5620"/>
    <w:rsid w:val="69D04CA0"/>
    <w:rsid w:val="69E6514B"/>
    <w:rsid w:val="6A1A62D7"/>
    <w:rsid w:val="6A2966D8"/>
    <w:rsid w:val="6A551A86"/>
    <w:rsid w:val="6A6E55CB"/>
    <w:rsid w:val="6ABD1D58"/>
    <w:rsid w:val="6C2D1331"/>
    <w:rsid w:val="6C377991"/>
    <w:rsid w:val="6C795EDE"/>
    <w:rsid w:val="6C8D1D1B"/>
    <w:rsid w:val="6C9A0FC1"/>
    <w:rsid w:val="6C9F224F"/>
    <w:rsid w:val="6CD7144B"/>
    <w:rsid w:val="6CF5226F"/>
    <w:rsid w:val="6D186011"/>
    <w:rsid w:val="6D1E3857"/>
    <w:rsid w:val="6D685AFE"/>
    <w:rsid w:val="6D845E8A"/>
    <w:rsid w:val="6D8D5C50"/>
    <w:rsid w:val="6DE0494C"/>
    <w:rsid w:val="6E8C054C"/>
    <w:rsid w:val="6E904165"/>
    <w:rsid w:val="6EA71C0C"/>
    <w:rsid w:val="6ECF7C6A"/>
    <w:rsid w:val="6EE430EA"/>
    <w:rsid w:val="6EEC46BD"/>
    <w:rsid w:val="6F0F5058"/>
    <w:rsid w:val="6F563E10"/>
    <w:rsid w:val="6F6F1A08"/>
    <w:rsid w:val="6F7D14A0"/>
    <w:rsid w:val="6F867C21"/>
    <w:rsid w:val="6F8A45DE"/>
    <w:rsid w:val="6FB84CDD"/>
    <w:rsid w:val="6FE427E0"/>
    <w:rsid w:val="70012B43"/>
    <w:rsid w:val="700F4DB6"/>
    <w:rsid w:val="7010591F"/>
    <w:rsid w:val="702B2593"/>
    <w:rsid w:val="702C30DF"/>
    <w:rsid w:val="703511A3"/>
    <w:rsid w:val="70351C08"/>
    <w:rsid w:val="70515824"/>
    <w:rsid w:val="70C438F7"/>
    <w:rsid w:val="70DC6D34"/>
    <w:rsid w:val="70F21EE4"/>
    <w:rsid w:val="70F73345"/>
    <w:rsid w:val="70FB6C89"/>
    <w:rsid w:val="71080138"/>
    <w:rsid w:val="71432773"/>
    <w:rsid w:val="71792A92"/>
    <w:rsid w:val="71A00101"/>
    <w:rsid w:val="72124962"/>
    <w:rsid w:val="72B7581F"/>
    <w:rsid w:val="72CB6537"/>
    <w:rsid w:val="732123F4"/>
    <w:rsid w:val="733A37DA"/>
    <w:rsid w:val="733F3E46"/>
    <w:rsid w:val="7351628B"/>
    <w:rsid w:val="73576FEF"/>
    <w:rsid w:val="735C0F58"/>
    <w:rsid w:val="738F0E3C"/>
    <w:rsid w:val="73F43DB5"/>
    <w:rsid w:val="74067669"/>
    <w:rsid w:val="74366D0C"/>
    <w:rsid w:val="74384720"/>
    <w:rsid w:val="74475C1C"/>
    <w:rsid w:val="744D0A51"/>
    <w:rsid w:val="745D6D54"/>
    <w:rsid w:val="749D5D98"/>
    <w:rsid w:val="74A5377A"/>
    <w:rsid w:val="74B71EE0"/>
    <w:rsid w:val="7532053E"/>
    <w:rsid w:val="755A1846"/>
    <w:rsid w:val="755E559E"/>
    <w:rsid w:val="756368A2"/>
    <w:rsid w:val="75643B28"/>
    <w:rsid w:val="75700EB7"/>
    <w:rsid w:val="7577495C"/>
    <w:rsid w:val="75CB3365"/>
    <w:rsid w:val="75FE47D5"/>
    <w:rsid w:val="760334BF"/>
    <w:rsid w:val="7632535B"/>
    <w:rsid w:val="76334485"/>
    <w:rsid w:val="76522561"/>
    <w:rsid w:val="76674FDA"/>
    <w:rsid w:val="76764AF6"/>
    <w:rsid w:val="76A05DBD"/>
    <w:rsid w:val="76A43245"/>
    <w:rsid w:val="76AE6D17"/>
    <w:rsid w:val="76B17AF4"/>
    <w:rsid w:val="771813A6"/>
    <w:rsid w:val="777025C3"/>
    <w:rsid w:val="778F060B"/>
    <w:rsid w:val="77C90130"/>
    <w:rsid w:val="77E52D96"/>
    <w:rsid w:val="78021A05"/>
    <w:rsid w:val="78585443"/>
    <w:rsid w:val="78665EEF"/>
    <w:rsid w:val="787F5928"/>
    <w:rsid w:val="78AE1B42"/>
    <w:rsid w:val="78CD3F9A"/>
    <w:rsid w:val="78E84BD8"/>
    <w:rsid w:val="78F8196C"/>
    <w:rsid w:val="79187B81"/>
    <w:rsid w:val="79317863"/>
    <w:rsid w:val="79493017"/>
    <w:rsid w:val="794E667E"/>
    <w:rsid w:val="797337D8"/>
    <w:rsid w:val="7A6954B9"/>
    <w:rsid w:val="7AD52E3C"/>
    <w:rsid w:val="7ADF79E5"/>
    <w:rsid w:val="7AE222F3"/>
    <w:rsid w:val="7AF0159C"/>
    <w:rsid w:val="7B0D12AB"/>
    <w:rsid w:val="7B460B57"/>
    <w:rsid w:val="7B7F6237"/>
    <w:rsid w:val="7B9F502E"/>
    <w:rsid w:val="7BA571F3"/>
    <w:rsid w:val="7BFE4201"/>
    <w:rsid w:val="7C1D0C71"/>
    <w:rsid w:val="7C2076EB"/>
    <w:rsid w:val="7C3C03DB"/>
    <w:rsid w:val="7CB16BB4"/>
    <w:rsid w:val="7D247EBA"/>
    <w:rsid w:val="7D874537"/>
    <w:rsid w:val="7D907AC8"/>
    <w:rsid w:val="7DA46CEF"/>
    <w:rsid w:val="7DA74E79"/>
    <w:rsid w:val="7DD3428C"/>
    <w:rsid w:val="7DD35454"/>
    <w:rsid w:val="7DDA3B16"/>
    <w:rsid w:val="7DDC0686"/>
    <w:rsid w:val="7DEC44FF"/>
    <w:rsid w:val="7DFA7ECE"/>
    <w:rsid w:val="7E0D0641"/>
    <w:rsid w:val="7E122AA1"/>
    <w:rsid w:val="7E583575"/>
    <w:rsid w:val="7E83520B"/>
    <w:rsid w:val="7E8E7EEE"/>
    <w:rsid w:val="7E986DD4"/>
    <w:rsid w:val="7E9B4309"/>
    <w:rsid w:val="7EAF2586"/>
    <w:rsid w:val="7EC0449B"/>
    <w:rsid w:val="7F15144C"/>
    <w:rsid w:val="7F5C293A"/>
    <w:rsid w:val="7F93221E"/>
    <w:rsid w:val="7FA358A0"/>
    <w:rsid w:val="7FA83612"/>
    <w:rsid w:val="7FA95993"/>
    <w:rsid w:val="7FCC0893"/>
    <w:rsid w:val="7FD545F9"/>
    <w:rsid w:val="7FFF1DD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2"/>
    <w:uiPriority w:val="99"/>
    <w:pPr>
      <w:ind w:firstLine="615" w:firstLineChars="195"/>
    </w:pPr>
  </w:style>
  <w:style w:type="paragraph" w:styleId="3">
    <w:name w:val="footer"/>
    <w:basedOn w:val="1"/>
    <w:link w:val="13"/>
    <w:uiPriority w:val="99"/>
    <w:pPr>
      <w:snapToGrid w:val="0"/>
      <w:jc w:val="left"/>
    </w:pPr>
    <w:rPr>
      <w:sz w:val="18"/>
      <w:szCs w:val="18"/>
    </w:rPr>
  </w:style>
  <w:style w:type="paragraph" w:styleId="4">
    <w:name w:val="header"/>
    <w:basedOn w:val="1"/>
    <w:link w:val="14"/>
    <w:uiPriority w:val="99"/>
    <w:pPr>
      <w:pBdr>
        <w:bottom w:val="single" w:color="auto" w:sz="6" w:space="1"/>
      </w:pBdr>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paragraph" w:styleId="6">
    <w:name w:val="Body Text First Indent 2"/>
    <w:basedOn w:val="2"/>
    <w:link w:val="15"/>
    <w:uiPriority w:val="99"/>
    <w:pPr>
      <w:ind w:firstLine="420" w:firstLineChars="200"/>
    </w:pPr>
  </w:style>
  <w:style w:type="character" w:styleId="9">
    <w:name w:val="page number"/>
    <w:basedOn w:val="8"/>
    <w:uiPriority w:val="99"/>
  </w:style>
  <w:style w:type="character" w:styleId="10">
    <w:name w:val="FollowedHyperlink"/>
    <w:basedOn w:val="8"/>
    <w:qFormat/>
    <w:uiPriority w:val="99"/>
    <w:rPr>
      <w:color w:val="800080"/>
      <w:u w:val="single"/>
    </w:rPr>
  </w:style>
  <w:style w:type="character" w:styleId="11">
    <w:name w:val="Hyperlink"/>
    <w:basedOn w:val="8"/>
    <w:qFormat/>
    <w:uiPriority w:val="99"/>
    <w:rPr>
      <w:color w:val="0000FF"/>
      <w:u w:val="single"/>
    </w:rPr>
  </w:style>
  <w:style w:type="character" w:customStyle="1" w:styleId="12">
    <w:name w:val="正文文本缩进 Char"/>
    <w:basedOn w:val="8"/>
    <w:link w:val="2"/>
    <w:semiHidden/>
    <w:uiPriority w:val="99"/>
    <w:rPr>
      <w:szCs w:val="21"/>
    </w:rPr>
  </w:style>
  <w:style w:type="character" w:customStyle="1" w:styleId="13">
    <w:name w:val="页脚 Char"/>
    <w:basedOn w:val="8"/>
    <w:link w:val="3"/>
    <w:locked/>
    <w:uiPriority w:val="99"/>
    <w:rPr>
      <w:rFonts w:ascii="Times New Roman" w:hAnsi="Times New Roman" w:eastAsia="宋体" w:cs="Times New Roman"/>
      <w:sz w:val="18"/>
      <w:szCs w:val="18"/>
    </w:rPr>
  </w:style>
  <w:style w:type="character" w:customStyle="1" w:styleId="14">
    <w:name w:val="页眉 Char"/>
    <w:basedOn w:val="8"/>
    <w:link w:val="4"/>
    <w:locked/>
    <w:uiPriority w:val="99"/>
    <w:rPr>
      <w:rFonts w:ascii="Times New Roman" w:hAnsi="Times New Roman" w:eastAsia="宋体" w:cs="Times New Roman"/>
      <w:sz w:val="18"/>
      <w:szCs w:val="18"/>
    </w:rPr>
  </w:style>
  <w:style w:type="character" w:customStyle="1" w:styleId="15">
    <w:name w:val="正文首行缩进 2 Char"/>
    <w:basedOn w:val="12"/>
    <w:link w:val="6"/>
    <w:semiHidden/>
    <w:uiPriority w:val="99"/>
  </w:style>
  <w:style w:type="paragraph" w:customStyle="1" w:styleId="16">
    <w:name w:val="p0"/>
    <w:basedOn w:val="1"/>
    <w:qFormat/>
    <w:uiPriority w:val="99"/>
    <w:pPr>
      <w:widowControl/>
    </w:pPr>
    <w:rPr>
      <w:rFonts w:ascii="Calibri" w:hAnsi="Calibri" w:cs="Calibri"/>
      <w:kern w:val="0"/>
    </w:rPr>
  </w:style>
  <w:style w:type="paragraph" w:customStyle="1" w:styleId="17">
    <w:name w:val="Default"/>
    <w:basedOn w:val="1"/>
    <w:uiPriority w:val="99"/>
    <w:pPr>
      <w:autoSpaceDE w:val="0"/>
      <w:autoSpaceDN w:val="0"/>
      <w:adjustRightInd w:val="0"/>
      <w:jc w:val="left"/>
    </w:pPr>
    <w:rPr>
      <w:rFonts w:ascii="仿宋_GB2312" w:hAnsi="宋体" w:eastAsia="仿宋_GB2312" w:cs="仿宋_GB2312"/>
      <w:color w:val="000000"/>
      <w:kern w:val="0"/>
      <w:sz w:val="24"/>
      <w:szCs w:val="24"/>
    </w:rPr>
  </w:style>
  <w:style w:type="character" w:customStyle="1" w:styleId="18">
    <w:name w:val="10"/>
    <w:basedOn w:val="8"/>
    <w:qFormat/>
    <w:uiPriority w:val="99"/>
    <w:rPr>
      <w:rFonts w:ascii="Times New Roman" w:hAnsi="Times New Roman" w:cs="Times New Roman"/>
    </w:rPr>
  </w:style>
  <w:style w:type="character" w:customStyle="1" w:styleId="19">
    <w:name w:val="15"/>
    <w:basedOn w:val="8"/>
    <w:qFormat/>
    <w:uiPriority w:val="99"/>
    <w:rPr>
      <w:rFonts w:ascii="Times New Roman" w:hAnsi="Times New Roman" w:cs="Times New Roman"/>
    </w:rPr>
  </w:style>
  <w:style w:type="character" w:customStyle="1" w:styleId="20">
    <w:name w:val="font11"/>
    <w:basedOn w:val="8"/>
    <w:qFormat/>
    <w:uiPriority w:val="99"/>
    <w:rPr>
      <w:rFonts w:ascii="宋体" w:hAnsi="宋体" w:eastAsia="宋体" w:cs="宋体"/>
      <w:color w:val="000000"/>
      <w:sz w:val="20"/>
      <w:szCs w:val="20"/>
      <w:u w:val="none"/>
    </w:rPr>
  </w:style>
  <w:style w:type="character" w:customStyle="1" w:styleId="21">
    <w:name w:val="font01"/>
    <w:basedOn w:val="8"/>
    <w:qFormat/>
    <w:uiPriority w:val="99"/>
    <w:rPr>
      <w:rFonts w:ascii="Arial" w:hAnsi="Arial" w:cs="Arial"/>
      <w:color w:val="000000"/>
      <w:sz w:val="20"/>
      <w:szCs w:val="20"/>
      <w:u w:val="none"/>
    </w:rPr>
  </w:style>
  <w:style w:type="character" w:customStyle="1" w:styleId="22">
    <w:name w:val="font21"/>
    <w:basedOn w:val="8"/>
    <w:uiPriority w:val="99"/>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86E6BA-4C8C-411C-94BF-D3BB3F1777E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4512</Words>
  <Characters>25720</Characters>
  <Lines>214</Lines>
  <Paragraphs>60</Paragraphs>
  <TotalTime>19</TotalTime>
  <ScaleCrop>false</ScaleCrop>
  <LinksUpToDate>false</LinksUpToDate>
  <CharactersWithSpaces>30172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2021-04-08T08:35:00Z</dcterms:created>
  <dc:creator>Administrator</dc:creator>
  <cp:lastModifiedBy>Administrator</cp:lastModifiedBy>
  <dcterms:modified xsi:type="dcterms:W3CDTF">2021-11-16T02:59:11Z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