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黑体" w:hAnsi="ˎ̥" w:eastAsia="黑体" w:cs="宋体"/>
          <w:sz w:val="32"/>
          <w:szCs w:val="32"/>
        </w:rPr>
      </w:pPr>
    </w:p>
    <w:p>
      <w:pPr>
        <w:spacing w:line="590" w:lineRule="exact"/>
        <w:jc w:val="center"/>
        <w:rPr>
          <w:rFonts w:ascii="方正小标宋简体" w:hAnsi="ˎ̥" w:eastAsia="方正小标宋简体" w:cs="宋体"/>
          <w:b/>
          <w:bCs/>
          <w:sz w:val="44"/>
          <w:szCs w:val="44"/>
        </w:rPr>
      </w:pPr>
      <w:r>
        <w:rPr>
          <w:rFonts w:hint="eastAsia" w:ascii="方正小标宋简体" w:hAnsi="ˎ̥" w:eastAsia="方正小标宋简体" w:cs="宋体"/>
          <w:sz w:val="44"/>
          <w:szCs w:val="44"/>
        </w:rPr>
        <w:t>温岭市工商业联合会2021年部门预算</w:t>
      </w:r>
    </w:p>
    <w:p>
      <w:pPr>
        <w:spacing w:line="590" w:lineRule="exact"/>
        <w:ind w:firstLine="640" w:firstLineChars="200"/>
        <w:rPr>
          <w:rFonts w:ascii="仿宋_GB2312" w:hAnsi="ˎ̥" w:eastAsia="仿宋_GB2312" w:cs="宋体"/>
          <w:sz w:val="32"/>
          <w:szCs w:val="32"/>
        </w:rPr>
      </w:pPr>
    </w:p>
    <w:p>
      <w:pPr>
        <w:spacing w:line="590" w:lineRule="exact"/>
        <w:ind w:firstLine="640" w:firstLineChars="200"/>
        <w:rPr>
          <w:rFonts w:ascii="黑体" w:hAnsi="ˎ̥" w:eastAsia="黑体" w:cs="宋体"/>
          <w:sz w:val="32"/>
          <w:szCs w:val="32"/>
        </w:rPr>
      </w:pPr>
      <w:r>
        <w:rPr>
          <w:rFonts w:hint="eastAsia" w:ascii="黑体" w:hAnsi="ˎ̥" w:eastAsia="黑体" w:cs="宋体"/>
          <w:sz w:val="32"/>
          <w:szCs w:val="32"/>
        </w:rPr>
        <w:t>一、温岭市工商业联合会（以下简称市工商联）概况</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（一）主要职能</w:t>
      </w:r>
    </w:p>
    <w:p>
      <w:pPr>
        <w:spacing w:line="590" w:lineRule="exact"/>
        <w:ind w:firstLine="627" w:firstLineChars="196"/>
        <w:rPr>
          <w:rFonts w:ascii="仿宋_GB2312" w:eastAsia="仿宋_GB2312"/>
          <w:bCs/>
          <w:color w:val="000000"/>
          <w:sz w:val="32"/>
          <w:szCs w:val="32"/>
        </w:rPr>
      </w:pPr>
      <w:r>
        <w:rPr>
          <w:rFonts w:hint="eastAsia" w:ascii="仿宋_GB2312" w:eastAsia="仿宋_GB2312"/>
          <w:bCs/>
          <w:color w:val="000000"/>
          <w:sz w:val="32"/>
          <w:szCs w:val="32"/>
        </w:rPr>
        <w:t>1. 参与全市政治、经济、社会生活中的重要问题的政治协商。发挥民主监督的作用，参政议政。</w:t>
      </w:r>
    </w:p>
    <w:p>
      <w:pPr>
        <w:spacing w:line="590" w:lineRule="exact"/>
        <w:ind w:firstLine="627" w:firstLineChars="196"/>
        <w:rPr>
          <w:rFonts w:ascii="仿宋_GB2312" w:eastAsia="仿宋_GB2312"/>
          <w:bCs/>
          <w:color w:val="000000"/>
          <w:sz w:val="32"/>
          <w:szCs w:val="32"/>
        </w:rPr>
      </w:pPr>
      <w:r>
        <w:rPr>
          <w:rFonts w:hint="eastAsia" w:ascii="仿宋_GB2312" w:eastAsia="仿宋_GB2312"/>
          <w:bCs/>
          <w:color w:val="000000"/>
          <w:sz w:val="32"/>
          <w:szCs w:val="32"/>
        </w:rPr>
        <w:t>2. 负责工商界代表人士政治安排的推荐工作。</w:t>
      </w:r>
    </w:p>
    <w:p>
      <w:pPr>
        <w:spacing w:line="590" w:lineRule="exact"/>
        <w:ind w:firstLine="627" w:firstLineChars="196"/>
        <w:rPr>
          <w:rFonts w:ascii="仿宋_GB2312" w:eastAsia="仿宋_GB2312"/>
          <w:bCs/>
          <w:color w:val="000000"/>
          <w:sz w:val="32"/>
          <w:szCs w:val="32"/>
        </w:rPr>
      </w:pPr>
      <w:r>
        <w:rPr>
          <w:rFonts w:hint="eastAsia" w:ascii="仿宋_GB2312" w:eastAsia="仿宋_GB2312"/>
          <w:bCs/>
          <w:color w:val="000000"/>
          <w:sz w:val="32"/>
          <w:szCs w:val="32"/>
        </w:rPr>
        <w:t>3.引导会员积极参加国家经济建设，推动社会主义市场经济体制逐步完善，促进社会全面发展。</w:t>
      </w:r>
    </w:p>
    <w:p>
      <w:pPr>
        <w:spacing w:line="590" w:lineRule="exact"/>
        <w:ind w:firstLine="627" w:firstLineChars="196"/>
        <w:rPr>
          <w:rFonts w:ascii="仿宋_GB2312" w:eastAsia="仿宋_GB2312"/>
          <w:bCs/>
          <w:color w:val="000000"/>
          <w:sz w:val="32"/>
          <w:szCs w:val="32"/>
        </w:rPr>
      </w:pPr>
      <w:r>
        <w:rPr>
          <w:rFonts w:hint="eastAsia" w:ascii="仿宋_GB2312" w:eastAsia="仿宋_GB2312"/>
          <w:bCs/>
          <w:color w:val="000000"/>
          <w:sz w:val="32"/>
          <w:szCs w:val="32"/>
        </w:rPr>
        <w:t>4.做好非公有制经济代表人士的思想政治工作，团结、帮助、引导、教育会员遵守国家的法律、法规和政策，提高会员素质，培养积极分子队伍。</w:t>
      </w:r>
    </w:p>
    <w:p>
      <w:pPr>
        <w:spacing w:line="590" w:lineRule="exact"/>
        <w:ind w:firstLine="627" w:firstLineChars="196"/>
        <w:rPr>
          <w:rFonts w:ascii="仿宋_GB2312" w:eastAsia="仿宋_GB2312"/>
          <w:bCs/>
          <w:color w:val="000000"/>
          <w:sz w:val="32"/>
          <w:szCs w:val="32"/>
        </w:rPr>
      </w:pPr>
      <w:r>
        <w:rPr>
          <w:rFonts w:hint="eastAsia" w:ascii="仿宋_GB2312" w:eastAsia="仿宋_GB2312"/>
          <w:bCs/>
          <w:color w:val="000000"/>
          <w:sz w:val="32"/>
          <w:szCs w:val="32"/>
        </w:rPr>
        <w:t>5.代表并维护会员的合法权益，反映会员的意见、要求和建议。</w:t>
      </w:r>
    </w:p>
    <w:p>
      <w:pPr>
        <w:spacing w:line="590" w:lineRule="exact"/>
        <w:ind w:firstLine="627" w:firstLineChars="196"/>
        <w:rPr>
          <w:rFonts w:ascii="仿宋_GB2312" w:eastAsia="仿宋_GB2312"/>
          <w:bCs/>
          <w:color w:val="000000"/>
          <w:sz w:val="32"/>
          <w:szCs w:val="32"/>
        </w:rPr>
      </w:pPr>
      <w:r>
        <w:rPr>
          <w:rFonts w:hint="eastAsia" w:ascii="仿宋_GB2312" w:eastAsia="仿宋_GB2312"/>
          <w:bCs/>
          <w:color w:val="000000"/>
          <w:sz w:val="32"/>
          <w:szCs w:val="32"/>
        </w:rPr>
        <w:t>6.引导会员</w:t>
      </w:r>
      <w:r>
        <w:rPr>
          <w:rFonts w:hint="eastAsia" w:ascii="仿宋_GB2312" w:eastAsia="仿宋_GB2312"/>
          <w:bCs/>
          <w:color w:val="000000"/>
          <w:sz w:val="32"/>
          <w:szCs w:val="32"/>
          <w:lang w:eastAsia="zh-CN"/>
        </w:rPr>
        <w:t>弘扬</w:t>
      </w:r>
      <w:bookmarkStart w:id="0" w:name="_GoBack"/>
      <w:bookmarkEnd w:id="0"/>
      <w:r>
        <w:rPr>
          <w:rFonts w:hint="eastAsia" w:ascii="仿宋_GB2312" w:eastAsia="仿宋_GB2312"/>
          <w:bCs/>
          <w:color w:val="000000"/>
          <w:sz w:val="32"/>
          <w:szCs w:val="32"/>
        </w:rPr>
        <w:t>中华民族传统美德，先富帮后富，走共同富裕的道路，热心社会公益事业。</w:t>
      </w:r>
    </w:p>
    <w:p>
      <w:pPr>
        <w:spacing w:line="590" w:lineRule="exact"/>
        <w:ind w:firstLine="627" w:firstLineChars="196"/>
        <w:rPr>
          <w:rFonts w:ascii="仿宋_GB2312" w:eastAsia="仿宋_GB2312"/>
          <w:bCs/>
          <w:color w:val="000000"/>
          <w:sz w:val="32"/>
          <w:szCs w:val="32"/>
        </w:rPr>
      </w:pPr>
      <w:r>
        <w:rPr>
          <w:rFonts w:hint="eastAsia" w:ascii="仿宋_GB2312" w:eastAsia="仿宋_GB2312"/>
          <w:bCs/>
          <w:color w:val="000000"/>
          <w:sz w:val="32"/>
          <w:szCs w:val="32"/>
        </w:rPr>
        <w:t>7.为会员提供信息和科技、管理、法律、会计、审计、融资、咨询等服务。</w:t>
      </w:r>
    </w:p>
    <w:p>
      <w:pPr>
        <w:spacing w:line="590" w:lineRule="exact"/>
        <w:ind w:firstLine="627" w:firstLineChars="196"/>
        <w:rPr>
          <w:rFonts w:ascii="仿宋_GB2312" w:eastAsia="仿宋_GB2312"/>
          <w:bCs/>
          <w:color w:val="000000"/>
          <w:sz w:val="32"/>
          <w:szCs w:val="32"/>
        </w:rPr>
      </w:pPr>
      <w:r>
        <w:rPr>
          <w:rFonts w:hint="eastAsia" w:ascii="仿宋_GB2312" w:eastAsia="仿宋_GB2312"/>
          <w:bCs/>
          <w:color w:val="000000"/>
          <w:sz w:val="32"/>
          <w:szCs w:val="32"/>
        </w:rPr>
        <w:t>8.开展工商专业培训，帮助会员改善经营管理，提高生产技术和产品质量。</w:t>
      </w:r>
    </w:p>
    <w:p>
      <w:pPr>
        <w:spacing w:line="590" w:lineRule="exact"/>
        <w:ind w:firstLine="627" w:firstLineChars="196"/>
        <w:rPr>
          <w:rFonts w:ascii="仿宋_GB2312" w:eastAsia="仿宋_GB2312"/>
          <w:bCs/>
          <w:color w:val="000000"/>
          <w:sz w:val="32"/>
          <w:szCs w:val="32"/>
        </w:rPr>
      </w:pPr>
      <w:r>
        <w:rPr>
          <w:rFonts w:hint="eastAsia" w:ascii="仿宋_GB2312" w:eastAsia="仿宋_GB2312"/>
          <w:bCs/>
          <w:color w:val="000000"/>
          <w:sz w:val="32"/>
          <w:szCs w:val="32"/>
        </w:rPr>
        <w:t>9.开展与国内外工商社团及经济界人士的友好往来，促进经济技术和贸易合作的发展，开拓国内外市场；协助引进资金、技术、人才。</w:t>
      </w:r>
    </w:p>
    <w:p>
      <w:pPr>
        <w:spacing w:line="590" w:lineRule="exact"/>
        <w:ind w:firstLine="627" w:firstLineChars="196"/>
        <w:rPr>
          <w:rFonts w:ascii="仿宋_GB2312" w:eastAsia="仿宋_GB2312"/>
          <w:bCs/>
          <w:color w:val="000000"/>
          <w:sz w:val="32"/>
          <w:szCs w:val="32"/>
        </w:rPr>
      </w:pPr>
      <w:r>
        <w:rPr>
          <w:rFonts w:hint="eastAsia" w:ascii="仿宋_GB2312" w:eastAsia="仿宋_GB2312"/>
          <w:bCs/>
          <w:color w:val="000000"/>
          <w:sz w:val="32"/>
          <w:szCs w:val="32"/>
        </w:rPr>
        <w:t>10.为会员提供有关证明，协调关系，调解纠纷。</w:t>
      </w:r>
    </w:p>
    <w:p>
      <w:pPr>
        <w:spacing w:line="590" w:lineRule="exact"/>
        <w:ind w:firstLine="627" w:firstLineChars="196"/>
        <w:rPr>
          <w:rFonts w:ascii="仿宋_GB2312" w:eastAsia="仿宋_GB2312"/>
          <w:bCs/>
          <w:color w:val="000000"/>
          <w:sz w:val="32"/>
          <w:szCs w:val="32"/>
        </w:rPr>
      </w:pPr>
      <w:r>
        <w:rPr>
          <w:rFonts w:hint="eastAsia" w:ascii="仿宋_GB2312" w:eastAsia="仿宋_GB2312"/>
          <w:bCs/>
          <w:color w:val="000000"/>
          <w:sz w:val="32"/>
          <w:szCs w:val="32"/>
        </w:rPr>
        <w:t>11.完成市委、市政府交办的其他任务。</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（二）部门机构设置情况</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从预算单位构成看，市工商联部门预算包括：工商联本级预算。</w:t>
      </w:r>
    </w:p>
    <w:p>
      <w:pPr>
        <w:spacing w:line="590" w:lineRule="exact"/>
        <w:ind w:firstLine="640" w:firstLineChars="200"/>
        <w:rPr>
          <w:rFonts w:ascii="黑体" w:hAnsi="ˎ̥" w:eastAsia="黑体" w:cs="宋体"/>
          <w:sz w:val="32"/>
          <w:szCs w:val="32"/>
        </w:rPr>
      </w:pPr>
      <w:r>
        <w:rPr>
          <w:rFonts w:hint="eastAsia" w:ascii="黑体" w:hAnsi="ˎ̥" w:eastAsia="黑体" w:cs="宋体"/>
          <w:sz w:val="32"/>
          <w:szCs w:val="32"/>
        </w:rPr>
        <w:t>二、市工商联2021年部门预算安排情况说明</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（一）关于市工商联2021年收支预算情况的总体说明</w:t>
      </w:r>
    </w:p>
    <w:p>
      <w:pPr>
        <w:spacing w:line="590" w:lineRule="exact"/>
        <w:ind w:firstLine="640" w:firstLineChars="200"/>
        <w:rPr>
          <w:rFonts w:ascii="仿宋_GB2312" w:eastAsia="仿宋_GB2312"/>
          <w:color w:val="000000"/>
          <w:sz w:val="32"/>
          <w:szCs w:val="32"/>
        </w:rPr>
      </w:pPr>
      <w:r>
        <w:rPr>
          <w:rFonts w:hint="eastAsia" w:ascii="仿宋_GB2312" w:eastAsia="仿宋_GB2312"/>
          <w:bCs/>
          <w:color w:val="000000"/>
          <w:sz w:val="32"/>
          <w:szCs w:val="32"/>
        </w:rPr>
        <w:t>按照综合预算的原则，市工商联</w:t>
      </w:r>
      <w:r>
        <w:rPr>
          <w:rFonts w:hint="eastAsia" w:ascii="仿宋_GB2312" w:eastAsia="仿宋_GB2312"/>
          <w:color w:val="000000"/>
          <w:sz w:val="32"/>
          <w:szCs w:val="32"/>
        </w:rPr>
        <w:t>所有收入和支出均纳入部门预算管理。收入包括：一般公共预算拨款收入；支出包括：一般公共服务支出、社会保障和就业支出。市工商联2021年收支总预算174.76万元。</w:t>
      </w:r>
    </w:p>
    <w:p>
      <w:pPr>
        <w:spacing w:line="590" w:lineRule="exact"/>
        <w:ind w:firstLine="643" w:firstLineChars="200"/>
        <w:rPr>
          <w:rFonts w:eastAsia="仿宋_GB2312"/>
          <w:b/>
          <w:bCs/>
          <w:sz w:val="32"/>
          <w:szCs w:val="32"/>
        </w:rPr>
      </w:pPr>
      <w:r>
        <w:rPr>
          <w:rFonts w:hint="eastAsia" w:ascii="仿宋_GB2312" w:hAnsi="ˎ̥" w:eastAsia="仿宋_GB2312" w:cs="宋体"/>
          <w:b/>
          <w:bCs/>
          <w:sz w:val="32"/>
          <w:szCs w:val="32"/>
        </w:rPr>
        <w:t>（二）关于市工商联2021年收入预算情况说明</w:t>
      </w:r>
    </w:p>
    <w:p>
      <w:pPr>
        <w:spacing w:line="590" w:lineRule="exact"/>
        <w:ind w:firstLine="640" w:firstLineChars="200"/>
        <w:rPr>
          <w:sz w:val="32"/>
          <w:szCs w:val="32"/>
        </w:rPr>
      </w:pPr>
      <w:r>
        <w:rPr>
          <w:rFonts w:hint="eastAsia" w:ascii="仿宋_GB2312" w:eastAsia="仿宋_GB2312"/>
          <w:color w:val="000000"/>
          <w:sz w:val="32"/>
          <w:szCs w:val="32"/>
        </w:rPr>
        <w:t>市工商联2021年收入预算174.76万元，</w:t>
      </w:r>
      <w:r>
        <w:rPr>
          <w:rFonts w:hint="eastAsia" w:ascii="仿宋_GB2312" w:hAnsi="ˎ̥" w:eastAsia="仿宋_GB2312" w:cs="宋体"/>
          <w:sz w:val="32"/>
          <w:szCs w:val="32"/>
        </w:rPr>
        <w:t>比上年收入执行数减少26.46万元，下降13.1%</w:t>
      </w:r>
      <w:r>
        <w:rPr>
          <w:rFonts w:hint="eastAsia" w:ascii="仿宋_GB2312" w:eastAsia="仿宋_GB2312"/>
          <w:sz w:val="32"/>
          <w:szCs w:val="32"/>
        </w:rPr>
        <w:t>，主要原因是2020年预算执行过程中人员经费追加。</w:t>
      </w:r>
    </w:p>
    <w:p>
      <w:pPr>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其中：一般公共预算拨款收入174.76万元，占100.0%；   </w:t>
      </w:r>
    </w:p>
    <w:p>
      <w:pPr>
        <w:spacing w:line="590" w:lineRule="exact"/>
        <w:ind w:firstLine="643" w:firstLineChars="200"/>
        <w:rPr>
          <w:rFonts w:ascii="仿宋_GB2312" w:hAnsi="ˎ̥" w:eastAsia="仿宋_GB2312" w:cs="宋体"/>
          <w:sz w:val="32"/>
          <w:szCs w:val="32"/>
        </w:rPr>
      </w:pPr>
      <w:r>
        <w:rPr>
          <w:rFonts w:hint="eastAsia" w:ascii="仿宋_GB2312" w:hAnsi="ˎ̥" w:eastAsia="仿宋_GB2312" w:cs="宋体"/>
          <w:b/>
          <w:bCs/>
          <w:sz w:val="32"/>
          <w:szCs w:val="32"/>
        </w:rPr>
        <w:t>（三）关于市工商联2021年支出预算情况说明</w:t>
      </w:r>
    </w:p>
    <w:p>
      <w:pPr>
        <w:spacing w:line="590" w:lineRule="exact"/>
        <w:ind w:firstLine="640" w:firstLineChars="200"/>
        <w:rPr>
          <w:rFonts w:ascii="仿宋_GB2312" w:eastAsia="仿宋_GB2312"/>
          <w:color w:val="000000"/>
          <w:sz w:val="32"/>
          <w:szCs w:val="32"/>
        </w:rPr>
      </w:pPr>
      <w:r>
        <w:rPr>
          <w:rFonts w:hint="eastAsia" w:ascii="仿宋_GB2312" w:hAnsi="ˎ̥" w:eastAsia="仿宋_GB2312" w:cs="宋体"/>
          <w:sz w:val="32"/>
          <w:szCs w:val="32"/>
        </w:rPr>
        <w:t>市工商联2021年支出预算174.76万元，比上年支出减少26.46万元，下降13.1%</w:t>
      </w:r>
      <w:r>
        <w:rPr>
          <w:rFonts w:hint="eastAsia" w:ascii="仿宋_GB2312" w:eastAsia="仿宋_GB2312"/>
          <w:sz w:val="32"/>
          <w:szCs w:val="32"/>
        </w:rPr>
        <w:t>，</w:t>
      </w:r>
      <w:r>
        <w:rPr>
          <w:rFonts w:hint="eastAsia" w:ascii="仿宋_GB2312" w:eastAsia="仿宋_GB2312"/>
          <w:color w:val="000000"/>
          <w:sz w:val="32"/>
          <w:szCs w:val="32"/>
        </w:rPr>
        <w:t>主要原因是</w:t>
      </w:r>
      <w:r>
        <w:rPr>
          <w:rFonts w:hint="eastAsia" w:ascii="仿宋_GB2312" w:eastAsia="仿宋_GB2312"/>
          <w:sz w:val="32"/>
          <w:szCs w:val="32"/>
        </w:rPr>
        <w:t>2020年预算执行过程中人员经费追加</w:t>
      </w:r>
      <w:r>
        <w:rPr>
          <w:rFonts w:hint="eastAsia" w:ascii="仿宋_GB2312" w:eastAsia="仿宋_GB2312"/>
          <w:color w:val="000000"/>
          <w:sz w:val="32"/>
          <w:szCs w:val="32"/>
        </w:rPr>
        <w:t>。</w:t>
      </w:r>
    </w:p>
    <w:p>
      <w:pPr>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1.按支出功能分类，包括一般公共服务支出160.83万元、社会保障和就业支出13.93万元。</w:t>
      </w:r>
    </w:p>
    <w:p>
      <w:pPr>
        <w:spacing w:line="590" w:lineRule="exact"/>
        <w:ind w:firstLine="640" w:firstLineChars="200"/>
        <w:rPr>
          <w:rFonts w:eastAsia="仿宋_GB2312"/>
          <w:sz w:val="32"/>
          <w:szCs w:val="32"/>
        </w:rPr>
      </w:pPr>
      <w:r>
        <w:rPr>
          <w:rFonts w:hint="eastAsia" w:ascii="仿宋_GB2312" w:eastAsia="仿宋_GB2312"/>
          <w:color w:val="000000"/>
          <w:sz w:val="32"/>
          <w:szCs w:val="32"/>
        </w:rPr>
        <w:t>2.按支出用途分类，包括人员支出131.65万元，占75.3%；日常公用支出20.11万元，占11.5%；项目支出23万元，占13.2%。</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（四）关于市工商联2021年财政拨款收支预算情况的</w:t>
      </w:r>
    </w:p>
    <w:p>
      <w:pPr>
        <w:spacing w:line="590" w:lineRule="exact"/>
        <w:rPr>
          <w:rFonts w:ascii="仿宋_GB2312" w:hAnsi="ˎ̥" w:eastAsia="仿宋_GB2312" w:cs="宋体"/>
          <w:b/>
          <w:bCs/>
          <w:sz w:val="32"/>
          <w:szCs w:val="32"/>
        </w:rPr>
      </w:pPr>
      <w:r>
        <w:rPr>
          <w:rFonts w:hint="eastAsia" w:ascii="仿宋_GB2312" w:hAnsi="ˎ̥" w:eastAsia="仿宋_GB2312" w:cs="宋体"/>
          <w:b/>
          <w:bCs/>
          <w:sz w:val="32"/>
          <w:szCs w:val="32"/>
        </w:rPr>
        <w:t>总体说明</w:t>
      </w:r>
    </w:p>
    <w:p>
      <w:pPr>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市工商联2021年财政拨款收支总预算174.76万元，</w:t>
      </w:r>
      <w:r>
        <w:rPr>
          <w:rFonts w:hint="eastAsia" w:ascii="仿宋_GB2312" w:hAnsi="ˎ̥" w:eastAsia="仿宋_GB2312" w:cs="宋体"/>
          <w:sz w:val="32"/>
          <w:szCs w:val="32"/>
        </w:rPr>
        <w:t>比上年执行数减少26.46万元，下降13.1%，</w:t>
      </w:r>
      <w:r>
        <w:rPr>
          <w:rFonts w:hint="eastAsia" w:ascii="仿宋_GB2312" w:eastAsia="仿宋_GB2312"/>
          <w:color w:val="000000"/>
          <w:sz w:val="32"/>
          <w:szCs w:val="32"/>
        </w:rPr>
        <w:t>主要原因是</w:t>
      </w:r>
      <w:r>
        <w:rPr>
          <w:rFonts w:hint="eastAsia" w:ascii="仿宋_GB2312" w:eastAsia="仿宋_GB2312"/>
          <w:sz w:val="32"/>
          <w:szCs w:val="32"/>
        </w:rPr>
        <w:t>2020年预算执行过程中人员经费追加。</w:t>
      </w:r>
    </w:p>
    <w:p>
      <w:pPr>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收入包括：一般公共预算174.76万元</w:t>
      </w:r>
      <w:r>
        <w:rPr>
          <w:rFonts w:hint="eastAsia" w:ascii="仿宋_GB2312" w:hAnsi="ˎ̥" w:eastAsia="仿宋_GB2312" w:cs="宋体"/>
          <w:sz w:val="32"/>
          <w:szCs w:val="32"/>
        </w:rPr>
        <w:t>。</w:t>
      </w:r>
    </w:p>
    <w:p>
      <w:pPr>
        <w:spacing w:line="590" w:lineRule="exact"/>
        <w:ind w:firstLine="640" w:firstLineChars="200"/>
        <w:rPr>
          <w:rFonts w:ascii="仿宋_GB2312" w:hAnsi="ˎ̥" w:eastAsia="仿宋_GB2312" w:cs="宋体"/>
          <w:color w:val="000000"/>
          <w:sz w:val="32"/>
          <w:szCs w:val="32"/>
        </w:rPr>
      </w:pPr>
      <w:r>
        <w:rPr>
          <w:rFonts w:hint="eastAsia" w:ascii="仿宋_GB2312" w:eastAsia="仿宋_GB2312"/>
          <w:color w:val="000000"/>
          <w:sz w:val="32"/>
          <w:szCs w:val="32"/>
        </w:rPr>
        <w:t>支出包括：一般公共服务支出160.83万元、社会保障和就业支出13.93万元。</w:t>
      </w:r>
    </w:p>
    <w:p>
      <w:pPr>
        <w:numPr>
          <w:ilvl w:val="0"/>
          <w:numId w:val="1"/>
        </w:num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关于市工商联</w:t>
      </w:r>
      <w:r>
        <w:rPr>
          <w:rFonts w:hint="eastAsia" w:ascii="仿宋_GB2312" w:eastAsia="仿宋_GB2312"/>
          <w:b/>
          <w:bCs/>
          <w:color w:val="000000"/>
          <w:sz w:val="32"/>
          <w:szCs w:val="32"/>
        </w:rPr>
        <w:t>2021年</w:t>
      </w:r>
      <w:r>
        <w:rPr>
          <w:rFonts w:hint="eastAsia" w:ascii="仿宋_GB2312" w:hAnsi="ˎ̥" w:eastAsia="仿宋_GB2312" w:cs="宋体"/>
          <w:b/>
          <w:bCs/>
          <w:sz w:val="32"/>
          <w:szCs w:val="32"/>
        </w:rPr>
        <w:t>一般公共预算当年拨款情况</w:t>
      </w:r>
    </w:p>
    <w:p>
      <w:pPr>
        <w:spacing w:line="590" w:lineRule="exact"/>
        <w:rPr>
          <w:rFonts w:ascii="仿宋_GB2312" w:eastAsia="仿宋_GB2312"/>
          <w:b/>
          <w:bCs/>
          <w:color w:val="000000"/>
          <w:sz w:val="32"/>
          <w:szCs w:val="32"/>
        </w:rPr>
      </w:pPr>
      <w:r>
        <w:rPr>
          <w:rFonts w:hint="eastAsia" w:ascii="仿宋_GB2312" w:hAnsi="ˎ̥" w:eastAsia="仿宋_GB2312" w:cs="宋体"/>
          <w:b/>
          <w:bCs/>
          <w:sz w:val="32"/>
          <w:szCs w:val="32"/>
        </w:rPr>
        <w:t>说明</w:t>
      </w:r>
    </w:p>
    <w:p>
      <w:pPr>
        <w:spacing w:line="590" w:lineRule="exact"/>
        <w:ind w:firstLine="642"/>
        <w:rPr>
          <w:rFonts w:ascii="仿宋_GB2312" w:eastAsia="仿宋_GB2312"/>
          <w:color w:val="000000"/>
          <w:sz w:val="32"/>
          <w:szCs w:val="32"/>
        </w:rPr>
      </w:pPr>
      <w:r>
        <w:rPr>
          <w:rFonts w:hint="eastAsia" w:ascii="楷体_GB2312" w:hAnsi="楷体_GB2312" w:eastAsia="楷体_GB2312" w:cs="楷体_GB2312"/>
          <w:b/>
          <w:color w:val="000000"/>
          <w:sz w:val="32"/>
          <w:szCs w:val="32"/>
        </w:rPr>
        <w:t>1.一般公共预算当年拨款规模变化情况。</w:t>
      </w:r>
    </w:p>
    <w:p>
      <w:pPr>
        <w:spacing w:line="590" w:lineRule="exact"/>
        <w:ind w:firstLine="640" w:firstLineChars="200"/>
        <w:rPr>
          <w:sz w:val="32"/>
          <w:szCs w:val="32"/>
        </w:rPr>
      </w:pPr>
      <w:r>
        <w:rPr>
          <w:rFonts w:hint="eastAsia" w:ascii="仿宋_GB2312" w:eastAsia="仿宋_GB2312"/>
          <w:color w:val="000000"/>
          <w:sz w:val="32"/>
          <w:szCs w:val="32"/>
        </w:rPr>
        <w:t>市工商联2021年一般公共预算当年拨款174.76万元，比上年年执行数</w:t>
      </w:r>
      <w:r>
        <w:rPr>
          <w:rFonts w:hint="eastAsia" w:ascii="仿宋_GB2312" w:hAnsi="ˎ̥" w:eastAsia="仿宋_GB2312" w:cs="宋体"/>
          <w:sz w:val="32"/>
          <w:szCs w:val="32"/>
        </w:rPr>
        <w:t>减少26.46</w:t>
      </w:r>
      <w:r>
        <w:rPr>
          <w:rFonts w:hint="eastAsia" w:ascii="仿宋_GB2312" w:eastAsia="仿宋_GB2312"/>
          <w:color w:val="000000"/>
          <w:sz w:val="32"/>
          <w:szCs w:val="32"/>
        </w:rPr>
        <w:t>万元，下降</w:t>
      </w:r>
      <w:r>
        <w:rPr>
          <w:rFonts w:hint="eastAsia" w:ascii="仿宋_GB2312" w:hAnsi="ˎ̥" w:eastAsia="仿宋_GB2312" w:cs="宋体"/>
          <w:sz w:val="32"/>
          <w:szCs w:val="32"/>
        </w:rPr>
        <w:t>13.1%，</w:t>
      </w:r>
      <w:r>
        <w:rPr>
          <w:rFonts w:hint="eastAsia" w:ascii="仿宋_GB2312" w:eastAsia="仿宋_GB2312"/>
          <w:color w:val="000000"/>
          <w:sz w:val="32"/>
          <w:szCs w:val="32"/>
        </w:rPr>
        <w:t>主要原因是</w:t>
      </w:r>
      <w:r>
        <w:rPr>
          <w:rFonts w:hint="eastAsia" w:ascii="仿宋_GB2312" w:eastAsia="仿宋_GB2312"/>
          <w:sz w:val="32"/>
          <w:szCs w:val="32"/>
        </w:rPr>
        <w:t>2020年预算执行过程中人员经费追加</w:t>
      </w:r>
      <w:r>
        <w:rPr>
          <w:rFonts w:hint="eastAsia" w:ascii="仿宋_GB2312" w:eastAsia="仿宋_GB2312"/>
          <w:color w:val="000000"/>
          <w:sz w:val="32"/>
          <w:szCs w:val="32"/>
        </w:rPr>
        <w:t>。</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2. 一般公共预算当年拨款结构情况</w:t>
      </w:r>
    </w:p>
    <w:p>
      <w:pPr>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一般公共服务支出（类）160.83万元，占92.0%；社会保障和就业支出（类）13.93万元，占8.0%。</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3. 一般公共预算当年拨款具体使用情况</w:t>
      </w:r>
    </w:p>
    <w:p>
      <w:pPr>
        <w:spacing w:line="590" w:lineRule="exact"/>
        <w:ind w:firstLine="640"/>
        <w:rPr>
          <w:rFonts w:ascii="仿宋_GB2312" w:eastAsia="仿宋_GB2312"/>
          <w:color w:val="000000"/>
          <w:sz w:val="32"/>
          <w:szCs w:val="32"/>
        </w:rPr>
      </w:pPr>
      <w:r>
        <w:rPr>
          <w:rFonts w:hint="eastAsia" w:ascii="仿宋_GB2312" w:eastAsia="仿宋_GB2312"/>
          <w:color w:val="000000"/>
          <w:sz w:val="32"/>
          <w:szCs w:val="32"/>
        </w:rPr>
        <w:t>（1）一般公共服务支出（类）民主党派及工商联事务（款）行政运行（项）137.83万元，主要用于人员支出、日常公用支出。</w:t>
      </w:r>
    </w:p>
    <w:p>
      <w:pPr>
        <w:spacing w:line="590" w:lineRule="exact"/>
        <w:ind w:firstLine="640"/>
        <w:rPr>
          <w:rFonts w:ascii="仿宋_GB2312" w:eastAsia="仿宋_GB2312"/>
          <w:color w:val="000000"/>
          <w:sz w:val="32"/>
          <w:szCs w:val="32"/>
        </w:rPr>
      </w:pPr>
      <w:r>
        <w:rPr>
          <w:rFonts w:hint="eastAsia" w:ascii="仿宋_GB2312" w:eastAsia="仿宋_GB2312"/>
          <w:color w:val="000000"/>
          <w:sz w:val="32"/>
          <w:szCs w:val="32"/>
        </w:rPr>
        <w:t>（2）一般公共服务支出（类）民主党派及工商联事务（款）其他民主党派及工商联事务支出（项）23万元，主要用于项目支出。</w:t>
      </w:r>
    </w:p>
    <w:p>
      <w:pPr>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（3）社会保障和就业支出（类）行政事业单位养老支出（款）机关事业单位基本养老保险缴费支出（项）9.29万元，主要用于机关事业人员的基本养老保险费支出。</w:t>
      </w:r>
    </w:p>
    <w:p>
      <w:pPr>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（4）社会保障和就业支出（类）行政事业单位养老支出（款）机关事业单位职业年金缴费支出（项）4.64万元，主要用于机关事业人员的职业年金支出。</w:t>
      </w:r>
    </w:p>
    <w:p>
      <w:pPr>
        <w:numPr>
          <w:ilvl w:val="0"/>
          <w:numId w:val="1"/>
        </w:numPr>
        <w:spacing w:line="590" w:lineRule="exact"/>
        <w:ind w:firstLine="643" w:firstLineChars="200"/>
        <w:rPr>
          <w:rFonts w:ascii="仿宋_GB2312" w:hAnsi="ˎ̥" w:eastAsia="仿宋_GB2312" w:cs="宋体"/>
          <w:b/>
          <w:bCs/>
          <w:sz w:val="32"/>
          <w:szCs w:val="32"/>
        </w:rPr>
      </w:pPr>
      <w:r>
        <w:rPr>
          <w:rFonts w:hint="eastAsia" w:ascii="仿宋_GB2312" w:eastAsia="仿宋_GB2312"/>
          <w:b/>
          <w:bCs/>
          <w:color w:val="000000"/>
          <w:sz w:val="32"/>
          <w:szCs w:val="32"/>
        </w:rPr>
        <w:t>关于市工商联2021年一</w:t>
      </w:r>
      <w:r>
        <w:rPr>
          <w:rFonts w:hint="eastAsia" w:ascii="仿宋_GB2312" w:hAnsi="ˎ̥" w:eastAsia="仿宋_GB2312" w:cs="宋体"/>
          <w:b/>
          <w:bCs/>
          <w:sz w:val="32"/>
          <w:szCs w:val="32"/>
        </w:rPr>
        <w:t>般公共预算基本支出情况说明</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市工商联2021年一般公共预算基本支出151.76万元，其中：</w:t>
      </w:r>
    </w:p>
    <w:p>
      <w:pPr>
        <w:spacing w:line="590" w:lineRule="exact"/>
        <w:ind w:firstLine="642"/>
        <w:rPr>
          <w:rFonts w:ascii="仿宋_GB2312" w:eastAsia="仿宋_GB2312"/>
          <w:sz w:val="32"/>
          <w:szCs w:val="32"/>
        </w:rPr>
      </w:pPr>
      <w:r>
        <w:rPr>
          <w:rFonts w:hint="eastAsia" w:ascii="仿宋_GB2312" w:eastAsia="仿宋_GB2312"/>
          <w:color w:val="000000"/>
          <w:sz w:val="32"/>
          <w:szCs w:val="32"/>
        </w:rPr>
        <w:t>人员经费131.65万元，主要包括：基本工资、津贴补贴、奖金、机关事业单位基本养老保险缴费、职业年金缴费、职工基本医疗保险缴费、公务员医疗补助缴费、其他社会保障缴费、住房公积金、医疗费、其他工资福利支出、退休费、生活补助、医疗费补助、奖励金、其他对个人和家庭的补助</w:t>
      </w:r>
      <w:r>
        <w:rPr>
          <w:rFonts w:hint="eastAsia" w:ascii="仿宋_GB2312" w:eastAsia="仿宋_GB2312"/>
          <w:sz w:val="32"/>
          <w:szCs w:val="32"/>
        </w:rPr>
        <w:t>。</w:t>
      </w:r>
    </w:p>
    <w:p>
      <w:pPr>
        <w:spacing w:line="590" w:lineRule="exact"/>
        <w:ind w:firstLine="642"/>
        <w:rPr>
          <w:rFonts w:hint="eastAsia" w:ascii="仿宋_GB2312" w:eastAsia="仿宋_GB2312"/>
          <w:sz w:val="32"/>
          <w:szCs w:val="32"/>
        </w:rPr>
      </w:pPr>
      <w:r>
        <w:rPr>
          <w:rFonts w:hint="eastAsia" w:ascii="仿宋_GB2312" w:eastAsia="仿宋_GB2312"/>
          <w:color w:val="000000"/>
          <w:sz w:val="32"/>
          <w:szCs w:val="32"/>
        </w:rPr>
        <w:t>公用经费20.11万元，主要包括：办公费、印刷费、咨询费、手续费、水费、电费、邮电费、物业管理费、差旅费、维修（护）费、租赁费、会议费、培训费、公务接待费、工会经费、福利费、其他交通费用、其他商品和服务支出、办公设备购置</w:t>
      </w:r>
      <w:r>
        <w:rPr>
          <w:rFonts w:hint="eastAsia" w:ascii="仿宋_GB2312" w:eastAsia="仿宋_GB2312"/>
          <w:sz w:val="32"/>
          <w:szCs w:val="32"/>
        </w:rPr>
        <w:t>。</w:t>
      </w:r>
    </w:p>
    <w:p>
      <w:pPr>
        <w:spacing w:line="590" w:lineRule="exact"/>
        <w:ind w:firstLine="642"/>
        <w:rPr>
          <w:rFonts w:ascii="仿宋_GB2312" w:eastAsia="仿宋_GB2312"/>
          <w:color w:val="000000"/>
          <w:sz w:val="32"/>
          <w:szCs w:val="32"/>
        </w:rPr>
      </w:pPr>
      <w:r>
        <w:rPr>
          <w:rFonts w:ascii="仿宋_GB2312" w:eastAsia="仿宋_GB2312"/>
          <w:color w:val="000000"/>
          <w:sz w:val="32"/>
          <w:szCs w:val="32"/>
        </w:rPr>
        <w:t>其他资本性支出0万元。</w:t>
      </w:r>
    </w:p>
    <w:p>
      <w:pPr>
        <w:spacing w:line="590" w:lineRule="exact"/>
        <w:ind w:firstLine="964" w:firstLineChars="300"/>
        <w:rPr>
          <w:rFonts w:ascii="仿宋_GB2312" w:eastAsia="仿宋_GB2312"/>
          <w:b/>
          <w:bCs/>
          <w:sz w:val="32"/>
          <w:szCs w:val="32"/>
        </w:rPr>
      </w:pPr>
      <w:r>
        <w:rPr>
          <w:rFonts w:hint="eastAsia" w:ascii="仿宋_GB2312" w:eastAsia="仿宋_GB2312"/>
          <w:b/>
          <w:bCs/>
          <w:sz w:val="32"/>
          <w:szCs w:val="32"/>
        </w:rPr>
        <w:t>（七）关于市工商联</w:t>
      </w:r>
      <w:r>
        <w:rPr>
          <w:rFonts w:hint="eastAsia" w:ascii="仿宋_GB2312" w:eastAsia="仿宋_GB2312"/>
          <w:b/>
          <w:bCs/>
          <w:color w:val="000000"/>
          <w:sz w:val="32"/>
          <w:szCs w:val="32"/>
        </w:rPr>
        <w:t>2021年</w:t>
      </w:r>
      <w:r>
        <w:rPr>
          <w:rFonts w:hint="eastAsia" w:ascii="仿宋_GB2312" w:eastAsia="仿宋_GB2312"/>
          <w:b/>
          <w:bCs/>
          <w:sz w:val="32"/>
          <w:szCs w:val="32"/>
        </w:rPr>
        <w:t>政府性基金预算支出情况说明</w:t>
      </w:r>
    </w:p>
    <w:p>
      <w:pPr>
        <w:spacing w:line="590" w:lineRule="exact"/>
        <w:ind w:firstLine="640" w:firstLineChars="200"/>
        <w:rPr>
          <w:rFonts w:ascii="仿宋_GB2312" w:eastAsia="仿宋_GB2312"/>
          <w:color w:val="000000"/>
          <w:sz w:val="32"/>
          <w:szCs w:val="32"/>
        </w:rPr>
      </w:pPr>
      <w:r>
        <w:rPr>
          <w:rFonts w:hint="eastAsia" w:ascii="仿宋_GB2312" w:eastAsia="仿宋_GB2312"/>
          <w:sz w:val="32"/>
          <w:szCs w:val="32"/>
        </w:rPr>
        <w:t>市工商联2021年没有使用政府性基金预算拨款安排的支出。</w:t>
      </w:r>
    </w:p>
    <w:p>
      <w:pPr>
        <w:numPr>
          <w:ilvl w:val="0"/>
          <w:numId w:val="2"/>
        </w:numPr>
        <w:overflowPunct w:val="0"/>
        <w:autoSpaceDE w:val="0"/>
        <w:autoSpaceDN w:val="0"/>
        <w:adjustRightInd w:val="0"/>
        <w:spacing w:line="590" w:lineRule="exact"/>
        <w:ind w:firstLine="643" w:firstLineChars="200"/>
        <w:textAlignment w:val="baseline"/>
        <w:rPr>
          <w:rFonts w:ascii="仿宋_GB2312" w:hAnsi="ˎ̥" w:eastAsia="仿宋_GB2312" w:cs="宋体"/>
          <w:b/>
          <w:bCs/>
          <w:sz w:val="32"/>
          <w:szCs w:val="32"/>
        </w:rPr>
      </w:pPr>
      <w:r>
        <w:rPr>
          <w:rFonts w:hint="eastAsia" w:ascii="仿宋_GB2312" w:hAnsi="ˎ̥" w:eastAsia="仿宋_GB2312" w:cs="宋体"/>
          <w:b/>
          <w:bCs/>
          <w:sz w:val="32"/>
          <w:szCs w:val="32"/>
        </w:rPr>
        <w:t>关于市工商联2021年“三公”经费预算情况说明</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市工商联2021年“三公”经费预算数为1.30万元，比上年执行数减少0.21万元，下降13.9%，具体如下：</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1.因公出国（境）费用：根据因公出国（境）计划和实际工作需要，2021年安排因公出国（境）费用预算0万元，与上年执行数持平。</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2.公务接待费：2021年安排公务接待费预算1.3万元，比上年执行数下降13.9%。主要用于接待全国工商联系统</w:t>
      </w:r>
      <w:r>
        <w:rPr>
          <w:rFonts w:hint="eastAsia" w:ascii="仿宋_GB2312" w:eastAsia="仿宋_GB2312"/>
          <w:color w:val="000000"/>
          <w:sz w:val="32"/>
          <w:szCs w:val="32"/>
        </w:rPr>
        <w:t>、异地商会代表考察</w:t>
      </w:r>
      <w:r>
        <w:rPr>
          <w:rFonts w:hint="eastAsia" w:ascii="仿宋_GB2312" w:hAnsi="ˎ̥" w:eastAsia="仿宋_GB2312" w:cs="宋体"/>
          <w:sz w:val="32"/>
          <w:szCs w:val="32"/>
        </w:rPr>
        <w:t>等支出。减少的主要原因是严格落实中央八项规定，减少公务接待。</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3.公务用车购置及运行维护费：2021年安排公务用车购置及运行维护费预算0万元，与上年执行数持平。</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（九）其他重要事项的情况说明</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1.机关运行经费</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2021年市工商联的机关运行经费财政拨款预算20.11万元，比2020年预算增加1.5万元，增长8.1%，主要是公用经费定额标准增加。</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2.政府采购情况</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2021年市工商联政府采购预算总额0万元。</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3.国有资产占有使用情况</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截至2020年12月31日，市工商联</w:t>
      </w:r>
      <w:r>
        <w:rPr>
          <w:rFonts w:hint="eastAsia" w:ascii="仿宋" w:hAnsi="仿宋" w:eastAsia="仿宋" w:cs="宋体"/>
          <w:sz w:val="32"/>
          <w:szCs w:val="32"/>
        </w:rPr>
        <w:t>共有车辆0辆</w:t>
      </w:r>
      <w:r>
        <w:rPr>
          <w:rFonts w:hint="eastAsia" w:ascii="仿宋_GB2312" w:hAnsi="ˎ̥" w:eastAsia="仿宋_GB2312" w:cs="宋体"/>
          <w:sz w:val="32"/>
          <w:szCs w:val="32"/>
        </w:rPr>
        <w:t>。单位价值50万元以上通用设备0台（套），单位价值100万元以上专用设备0台（套）。</w:t>
      </w:r>
    </w:p>
    <w:p>
      <w:pPr>
        <w:spacing w:line="590" w:lineRule="exact"/>
        <w:ind w:firstLine="642"/>
        <w:rPr>
          <w:rFonts w:ascii="仿宋_GB2312" w:hAnsi="ˎ̥" w:eastAsia="仿宋_GB2312" w:cs="宋体"/>
          <w:sz w:val="32"/>
          <w:szCs w:val="32"/>
        </w:rPr>
      </w:pPr>
      <w:r>
        <w:rPr>
          <w:rFonts w:hint="eastAsia" w:ascii="仿宋_GB2312" w:hAnsi="ˎ̥" w:eastAsia="仿宋_GB2312" w:cs="宋体"/>
          <w:sz w:val="32"/>
          <w:szCs w:val="32"/>
        </w:rPr>
        <w:t>2021年部门预算未安排购置车辆、单位价值50万元以上通用设备及单位价值100万元以上专用设备。</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4.绩效目标设置情况</w:t>
      </w:r>
    </w:p>
    <w:p>
      <w:pPr>
        <w:spacing w:line="590" w:lineRule="exact"/>
        <w:ind w:firstLine="640" w:firstLineChars="200"/>
        <w:rPr>
          <w:rFonts w:ascii="仿宋_GB2312" w:hAnsi="ˎ̥" w:eastAsia="仿宋_GB2312" w:cs="宋体"/>
          <w:sz w:val="32"/>
          <w:szCs w:val="32"/>
        </w:rPr>
      </w:pPr>
      <w:r>
        <w:rPr>
          <w:rFonts w:hint="eastAsia" w:ascii="仿宋" w:hAnsi="仿宋" w:eastAsia="仿宋" w:cs="宋体"/>
          <w:sz w:val="32"/>
          <w:szCs w:val="32"/>
        </w:rPr>
        <w:t>2021年市工商联整体绩效目标是：紧紧围绕“两个健康”主线，聚力亲商助企，推进政企沟通，加强基层商会建设，深化“一会一品”“互建互联”商会工作品牌，构建浙商回归、招商引资、招才引智大平台，打造商会改革和发展创新的“温岭样板”，助推温岭民营经济高质量发展。专项公用类、政策性项目和发展建设类项目均实行绩效目标管理，涉及一般公共预算当年拨款23万元。</w:t>
      </w:r>
    </w:p>
    <w:p>
      <w:pPr>
        <w:spacing w:line="590" w:lineRule="exact"/>
        <w:ind w:firstLine="640" w:firstLineChars="200"/>
        <w:rPr>
          <w:sz w:val="32"/>
          <w:szCs w:val="32"/>
        </w:rPr>
      </w:pPr>
      <w:r>
        <w:rPr>
          <w:rFonts w:hint="eastAsia" w:ascii="黑体" w:hAnsi="ˎ̥" w:eastAsia="黑体" w:cs="宋体"/>
          <w:sz w:val="32"/>
          <w:szCs w:val="32"/>
        </w:rPr>
        <w:t>三、名词解释</w:t>
      </w:r>
    </w:p>
    <w:p>
      <w:pPr>
        <w:pStyle w:val="8"/>
        <w:widowControl w:val="0"/>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1.财政拨款收入：</w:t>
      </w:r>
      <w:r>
        <w:rPr>
          <w:rFonts w:hint="eastAsia" w:ascii="仿宋_GB2312" w:eastAsia="仿宋_GB2312"/>
          <w:sz w:val="32"/>
          <w:szCs w:val="32"/>
        </w:rPr>
        <w:t>本级财政部门当年拨付的财政预算资金，包括一般公共预算财政拨款和政府性基金预算财政拨款。</w:t>
      </w:r>
    </w:p>
    <w:p>
      <w:pPr>
        <w:pStyle w:val="8"/>
        <w:widowControl w:val="0"/>
        <w:spacing w:line="590" w:lineRule="exact"/>
        <w:rPr>
          <w:rFonts w:ascii="仿宋_GB2312" w:eastAsia="仿宋_GB2312"/>
          <w:color w:val="000000"/>
          <w:sz w:val="32"/>
          <w:szCs w:val="32"/>
        </w:rPr>
      </w:pPr>
      <w:r>
        <w:rPr>
          <w:rFonts w:hint="eastAsia" w:ascii="仿宋_GB2312" w:eastAsia="仿宋_GB2312"/>
          <w:color w:val="000000"/>
          <w:sz w:val="32"/>
          <w:szCs w:val="32"/>
        </w:rPr>
        <w:t xml:space="preserve">    2.专户资金:教育收费作为本部门的事业收入，纳入财政专户管理的资金。</w:t>
      </w:r>
    </w:p>
    <w:p>
      <w:pPr>
        <w:pStyle w:val="8"/>
        <w:widowControl w:val="0"/>
        <w:spacing w:line="590" w:lineRule="exact"/>
        <w:ind w:firstLine="640"/>
        <w:rPr>
          <w:rFonts w:ascii="仿宋_GB2312" w:eastAsia="仿宋_GB2312"/>
          <w:sz w:val="32"/>
          <w:szCs w:val="32"/>
        </w:rPr>
      </w:pPr>
      <w:r>
        <w:rPr>
          <w:rFonts w:hint="eastAsia" w:ascii="仿宋_GB2312" w:eastAsia="仿宋_GB2312"/>
          <w:color w:val="000000"/>
          <w:sz w:val="32"/>
          <w:szCs w:val="32"/>
        </w:rPr>
        <w:t>3.事业收入：</w:t>
      </w:r>
      <w:r>
        <w:rPr>
          <w:rFonts w:hint="eastAsia" w:ascii="仿宋_GB2312" w:eastAsia="仿宋_GB2312"/>
          <w:sz w:val="32"/>
          <w:szCs w:val="32"/>
        </w:rPr>
        <w:t>事业单位开展专业业务活动及辅助活动所取得的收入，不含专户资金收入。</w:t>
      </w:r>
    </w:p>
    <w:p>
      <w:pPr>
        <w:pStyle w:val="8"/>
        <w:widowControl w:val="0"/>
        <w:spacing w:line="590" w:lineRule="exact"/>
        <w:ind w:firstLine="640"/>
        <w:rPr>
          <w:rFonts w:ascii="仿宋_GB2312" w:eastAsia="仿宋_GB2312"/>
          <w:sz w:val="32"/>
          <w:szCs w:val="32"/>
        </w:rPr>
      </w:pPr>
      <w:r>
        <w:rPr>
          <w:rFonts w:hint="eastAsia" w:ascii="仿宋_GB2312" w:eastAsia="仿宋_GB2312"/>
          <w:color w:val="000000"/>
          <w:sz w:val="32"/>
          <w:szCs w:val="32"/>
        </w:rPr>
        <w:t>4.事业单位经营收入：</w:t>
      </w:r>
      <w:r>
        <w:rPr>
          <w:rFonts w:hint="eastAsia" w:ascii="仿宋_GB2312" w:eastAsia="仿宋_GB2312"/>
          <w:sz w:val="32"/>
          <w:szCs w:val="32"/>
        </w:rPr>
        <w:t>事业单位在专业业务活动及辅助活动之外开展非独立核算经营活动取得的收入。</w:t>
      </w:r>
    </w:p>
    <w:p>
      <w:pPr>
        <w:pStyle w:val="8"/>
        <w:widowControl w:val="0"/>
        <w:spacing w:line="590" w:lineRule="exact"/>
        <w:rPr>
          <w:rFonts w:ascii="仿宋_GB2312" w:eastAsia="仿宋_GB2312"/>
          <w:color w:val="000000"/>
          <w:sz w:val="32"/>
          <w:szCs w:val="32"/>
        </w:rPr>
      </w:pPr>
      <w:r>
        <w:rPr>
          <w:rFonts w:hint="eastAsia" w:ascii="仿宋_GB2312" w:eastAsia="仿宋_GB2312"/>
          <w:color w:val="000000"/>
          <w:sz w:val="32"/>
          <w:szCs w:val="32"/>
        </w:rPr>
        <w:t xml:space="preserve">    5.其他收入：</w:t>
      </w:r>
      <w:r>
        <w:rPr>
          <w:rFonts w:hint="eastAsia" w:ascii="仿宋_GB2312" w:eastAsia="仿宋_GB2312"/>
          <w:sz w:val="32"/>
          <w:szCs w:val="32"/>
        </w:rPr>
        <w:t>预算单位在“一般公共预算”“政府性基金”“专户资金”“事业收入”“事业单位经营收入”等之外取得的各项收入（含上级补助收入和附属单位缴款等收入）。</w:t>
      </w:r>
    </w:p>
    <w:p>
      <w:pPr>
        <w:pStyle w:val="8"/>
        <w:widowControl w:val="0"/>
        <w:spacing w:line="590" w:lineRule="exact"/>
        <w:rPr>
          <w:rFonts w:eastAsia="仿宋_GB2312"/>
          <w:sz w:val="32"/>
          <w:szCs w:val="32"/>
        </w:rPr>
      </w:pPr>
      <w:r>
        <w:rPr>
          <w:rFonts w:hint="eastAsia" w:ascii="仿宋_GB2312" w:eastAsia="仿宋_GB2312"/>
          <w:color w:val="000000"/>
          <w:sz w:val="32"/>
          <w:szCs w:val="32"/>
        </w:rPr>
        <w:t xml:space="preserve">    6.</w:t>
      </w:r>
      <w:r>
        <w:rPr>
          <w:rFonts w:hint="eastAsia" w:eastAsia="仿宋_GB2312"/>
          <w:sz w:val="32"/>
          <w:szCs w:val="32"/>
        </w:rPr>
        <w:t>上年结转：指以前年度尚未完成、结转到本年仍按原规定用途继续使用的资金。</w:t>
      </w:r>
    </w:p>
    <w:p>
      <w:pPr>
        <w:spacing w:line="59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7.基本支出：是预算单位为保障其正常运转，完成日常工作任务所发生的支出，包括人员支出和日常公用支出。</w:t>
      </w:r>
    </w:p>
    <w:p>
      <w:pPr>
        <w:spacing w:line="59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8.项目支出：是预算单位为完成其特定的行政工作任务或事业发展目标所发生的支出。</w:t>
      </w:r>
    </w:p>
    <w:p>
      <w:pPr>
        <w:spacing w:line="59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9、经营支出：指事业单位在专业业务活动及其辅助活动之外开展非独立核算经营活动发生的支出。</w:t>
      </w:r>
    </w:p>
    <w:p>
      <w:pPr>
        <w:spacing w:line="590" w:lineRule="exact"/>
        <w:ind w:firstLine="640" w:firstLineChars="200"/>
        <w:rPr>
          <w:rFonts w:ascii="仿宋_GB2312" w:hAnsi="仿宋_GB2312" w:eastAsia="仿宋_GB2312"/>
          <w:sz w:val="32"/>
          <w:szCs w:val="32"/>
        </w:rPr>
      </w:pPr>
      <w:r>
        <w:rPr>
          <w:rFonts w:hint="eastAsia" w:ascii="仿宋_GB2312" w:eastAsia="仿宋_GB2312"/>
          <w:bCs/>
          <w:color w:val="000000"/>
          <w:sz w:val="32"/>
          <w:szCs w:val="32"/>
        </w:rPr>
        <w:t>10.</w:t>
      </w:r>
      <w:r>
        <w:rPr>
          <w:rFonts w:hint="eastAsia" w:ascii="仿宋_GB2312" w:hAnsi="仿宋_GB2312" w:eastAsia="仿宋_GB2312"/>
          <w:sz w:val="32"/>
          <w:szCs w:val="32"/>
        </w:rPr>
        <w:t>机关运行经费：</w:t>
      </w:r>
      <w:r>
        <w:rPr>
          <w:rFonts w:hint="eastAsia" w:ascii="仿宋_GB2312" w:hAnsi="仿宋_GB2312" w:eastAsia="仿宋_GB2312"/>
          <w:color w:val="000000"/>
          <w:sz w:val="32"/>
          <w:szCs w:val="32"/>
        </w:rPr>
        <w:t>指各部门机关及参公单位的公用经费，包括办公及印刷费、水电费、邮电</w:t>
      </w:r>
      <w:r>
        <w:rPr>
          <w:rFonts w:hint="eastAsia" w:ascii="仿宋_GB2312" w:hAnsi="仿宋_GB2312" w:eastAsia="仿宋_GB2312"/>
          <w:sz w:val="32"/>
          <w:szCs w:val="32"/>
        </w:rPr>
        <w:t>费、差旅费、会议费、福利费、物业管理费、日常维修费、专用材料费、日常办公设备购置费、公务用车运行维护费以及其他费用（其他交通费用、其他商品和服务支出）。</w:t>
      </w:r>
    </w:p>
    <w:p>
      <w:pPr>
        <w:spacing w:line="590" w:lineRule="exact"/>
        <w:ind w:firstLine="640"/>
        <w:rPr>
          <w:rFonts w:ascii="仿宋_GB2312" w:eastAsia="仿宋_GB2312"/>
          <w:color w:val="000000"/>
          <w:sz w:val="32"/>
          <w:szCs w:val="32"/>
        </w:rPr>
      </w:pPr>
      <w:r>
        <w:rPr>
          <w:rFonts w:hint="eastAsia" w:ascii="仿宋_GB2312" w:eastAsia="仿宋_GB2312"/>
          <w:color w:val="000000"/>
          <w:sz w:val="32"/>
          <w:szCs w:val="32"/>
        </w:rPr>
        <w:t>11.一般公共服务支出（类）民主党派及工商联事务（款）行政运行（项）:</w:t>
      </w:r>
      <w:r>
        <w:rPr>
          <w:rFonts w:hint="eastAsia" w:ascii="仿宋" w:hAnsi="仿宋" w:eastAsia="仿宋" w:cs="仿宋"/>
          <w:bCs/>
          <w:sz w:val="32"/>
          <w:szCs w:val="32"/>
        </w:rPr>
        <w:t>指行政单位（包括实行公务员管理的事业单位）的基本支出</w:t>
      </w:r>
      <w:r>
        <w:rPr>
          <w:rFonts w:hint="eastAsia" w:ascii="仿宋_GB2312" w:eastAsia="仿宋_GB2312"/>
          <w:color w:val="000000"/>
          <w:sz w:val="32"/>
          <w:szCs w:val="32"/>
        </w:rPr>
        <w:t>。</w:t>
      </w:r>
    </w:p>
    <w:p>
      <w:pPr>
        <w:spacing w:line="590" w:lineRule="exact"/>
        <w:ind w:firstLine="640"/>
        <w:rPr>
          <w:rFonts w:ascii="仿宋_GB2312" w:eastAsia="仿宋_GB2312"/>
          <w:sz w:val="32"/>
          <w:szCs w:val="32"/>
        </w:rPr>
      </w:pPr>
      <w:r>
        <w:rPr>
          <w:rFonts w:hint="eastAsia" w:ascii="仿宋_GB2312" w:eastAsia="仿宋_GB2312"/>
          <w:sz w:val="32"/>
          <w:szCs w:val="32"/>
        </w:rPr>
        <w:t>12.一般公共服务支出（类）民主党派及工商联事务（款）其他民主党派及工商联事务支出（项）：指其他用于民主党派及工商联事务方面的支出。</w:t>
      </w:r>
    </w:p>
    <w:p>
      <w:pPr>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13．社会保障和就业支出（类）行政事业单位养老支出（款）机关事业单位基本养老保险缴费支出（项）： 指机关事业单位实施养老保险制度由单位缴纳的基本养老保险费支出。</w:t>
      </w:r>
    </w:p>
    <w:p>
      <w:pPr>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14．社会保障和就业支出（类）行政事业单位养老支出（款）机关事业单位职业年金缴费支出（项）：指机关事业单位实施养老保险制度由单位实际缴纳的职业年金支出。</w:t>
      </w:r>
    </w:p>
    <w:p>
      <w:pPr>
        <w:pStyle w:val="2"/>
        <w:rPr>
          <w:rFonts w:hint="default"/>
        </w:rPr>
      </w:pPr>
    </w:p>
    <w:p>
      <w:pPr>
        <w:spacing w:line="360" w:lineRule="auto"/>
        <w:rPr>
          <w:kern w:val="0"/>
        </w:rPr>
      </w:pPr>
    </w:p>
    <w:p/>
    <w:sectPr>
      <w:headerReference r:id="rId3" w:type="default"/>
      <w:footerReference r:id="rId4" w:type="default"/>
      <w:footerReference r:id="rId5" w:type="even"/>
      <w:pgSz w:w="11906" w:h="16838"/>
      <w:pgMar w:top="1928" w:right="1474" w:bottom="1701" w:left="1588"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altName w:val="仿宋_GB2312"/>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10" w:leftChars="100" w:right="210" w:rightChars="100"/>
      <w:rPr>
        <w:rStyle w:val="7"/>
        <w:sz w:val="24"/>
      </w:rPr>
    </w:pPr>
    <w:r>
      <w:rPr>
        <w:rStyle w:val="7"/>
        <w:rFonts w:hint="eastAsia"/>
        <w:sz w:val="24"/>
      </w:rPr>
      <w:t xml:space="preserve">— </w:t>
    </w:r>
    <w:r>
      <w:rPr>
        <w:sz w:val="24"/>
      </w:rPr>
      <w:fldChar w:fldCharType="begin"/>
    </w:r>
    <w:r>
      <w:rPr>
        <w:rStyle w:val="7"/>
        <w:sz w:val="24"/>
      </w:rPr>
      <w:instrText xml:space="preserve">PAGE  </w:instrText>
    </w:r>
    <w:r>
      <w:rPr>
        <w:sz w:val="24"/>
      </w:rPr>
      <w:fldChar w:fldCharType="separate"/>
    </w:r>
    <w:r>
      <w:rPr>
        <w:rStyle w:val="7"/>
        <w:sz w:val="24"/>
      </w:rPr>
      <w:t>6</w:t>
    </w:r>
    <w:r>
      <w:rPr>
        <w:sz w:val="24"/>
      </w:rPr>
      <w:fldChar w:fldCharType="end"/>
    </w:r>
    <w:r>
      <w:rPr>
        <w:rStyle w:val="7"/>
        <w:rFonts w:hint="eastAsia"/>
        <w:sz w:val="24"/>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8"/>
      <w:numFmt w:val="chineseCounting"/>
      <w:suff w:val="nothing"/>
      <w:lvlText w:val="（%1）"/>
      <w:lvlJc w:val="left"/>
      <w:rPr>
        <w:rFonts w:hint="eastAsia"/>
      </w:rPr>
    </w:lvl>
  </w:abstractNum>
  <w:abstractNum w:abstractNumId="1">
    <w:nsid w:val="60B7992E"/>
    <w:multiLevelType w:val="singleLevel"/>
    <w:tmpl w:val="60B7992E"/>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20F6"/>
    <w:rsid w:val="00006434"/>
    <w:rsid w:val="000C2267"/>
    <w:rsid w:val="001A6F33"/>
    <w:rsid w:val="002746E5"/>
    <w:rsid w:val="00362720"/>
    <w:rsid w:val="005E56A0"/>
    <w:rsid w:val="006509CA"/>
    <w:rsid w:val="0067385B"/>
    <w:rsid w:val="007E41C3"/>
    <w:rsid w:val="00820708"/>
    <w:rsid w:val="00844DCB"/>
    <w:rsid w:val="008C51AE"/>
    <w:rsid w:val="009620F6"/>
    <w:rsid w:val="00972968"/>
    <w:rsid w:val="00A62530"/>
    <w:rsid w:val="00BA2170"/>
    <w:rsid w:val="00CA737A"/>
    <w:rsid w:val="00CB3FC1"/>
    <w:rsid w:val="00E03AD0"/>
    <w:rsid w:val="00E104F6"/>
    <w:rsid w:val="120E1D01"/>
    <w:rsid w:val="217A5837"/>
    <w:rsid w:val="21E84D06"/>
    <w:rsid w:val="2FA5729D"/>
    <w:rsid w:val="4B8B0E50"/>
    <w:rsid w:val="592C6FF9"/>
    <w:rsid w:val="5A384E79"/>
    <w:rsid w:val="600F1D43"/>
    <w:rsid w:val="60EB2C33"/>
    <w:rsid w:val="6F63746B"/>
    <w:rsid w:val="723C35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538</Words>
  <Characters>3071</Characters>
  <Lines>25</Lines>
  <Paragraphs>7</Paragraphs>
  <TotalTime>59</TotalTime>
  <ScaleCrop>false</ScaleCrop>
  <LinksUpToDate>false</LinksUpToDate>
  <CharactersWithSpaces>3602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2021-04-02T02:32:00Z</dcterms:created>
  <dc:creator>Administrator</dc:creator>
  <cp:lastModifiedBy>WPS_248792434</cp:lastModifiedBy>
  <dcterms:modified xsi:type="dcterms:W3CDTF">2022-02-22T01:28:09Z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967E85ED87B947368129BD5577EC76BB</vt:lpwstr>
  </property>
</Properties>
</file>