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napToGrid w:val="0"/>
        <w:jc w:val="center"/>
        <w:rPr>
          <w:rFonts w:cs="宋体"/>
        </w:rPr>
      </w:pPr>
      <w:bookmarkStart w:id="0" w:name="_GoBack"/>
      <w:r>
        <w:rPr>
          <w:rStyle w:val="9"/>
          <w:rFonts w:hint="eastAsia" w:ascii="黑体" w:hAnsi="宋体" w:eastAsia="黑体" w:cs="黑体"/>
          <w:sz w:val="44"/>
          <w:szCs w:val="44"/>
        </w:rPr>
        <w:t>台州市温岭市人民政府城北街道办事处2019年度部门决算</w:t>
      </w:r>
      <w:bookmarkEnd w:id="0"/>
      <w:r>
        <w:rPr>
          <w:rStyle w:val="9"/>
          <w:rFonts w:hint="eastAsia" w:ascii="黑体" w:hAnsi="宋体" w:eastAsia="黑体" w:cs="黑体"/>
          <w:sz w:val="44"/>
          <w:szCs w:val="44"/>
        </w:rPr>
        <w:t xml:space="preserve"> </w:t>
      </w:r>
    </w:p>
    <w:p>
      <w:pPr>
        <w:pStyle w:val="5"/>
        <w:widowControl/>
        <w:snapToGrid w:val="0"/>
        <w:rPr>
          <w:rFonts w:cs="宋体"/>
        </w:rPr>
      </w:pPr>
    </w:p>
    <w:p>
      <w:pPr>
        <w:pStyle w:val="5"/>
        <w:widowControl/>
        <w:snapToGrid w:val="0"/>
        <w:rPr>
          <w:rFonts w:cs="宋体"/>
        </w:rPr>
      </w:pPr>
    </w:p>
    <w:p>
      <w:pPr>
        <w:widowControl/>
        <w:snapToGrid w:val="0"/>
        <w:spacing w:line="600" w:lineRule="atLeast"/>
        <w:ind w:firstLine="640"/>
        <w:rPr>
          <w:rFonts w:ascii="宋体" w:hAnsi="宋体" w:eastAsia="宋体" w:cs="宋体"/>
          <w:kern w:val="0"/>
          <w:sz w:val="24"/>
        </w:rPr>
      </w:pPr>
      <w:r>
        <w:rPr>
          <w:rStyle w:val="9"/>
          <w:rFonts w:hint="eastAsia" w:ascii="黑体" w:hAnsi="宋体" w:eastAsia="黑体" w:cs="黑体"/>
          <w:kern w:val="0"/>
          <w:sz w:val="32"/>
          <w:szCs w:val="32"/>
        </w:rPr>
        <w:t>一、台州市温岭市人民政府城北街道办事处概况</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（一）部门职责</w:t>
      </w:r>
    </w:p>
    <w:p>
      <w:pPr>
        <w:widowControl/>
        <w:snapToGrid w:val="0"/>
        <w:spacing w:line="5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 xml:space="preserve">1. </w:t>
      </w:r>
      <w:r>
        <w:rPr>
          <w:rFonts w:hint="eastAsia" w:ascii="仿宋" w:hAnsi="仿宋" w:eastAsia="仿宋" w:cs="仿宋"/>
          <w:kern w:val="0"/>
          <w:sz w:val="32"/>
          <w:szCs w:val="32"/>
        </w:rPr>
        <w:t>制定和组织实施经济、科技和社会发展计划，促进经济发展。</w:t>
      </w:r>
    </w:p>
    <w:p>
      <w:pPr>
        <w:widowControl/>
        <w:snapToGrid w:val="0"/>
        <w:spacing w:line="5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仿宋"/>
          <w:kern w:val="0"/>
          <w:sz w:val="32"/>
          <w:szCs w:val="32"/>
        </w:rPr>
        <w:t>制定并组织实施村镇建设规划，部署重点工程建设，地方道路建设等公共设施，水利设施的管理。</w:t>
      </w:r>
    </w:p>
    <w:p>
      <w:pPr>
        <w:widowControl/>
        <w:snapToGrid w:val="0"/>
        <w:spacing w:line="5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3.</w:t>
      </w:r>
      <w:r>
        <w:rPr>
          <w:rFonts w:hint="eastAsia" w:ascii="仿宋" w:hAnsi="仿宋" w:eastAsia="仿宋" w:cs="仿宋"/>
          <w:kern w:val="0"/>
          <w:sz w:val="32"/>
          <w:szCs w:val="32"/>
        </w:rPr>
        <w:t>负责本行政区域内的民政、计划生育、文化教育、卫生、体育等社会公益事业的综合性工作。</w:t>
      </w:r>
    </w:p>
    <w:p>
      <w:pPr>
        <w:widowControl/>
        <w:snapToGrid w:val="0"/>
        <w:spacing w:line="5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4.</w:t>
      </w:r>
      <w:r>
        <w:rPr>
          <w:rFonts w:hint="eastAsia" w:ascii="仿宋" w:hAnsi="仿宋" w:eastAsia="仿宋" w:cs="仿宋"/>
          <w:kern w:val="0"/>
          <w:sz w:val="32"/>
          <w:szCs w:val="32"/>
        </w:rPr>
        <w:t>按计划组织本级财政收入和地方税的征收，完成国家财政计划，不断培植税源，管好财政资金。增强财政实力。</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5.</w:t>
      </w:r>
      <w:r>
        <w:rPr>
          <w:rFonts w:hint="eastAsia" w:ascii="仿宋" w:hAnsi="仿宋" w:eastAsia="仿宋" w:cs="仿宋"/>
          <w:kern w:val="0"/>
          <w:sz w:val="32"/>
          <w:szCs w:val="32"/>
        </w:rPr>
        <w:t>抓好精神文明建设，丰富群众文化生活，提倡移风易俗，反对封建迷信，破除陈规陋习，树立社会主义新风尚。</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（二）机构设置</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从预算单位构成看，台州市温岭市人民政府城北街道办事处部门决算包括：本级决算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sz w:val="32"/>
          <w:szCs w:val="32"/>
        </w:rPr>
        <w:t>纳入台州市温岭市风景旅游管理局2019年度部门决算编制范围的二级预算单位包括：无</w:t>
      </w:r>
    </w:p>
    <w:p>
      <w:pPr>
        <w:widowControl/>
        <w:snapToGrid w:val="0"/>
        <w:spacing w:line="600" w:lineRule="atLeast"/>
        <w:ind w:firstLine="640"/>
        <w:rPr>
          <w:rFonts w:ascii="宋体" w:hAnsi="宋体" w:eastAsia="宋体" w:cs="宋体"/>
          <w:kern w:val="0"/>
          <w:sz w:val="24"/>
        </w:rPr>
      </w:pPr>
      <w:r>
        <w:rPr>
          <w:rStyle w:val="9"/>
          <w:rFonts w:hint="eastAsia" w:ascii="黑体" w:hAnsi="宋体" w:eastAsia="黑体" w:cs="黑体"/>
          <w:kern w:val="0"/>
          <w:sz w:val="32"/>
          <w:szCs w:val="32"/>
        </w:rPr>
        <w:t>二、台州市温岭市人民政府城北街道办事处</w:t>
      </w:r>
      <w:r>
        <w:rPr>
          <w:rStyle w:val="9"/>
          <w:rFonts w:hint="eastAsia" w:ascii="黑体" w:hAnsi="宋体" w:eastAsia="黑体" w:cs="Arial"/>
          <w:kern w:val="0"/>
          <w:sz w:val="32"/>
          <w:szCs w:val="32"/>
        </w:rPr>
        <w:t>2019年度部门决算公开表</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详见附表。</w:t>
      </w:r>
    </w:p>
    <w:p>
      <w:pPr>
        <w:widowControl/>
        <w:snapToGrid w:val="0"/>
        <w:spacing w:line="600" w:lineRule="atLeast"/>
        <w:ind w:firstLine="640"/>
        <w:rPr>
          <w:rFonts w:ascii="宋体" w:hAnsi="宋体" w:eastAsia="宋体" w:cs="宋体"/>
          <w:kern w:val="0"/>
          <w:sz w:val="24"/>
        </w:rPr>
      </w:pPr>
      <w:r>
        <w:rPr>
          <w:rStyle w:val="9"/>
          <w:rFonts w:hint="eastAsia" w:ascii="黑体" w:hAnsi="宋体" w:eastAsia="黑体" w:cs="黑体"/>
          <w:kern w:val="0"/>
          <w:sz w:val="32"/>
          <w:szCs w:val="32"/>
        </w:rPr>
        <w:t>三、台州市温岭市人民政府城北街道办事处</w:t>
      </w:r>
      <w:r>
        <w:rPr>
          <w:rStyle w:val="9"/>
          <w:rFonts w:hint="eastAsia" w:ascii="黑体" w:hAnsi="宋体" w:eastAsia="黑体" w:cs="Arial"/>
          <w:kern w:val="0"/>
          <w:sz w:val="32"/>
          <w:szCs w:val="32"/>
        </w:rPr>
        <w:t>2019年度部门决算情况说明</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（一）收入支出决算总体情况说明</w:t>
      </w:r>
    </w:p>
    <w:p>
      <w:pPr>
        <w:widowControl/>
        <w:snapToGrid w:val="0"/>
        <w:spacing w:line="600" w:lineRule="atLeast"/>
        <w:ind w:firstLine="640"/>
        <w:rPr>
          <w:rFonts w:ascii="宋体" w:hAnsi="宋体" w:eastAsia="仿宋" w:cs="宋体"/>
          <w:kern w:val="0"/>
          <w:sz w:val="24"/>
        </w:rPr>
      </w:pPr>
      <w:r>
        <w:rPr>
          <w:rFonts w:hint="eastAsia" w:ascii="仿宋" w:hAnsi="仿宋" w:eastAsia="仿宋" w:cs="Arial"/>
          <w:kern w:val="0"/>
          <w:sz w:val="32"/>
          <w:szCs w:val="32"/>
        </w:rPr>
        <w:t>2019年度收、支总计18,216.07万元，与2018年度相比，收、支总计各增加11849.65</w:t>
      </w:r>
      <w:r>
        <w:rPr>
          <w:rFonts w:hint="eastAsia" w:ascii="仿宋" w:hAnsi="仿宋" w:eastAsia="仿宋" w:cs="仿宋"/>
          <w:kern w:val="0"/>
          <w:sz w:val="32"/>
          <w:szCs w:val="32"/>
        </w:rPr>
        <w:t>万元，增长</w:t>
      </w:r>
      <w:r>
        <w:rPr>
          <w:rFonts w:hint="eastAsia" w:ascii="仿宋" w:hAnsi="仿宋" w:eastAsia="仿宋" w:cs="Arial"/>
          <w:kern w:val="0"/>
          <w:sz w:val="32"/>
          <w:szCs w:val="32"/>
        </w:rPr>
        <w:t>186.13%。主要原因是：</w:t>
      </w:r>
      <w:r>
        <w:rPr>
          <w:rFonts w:hint="eastAsia" w:ascii="仿宋" w:hAnsi="仿宋" w:eastAsia="仿宋" w:cs="仿宋"/>
          <w:kern w:val="0"/>
          <w:sz w:val="32"/>
          <w:szCs w:val="32"/>
        </w:rPr>
        <w:t>土地出让金收入增加。</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（二）收入决算情况说明</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本年收入合计</w:t>
      </w:r>
      <w:r>
        <w:rPr>
          <w:rFonts w:hint="eastAsia" w:ascii="仿宋" w:hAnsi="仿宋" w:eastAsia="仿宋" w:cs="Arial"/>
          <w:kern w:val="0"/>
          <w:sz w:val="32"/>
          <w:szCs w:val="32"/>
        </w:rPr>
        <w:t>17,046.98万元；包括财政拨款收入17,046.98万元（其中，一般公共预算2,944.39万元，政府性基金预算14,102.58万元），占收入合计100.00%；上级补助收入0万元，占收入合计0%；事业收入0万元，占收入合计0%；经营收入0万元，占收入合计0%。附属单位上缴收入0万元，占收入合计0%。其他收入0万元，占收入合计0%。</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（三）支出决算情况说明</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本年支出合计</w:t>
      </w:r>
      <w:r>
        <w:rPr>
          <w:rFonts w:hint="eastAsia" w:ascii="仿宋" w:hAnsi="仿宋" w:eastAsia="仿宋" w:cs="Arial"/>
          <w:kern w:val="0"/>
          <w:sz w:val="32"/>
          <w:szCs w:val="32"/>
        </w:rPr>
        <w:t>17,046.98万元，其中基本支出1,246.97万元，占7.31%；项目支出15,800.01万元，占92.69%；上缴上级支出0万元，占0%；经营支出0万元，占0%；对附属单位补助支出0万元，占0%。</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（四）财政拨款收入支出决算总体情况说明</w:t>
      </w:r>
    </w:p>
    <w:p>
      <w:pPr>
        <w:widowControl/>
        <w:snapToGrid w:val="0"/>
        <w:spacing w:line="600" w:lineRule="atLeast"/>
        <w:ind w:firstLine="640"/>
        <w:rPr>
          <w:rFonts w:ascii="宋体" w:hAnsi="宋体" w:eastAsia="仿宋" w:cs="宋体"/>
          <w:kern w:val="0"/>
          <w:sz w:val="24"/>
        </w:rPr>
      </w:pPr>
      <w:r>
        <w:rPr>
          <w:rFonts w:hint="eastAsia" w:ascii="仿宋" w:hAnsi="仿宋" w:eastAsia="仿宋" w:cs="Arial"/>
          <w:kern w:val="0"/>
          <w:sz w:val="32"/>
          <w:szCs w:val="32"/>
        </w:rPr>
        <w:t>2019年度财政拨款收、支总计18,216.07万元，与2018年相比，财政拨款收、支总计各增加11849.65</w:t>
      </w:r>
      <w:r>
        <w:rPr>
          <w:rFonts w:hint="eastAsia" w:ascii="仿宋" w:hAnsi="仿宋" w:eastAsia="仿宋" w:cs="仿宋"/>
          <w:kern w:val="0"/>
          <w:sz w:val="32"/>
          <w:szCs w:val="32"/>
        </w:rPr>
        <w:t>万元，增长</w:t>
      </w:r>
      <w:r>
        <w:rPr>
          <w:rFonts w:hint="eastAsia" w:ascii="仿宋" w:hAnsi="仿宋" w:eastAsia="仿宋" w:cs="Arial"/>
          <w:kern w:val="0"/>
          <w:sz w:val="32"/>
          <w:szCs w:val="32"/>
        </w:rPr>
        <w:t>186.13%。主要原因是：</w:t>
      </w:r>
      <w:r>
        <w:rPr>
          <w:rFonts w:hint="eastAsia" w:ascii="仿宋" w:hAnsi="仿宋" w:eastAsia="仿宋" w:cs="仿宋"/>
          <w:kern w:val="0"/>
          <w:sz w:val="32"/>
          <w:szCs w:val="32"/>
        </w:rPr>
        <w:t>土地出让金收入增加。</w:t>
      </w:r>
    </w:p>
    <w:p>
      <w:pPr>
        <w:widowControl/>
        <w:snapToGrid w:val="0"/>
        <w:spacing w:line="600" w:lineRule="atLeast"/>
        <w:ind w:firstLine="321" w:firstLineChars="100"/>
        <w:rPr>
          <w:rFonts w:ascii="宋体" w:hAnsi="宋体" w:eastAsia="宋体" w:cs="宋体"/>
          <w:kern w:val="0"/>
          <w:sz w:val="24"/>
        </w:rPr>
      </w:pPr>
      <w:r>
        <w:rPr>
          <w:rStyle w:val="9"/>
          <w:rFonts w:hint="eastAsia" w:ascii="楷体" w:hAnsi="楷体" w:eastAsia="楷体" w:cs="楷体"/>
          <w:kern w:val="0"/>
          <w:sz w:val="32"/>
          <w:szCs w:val="32"/>
        </w:rPr>
        <w:t>（五）一般公共预算财政拨款支出决算情况说明</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1.一般公共预算财政拨款支出决算总体情况。</w:t>
      </w:r>
    </w:p>
    <w:p>
      <w:pPr>
        <w:widowControl/>
        <w:snapToGrid w:val="0"/>
        <w:spacing w:line="600" w:lineRule="atLeast"/>
        <w:ind w:firstLine="640"/>
        <w:rPr>
          <w:rFonts w:ascii="宋体" w:hAnsi="宋体" w:eastAsia="仿宋" w:cs="宋体"/>
          <w:kern w:val="0"/>
          <w:sz w:val="24"/>
        </w:rPr>
      </w:pPr>
      <w:r>
        <w:rPr>
          <w:rFonts w:hint="eastAsia" w:ascii="仿宋" w:hAnsi="仿宋" w:eastAsia="仿宋" w:cs="Arial"/>
          <w:kern w:val="0"/>
          <w:sz w:val="32"/>
          <w:szCs w:val="32"/>
        </w:rPr>
        <w:t>2019年度一般公共预算财政拨款支出2,944.39万元，占本年支出合计的17.27%。与2018年相比，一般公共预算财政拨款支出减少833.4</w:t>
      </w:r>
      <w:r>
        <w:rPr>
          <w:rFonts w:hint="eastAsia" w:ascii="仿宋" w:hAnsi="仿宋" w:eastAsia="仿宋" w:cs="仿宋"/>
          <w:kern w:val="0"/>
          <w:sz w:val="32"/>
          <w:szCs w:val="32"/>
        </w:rPr>
        <w:t>万元，下降</w:t>
      </w:r>
      <w:r>
        <w:rPr>
          <w:rFonts w:hint="eastAsia" w:ascii="仿宋" w:hAnsi="仿宋" w:eastAsia="仿宋" w:cs="Arial"/>
          <w:kern w:val="0"/>
          <w:sz w:val="32"/>
          <w:szCs w:val="32"/>
        </w:rPr>
        <w:t>22.06%。主要原因是：</w:t>
      </w:r>
      <w:r>
        <w:rPr>
          <w:rFonts w:hint="eastAsia" w:ascii="仿宋" w:hAnsi="仿宋" w:eastAsia="仿宋" w:cs="仿宋"/>
          <w:kern w:val="0"/>
          <w:sz w:val="32"/>
          <w:szCs w:val="32"/>
        </w:rPr>
        <w:t>基础设施建设投入减少。</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2.一般公共预算财政拨款支出决算结构情况。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一般公共预算财政拨款支出2,944.39万元，主要用于以下方面：一般公共服务（类）支出691.51万元，占23.49%；国防（类）支出0万元,占0%；公共安全（类）支出0万元,占0%；教育（类）支出0万元,占0%；科学技术（类）支出0万元,占0%；文化旅游体育与传媒（类）支出41.60万元,占1.41%；社会保障和就业（类）支出680.81万元,占23.12%；卫生健康（类）支出72.55万元,占2.46%；节能环保（类）支出265.80万元,占9.03%；城乡社区（类）支出0万元,占0%；农林水（类）支出970.83万元,占32.97%；交通运输（类）支出0万元,占0%；资源勘探信息等（类）支出104.00万元,占3.53%；商业服务业等（类）支出0万元,占0%；金融（类）支出0万元,占0%；援助其他地区（类）支出0万元,占0%；自然资源海洋气象等（类）支出0万元,占0%；住房保障（类）支出0万元,占0%；粮油物资储备（类）支出0万元,占0%；灾害防治及应急管理（类）支出117.29万元，占3.98%；其他（类）支出0万元,占0%；债务还本（类）支出0万元,占0%；债务付息（类）支出0万元,占0%。</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3.一般公共预算财政拨款支出决算具体情况。</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kern w:val="0"/>
          <w:sz w:val="32"/>
          <w:szCs w:val="32"/>
        </w:rPr>
        <w:t>2019年度一般公共预算财政拨款支出年初预算为1284.62</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2,944.39万元,完成年初预算的229.2%</w:t>
      </w:r>
      <w:r>
        <w:rPr>
          <w:rFonts w:hint="eastAsia" w:ascii="仿宋" w:hAnsi="仿宋" w:eastAsia="仿宋" w:cs="仿宋"/>
          <w:kern w:val="0"/>
          <w:sz w:val="32"/>
          <w:szCs w:val="32"/>
        </w:rPr>
        <w:t>。</w:t>
      </w:r>
      <w:r>
        <w:rPr>
          <w:rFonts w:hint="eastAsia" w:ascii="仿宋" w:hAnsi="仿宋" w:eastAsia="仿宋" w:cs="Arial"/>
          <w:sz w:val="32"/>
          <w:szCs w:val="32"/>
        </w:rPr>
        <w:t>主要原因是</w:t>
      </w:r>
      <w:r>
        <w:rPr>
          <w:rFonts w:hint="eastAsia" w:ascii="仿宋" w:hAnsi="仿宋" w:eastAsia="仿宋" w:cs="仿宋"/>
          <w:sz w:val="32"/>
          <w:szCs w:val="32"/>
        </w:rPr>
        <w:t>追加民政低保、残联及退役军人优抚补助、考核奖预发及调资结算资金、病故人员一次性抚恤费及遗属补助、专职社区工作者经费、太平街道背街小巷、老旧小区整治提升工程等</w:t>
      </w:r>
      <w:r>
        <w:rPr>
          <w:rFonts w:hint="eastAsia" w:ascii="仿宋" w:hAnsi="仿宋" w:eastAsia="仿宋" w:cs="仿宋"/>
          <w:kern w:val="0"/>
          <w:sz w:val="32"/>
          <w:szCs w:val="32"/>
        </w:rPr>
        <w:t>其中：</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一般公共服务支出（类）人大事务（款）其他人大事务支出（项）。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63</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63</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一般公共服务支出（类）政府办公厅（室）及相关机构事务（款）行政运行（项）。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264.15</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273</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93.04%</w:t>
      </w:r>
      <w:r>
        <w:rPr>
          <w:rFonts w:hint="eastAsia" w:ascii="仿宋" w:hAnsi="仿宋" w:eastAsia="仿宋" w:cs="仿宋"/>
          <w:kern w:val="0"/>
          <w:sz w:val="32"/>
          <w:szCs w:val="32"/>
        </w:rPr>
        <w:t>。</w:t>
      </w:r>
      <w:r>
        <w:rPr>
          <w:rFonts w:hint="eastAsia" w:ascii="仿宋" w:hAnsi="仿宋" w:eastAsia="仿宋" w:cs="Arial"/>
          <w:sz w:val="32"/>
          <w:szCs w:val="32"/>
        </w:rPr>
        <w:t>决算数小于预算数的主要原因在于公用经费有结余。</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一般公共服务支出（类）政府办公厅（室）及相关机构事务（款）其他政府办公厅（室）及相关机构事务支出（项）。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10.1</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12.61</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124.85%</w:t>
      </w:r>
      <w:r>
        <w:rPr>
          <w:rFonts w:hint="eastAsia" w:ascii="仿宋" w:hAnsi="仿宋" w:eastAsia="仿宋" w:cs="仿宋"/>
          <w:kern w:val="0"/>
          <w:sz w:val="32"/>
          <w:szCs w:val="32"/>
        </w:rPr>
        <w:t>。</w:t>
      </w:r>
      <w:r>
        <w:rPr>
          <w:rFonts w:hint="eastAsia" w:ascii="仿宋" w:hAnsi="仿宋" w:eastAsia="仿宋" w:cs="Arial"/>
          <w:sz w:val="32"/>
          <w:szCs w:val="32"/>
        </w:rPr>
        <w:t>决算数大于预算数的主要原因在于政府采购指标有结余。</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一般公共服务支出（类）统计事务管理（款）统计管理（项）。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62.4</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62.4</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一般公共服务支出（类）群众团体事务（款）其他群众团体事务支出（项）。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42</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一般公共服务支出（类）其他共产党事务支出（款）其他共产党事务支出（项）。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168</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168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一般公共服务支出（类）其他一般公共服务支出（款）其他一般公共服务支出（项）。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70.5</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文化旅游体育与传媒支出（类）文化和旅游（款）群众文化（项）。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41.6</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41.6</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社会保障和就业支出（类）人力资源和社会保障管理事务（款）劳动保障监察（项）。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83.2</w:t>
      </w:r>
      <w:r>
        <w:rPr>
          <w:rFonts w:hint="eastAsia" w:ascii="仿宋" w:hAnsi="仿宋" w:eastAsia="仿宋" w:cs="仿宋"/>
          <w:kern w:val="0"/>
          <w:sz w:val="32"/>
          <w:szCs w:val="32"/>
        </w:rPr>
        <w:t>万元，</w:t>
      </w:r>
      <w:r>
        <w:rPr>
          <w:rFonts w:hint="eastAsia" w:ascii="仿宋" w:hAnsi="仿宋" w:eastAsia="仿宋" w:cs="Arial"/>
          <w:kern w:val="0"/>
          <w:sz w:val="32"/>
          <w:szCs w:val="32"/>
        </w:rPr>
        <w:t>2015</w:t>
      </w:r>
      <w:r>
        <w:rPr>
          <w:rFonts w:hint="eastAsia" w:ascii="仿宋" w:hAnsi="仿宋" w:eastAsia="仿宋" w:cs="仿宋"/>
          <w:kern w:val="0"/>
          <w:sz w:val="32"/>
          <w:szCs w:val="32"/>
        </w:rPr>
        <w:t>年支出决算为</w:t>
      </w:r>
      <w:r>
        <w:rPr>
          <w:rFonts w:hint="eastAsia" w:ascii="仿宋" w:hAnsi="仿宋" w:eastAsia="仿宋" w:cs="Arial"/>
          <w:kern w:val="0"/>
          <w:sz w:val="32"/>
          <w:szCs w:val="32"/>
        </w:rPr>
        <w:t>83.2</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社会保障和就业支出（类）民政管理事务（款）其他民政管理事务支出（项）。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5.08</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5.08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社会保障和就业支出（类）抚恤（款）伤残抚恤（项）。</w:t>
      </w:r>
    </w:p>
    <w:p>
      <w:pPr>
        <w:widowControl/>
        <w:snapToGrid w:val="0"/>
        <w:spacing w:line="600" w:lineRule="atLeast"/>
        <w:rPr>
          <w:rFonts w:ascii="仿宋" w:hAnsi="仿宋" w:eastAsia="仿宋" w:cs="Arial"/>
          <w:kern w:val="0"/>
          <w:sz w:val="32"/>
          <w:szCs w:val="32"/>
        </w:rPr>
      </w:pP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38.83</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社会保障和就业支出（类）抚恤（款）在乡复员、退伍军人生活补助（项）。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8.41</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社会保障和就业支出（类）抚恤（款）义务兵优待（项）。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66.34</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66.34</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社会保障和就业支出（类）抚恤（款）农村籍退役士兵老年生活补助（项）。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年支出决算为0.75万元，决算数大于预算数的主要原因在于年度财政追加预算。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社会保障和就业支出（类）抚恤（款）其他优抚支出（项）。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63.3</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63.30</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社会保障和就业支出（类）退役安置（款）退役士兵安置（项）。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20.48</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社会保障和就业支出（类）社会福利（款）儿童福利（项）。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11.62</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社会保障和就业支出（类）社会福利（款）老年福利（项）。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4.23</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4.23</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社会保障和就业支出（类）社会福利（款）其他社会福利支出（项）。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124.8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w:t>
      </w:r>
      <w:r>
        <w:rPr>
          <w:rFonts w:hint="eastAsia" w:ascii="仿宋" w:hAnsi="仿宋" w:eastAsia="仿宋" w:cs="仿宋"/>
          <w:kern w:val="0"/>
          <w:sz w:val="32"/>
          <w:szCs w:val="32"/>
        </w:rPr>
        <w:t>，决算数小于预算数的主要原因在于殡葬管理人员经费有结余。</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社会保障和就业支出（类）残疾人事业（款）残疾人康复（项）。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6.45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社会保障和就业支出（类）残疾人事业（款）残疾人就业和扶贫（项）。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31.91</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社会保障和就业支出（类）残疾人事业（款）残疾人生活和护理补贴（项）。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61.67</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社会保障和就业支出（类）残疾人事业（款）其他残疾人事业支出（项）。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社会保障和就业支出（类）最低生活保障（款）城市最低生活保障金支出（项）。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118.22</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社会保障和就业支出（类）临时救助（款）临时救助支出（项）。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12.77</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社会保障和就业支出（类）特困人员救助供养（款）城市特困人员救助供养支出（项）。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1.85</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4.18</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社会保障和就业支出（类）其他生活救助（款）其他城市生活救助（项）。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8.9</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社会保障和就业支出（类）其他生活救助（款）其他农村生活救助（项）。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5.15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社会保障和就业支出（类）退役军人管理事务（款）拥军优属（项）。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0.66</w:t>
      </w:r>
      <w:r>
        <w:rPr>
          <w:rFonts w:hint="eastAsia" w:ascii="仿宋" w:hAnsi="仿宋" w:eastAsia="仿宋" w:cs="仿宋"/>
          <w:kern w:val="0"/>
          <w:sz w:val="32"/>
          <w:szCs w:val="32"/>
        </w:rPr>
        <w:t>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社会保障和就业支出（类）退役军人管理事务（款）其他退役军人事务管理支出（项）。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1.35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卫生健康支出（类）计划生育事务（款）其他计划生育事务支出（项）。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71.4</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71.4</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卫生健康支出（类）优抚对象医疗（款）优抚对象医疗补助（项）。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1.15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节能环保支出（类）环境保护管理事务（款）其他环境保护管理事务支出（项）。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20.8</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20.8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仿宋"/>
          <w:kern w:val="0"/>
          <w:sz w:val="32"/>
          <w:szCs w:val="32"/>
          <w:highlight w:val="yellow"/>
        </w:rPr>
      </w:pPr>
      <w:r>
        <w:rPr>
          <w:rFonts w:hint="eastAsia" w:ascii="仿宋" w:hAnsi="仿宋" w:eastAsia="仿宋" w:cs="仿宋"/>
          <w:kern w:val="0"/>
          <w:sz w:val="32"/>
          <w:szCs w:val="32"/>
        </w:rPr>
        <w:t>节能环保支出（类）环境保护管理事务（款）其他节能环保支出（项）。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245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农林水支出（类）农业（款）对高校毕业生到基层任职补助（项）。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5.57</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5.57</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农林水支出（类）农业（款）其他农业支出（项）。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146.74</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104</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70.87%</w:t>
      </w:r>
      <w:r>
        <w:rPr>
          <w:rFonts w:hint="eastAsia" w:ascii="仿宋" w:hAnsi="仿宋" w:eastAsia="仿宋" w:cs="仿宋"/>
          <w:kern w:val="0"/>
          <w:sz w:val="32"/>
          <w:szCs w:val="32"/>
        </w:rPr>
        <w:t>，决算数小于预算数的主要原因在于村级便民服务中心运行经费减少。</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农林水支出（类）林业和草原（款）其他林业和草原支出（项）。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20.8</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20.8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农林水支出（类）水利（款）其他水利支出（项）。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20.8</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20.8</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农林水支出（类）农村综合改革（款）对村级一事一议的补助（项）。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19.66</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19.66</w:t>
      </w:r>
      <w:r>
        <w:rPr>
          <w:rFonts w:hint="eastAsia" w:ascii="仿宋" w:hAnsi="仿宋" w:eastAsia="仿宋" w:cs="仿宋"/>
          <w:kern w:val="0"/>
          <w:sz w:val="32"/>
          <w:szCs w:val="32"/>
        </w:rPr>
        <w:t>万元，决算数大于预算数的主要原因在于年中财政追加预算。决算数大于预算数的主要原因在于年度财政追加预算。</w:t>
      </w:r>
    </w:p>
    <w:p>
      <w:pPr>
        <w:widowControl/>
        <w:snapToGrid w:val="0"/>
        <w:spacing w:line="600" w:lineRule="atLeast"/>
        <w:ind w:firstLine="640"/>
        <w:rPr>
          <w:rFonts w:ascii="仿宋" w:hAnsi="仿宋" w:eastAsia="仿宋" w:cs="仿宋"/>
          <w:kern w:val="0"/>
          <w:sz w:val="32"/>
          <w:szCs w:val="32"/>
          <w:highlight w:val="yellow"/>
        </w:rPr>
      </w:pPr>
      <w:r>
        <w:rPr>
          <w:rFonts w:hint="eastAsia" w:ascii="仿宋" w:hAnsi="仿宋" w:eastAsia="仿宋" w:cs="仿宋"/>
          <w:kern w:val="0"/>
          <w:sz w:val="32"/>
          <w:szCs w:val="32"/>
        </w:rPr>
        <w:t>农林水支出（类）农业（款）其他农业支出（项）。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年支出决算为800万元，决算数大于预算数的主要原因在于年度财政追加预算。</w:t>
      </w:r>
    </w:p>
    <w:p>
      <w:pPr>
        <w:widowControl/>
        <w:snapToGrid w:val="0"/>
        <w:spacing w:line="600" w:lineRule="atLeast"/>
        <w:ind w:firstLine="960" w:firstLineChars="300"/>
        <w:rPr>
          <w:rFonts w:ascii="仿宋" w:hAnsi="仿宋" w:eastAsia="仿宋" w:cs="Arial"/>
          <w:kern w:val="0"/>
          <w:sz w:val="32"/>
          <w:szCs w:val="32"/>
        </w:rPr>
      </w:pPr>
      <w:r>
        <w:rPr>
          <w:rFonts w:hint="eastAsia" w:ascii="仿宋" w:hAnsi="仿宋" w:eastAsia="仿宋" w:cs="仿宋"/>
          <w:kern w:val="0"/>
          <w:sz w:val="32"/>
          <w:szCs w:val="32"/>
        </w:rPr>
        <w:t>资源勘探信息等支出（类）支持中小企业发展和管理支出（款）其他支持中小企业发展和管理支出（项）。</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104</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104</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灾害防治及应急管理支出（类）自然灾害防治（款）安全监察。</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41.6</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41.6</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灾害防治及应急管理支出（类）自然灾害防治（款）。</w:t>
      </w:r>
      <w:r>
        <w:rPr>
          <w:rFonts w:hint="eastAsia" w:ascii="仿宋" w:hAnsi="仿宋" w:eastAsia="仿宋" w:cs="Arial"/>
          <w:kern w:val="0"/>
          <w:sz w:val="32"/>
          <w:szCs w:val="32"/>
        </w:rPr>
        <w:t>2019</w:t>
      </w:r>
      <w:r>
        <w:rPr>
          <w:rFonts w:hint="eastAsia" w:ascii="仿宋" w:hAnsi="仿宋" w:eastAsia="仿宋" w:cs="仿宋"/>
          <w:kern w:val="0"/>
          <w:sz w:val="32"/>
          <w:szCs w:val="32"/>
        </w:rPr>
        <w:t>年年初预算为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w:t>
      </w:r>
      <w:r>
        <w:rPr>
          <w:rFonts w:hint="eastAsia" w:ascii="仿宋" w:hAnsi="仿宋" w:eastAsia="仿宋" w:cs="Arial"/>
          <w:kern w:val="0"/>
          <w:sz w:val="32"/>
          <w:szCs w:val="32"/>
        </w:rPr>
        <w:t>2019</w:t>
      </w:r>
      <w:r>
        <w:rPr>
          <w:rFonts w:hint="eastAsia" w:ascii="仿宋" w:hAnsi="仿宋" w:eastAsia="仿宋" w:cs="仿宋"/>
          <w:kern w:val="0"/>
          <w:sz w:val="32"/>
          <w:szCs w:val="32"/>
        </w:rPr>
        <w:t>年支出决算为</w:t>
      </w:r>
      <w:r>
        <w:rPr>
          <w:rFonts w:hint="eastAsia" w:ascii="仿宋" w:hAnsi="仿宋" w:eastAsia="仿宋" w:cs="Arial"/>
          <w:kern w:val="0"/>
          <w:sz w:val="32"/>
          <w:szCs w:val="32"/>
        </w:rPr>
        <w:t>75.69</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（六）一般公共预算财政拨款基本支出决算情况说明</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2019年度一般公共预算财政拨款基本支出1,246.97万元，其中：</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人员经费</w:t>
      </w:r>
      <w:r>
        <w:rPr>
          <w:rFonts w:hint="eastAsia" w:ascii="仿宋" w:hAnsi="仿宋" w:eastAsia="仿宋" w:cs="Arial"/>
          <w:kern w:val="0"/>
          <w:sz w:val="32"/>
          <w:szCs w:val="32"/>
        </w:rPr>
        <w:t>1,172.63万元，</w:t>
      </w:r>
      <w:r>
        <w:rPr>
          <w:rFonts w:hint="eastAsia" w:ascii="仿宋" w:hAnsi="仿宋" w:eastAsia="仿宋" w:cs="仿宋"/>
          <w:kern w:val="0"/>
          <w:sz w:val="32"/>
          <w:szCs w:val="32"/>
        </w:rPr>
        <w:t>主要包括：基本工资、津贴补贴、奖金、其他社会保障费、绩效工资、机关事业单位基本养老保险缴费、职业年金缴费、住房公积金、医疗补助费、离休费、行政退休人员通讯补贴、离休干部护理费、电话费、交通费、遗属补助、精减职工补助等。</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公用经费</w:t>
      </w:r>
      <w:r>
        <w:rPr>
          <w:rFonts w:hint="eastAsia" w:ascii="仿宋" w:hAnsi="仿宋" w:eastAsia="仿宋" w:cs="Arial"/>
          <w:kern w:val="0"/>
          <w:sz w:val="32"/>
          <w:szCs w:val="32"/>
        </w:rPr>
        <w:t>74.34万元，主</w:t>
      </w:r>
      <w:r>
        <w:rPr>
          <w:rFonts w:hint="eastAsia" w:ascii="仿宋" w:hAnsi="仿宋" w:eastAsia="仿宋" w:cs="仿宋"/>
          <w:kern w:val="0"/>
          <w:sz w:val="32"/>
          <w:szCs w:val="32"/>
        </w:rPr>
        <w:t>主要包括：办公费、印刷费、咨询费、手续费、水电费、邮电费、差旅费、物业管理费、维修费、租赁费、会议费、培训费、公务接待费、公务用车运行维护费、其他交通费、福利费、工会经费、劳务费、办公设备购置费等。</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（七）政府性基金预算财政拨款支出决算总体情况</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1.政府性基金预算财政拨款支出决算总体情况。</w:t>
      </w:r>
    </w:p>
    <w:p>
      <w:pPr>
        <w:widowControl/>
        <w:snapToGrid w:val="0"/>
        <w:spacing w:line="600" w:lineRule="atLeast"/>
        <w:ind w:firstLine="640"/>
        <w:rPr>
          <w:rFonts w:ascii="宋体" w:hAnsi="宋体" w:eastAsia="仿宋" w:cs="宋体"/>
          <w:kern w:val="0"/>
          <w:sz w:val="24"/>
        </w:rPr>
      </w:pPr>
      <w:r>
        <w:rPr>
          <w:rFonts w:hint="eastAsia" w:ascii="仿宋" w:hAnsi="仿宋" w:eastAsia="仿宋" w:cs="Arial"/>
          <w:kern w:val="0"/>
          <w:sz w:val="32"/>
          <w:szCs w:val="32"/>
        </w:rPr>
        <w:t>2019年度政府性基金预算财政拨款支出14,102.58万元，占本年支出合计的82.73%。与2018年相比，政府性基金预算财政拨款支出增加12683.06</w:t>
      </w:r>
      <w:r>
        <w:rPr>
          <w:rFonts w:hint="eastAsia" w:ascii="仿宋" w:hAnsi="仿宋" w:eastAsia="仿宋" w:cs="仿宋"/>
          <w:kern w:val="0"/>
          <w:sz w:val="32"/>
          <w:szCs w:val="32"/>
        </w:rPr>
        <w:t>万元，增长</w:t>
      </w:r>
      <w:r>
        <w:rPr>
          <w:rFonts w:hint="eastAsia" w:ascii="仿宋" w:hAnsi="仿宋" w:eastAsia="仿宋" w:cs="Arial"/>
          <w:kern w:val="0"/>
          <w:sz w:val="32"/>
          <w:szCs w:val="32"/>
        </w:rPr>
        <w:t>893.47%。主要原因是：</w:t>
      </w:r>
      <w:r>
        <w:rPr>
          <w:rFonts w:hint="eastAsia" w:ascii="仿宋" w:hAnsi="仿宋" w:eastAsia="仿宋" w:cs="仿宋"/>
          <w:kern w:val="0"/>
          <w:sz w:val="32"/>
          <w:szCs w:val="32"/>
        </w:rPr>
        <w:t>土地出让金增加。</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2.政府性基金预算财政拨款支出决算结构情况。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政府性基金预算财政拨款支出14,102.58万元，主要用于以下方面：科学技术（类）支出0万元,占0%；文化旅游体育与传媒（类）支出0万元,占0%；社会保障和就业（类）支出0万元,占0%；节能环保（类）支出0万元,占0%；城乡社区（类）支出14,024.76万元,占99.45%；农林水（类）支出0万元,占0%；交通运输（类）支出0万元,占0%；资源勘探信息等（类）支出0万元,占0%；金融（类）支出0万元,占0%；其他（类）支出77.82万元,占0.55%；债务付息（类）支出0万元,占0%。</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3.政府性基金预算财政拨款支出决算具体情况。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2019年度政府性基金预算财政拨款支出年初预算为0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14,102.58万元,完成年初预算的100%，决算等于预算的主要原因是严格按照预算执行。其中：</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城乡社区支出（类）国有土地使用权出让收入及对应专项债务安排的支出（款）征地和拆迁补偿支出（项）。年初预算为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4000</w:t>
      </w:r>
      <w:r>
        <w:rPr>
          <w:rFonts w:hint="eastAsia" w:ascii="仿宋" w:hAnsi="仿宋" w:eastAsia="仿宋" w:cs="仿宋"/>
          <w:kern w:val="0"/>
          <w:sz w:val="32"/>
          <w:szCs w:val="32"/>
        </w:rPr>
        <w:t>万元，决算数大于预算数的主要原因在于年度返还土地出让金。</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城乡社区支出（类）国有土地使用权出让收入及对应专项债务安排的支出（款）其他国有土地使用权出让收入安排的支出（项）。年初预算为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9922.73</w:t>
      </w:r>
      <w:r>
        <w:rPr>
          <w:rFonts w:hint="eastAsia" w:ascii="仿宋" w:hAnsi="仿宋" w:eastAsia="仿宋" w:cs="仿宋"/>
          <w:kern w:val="0"/>
          <w:sz w:val="32"/>
          <w:szCs w:val="32"/>
        </w:rPr>
        <w:t>万元，决算数大于预算数的主要原因在于年度追加文明城市创建专项经费、老旧小区消防改造工程、镇街道三改一拆补助等。</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城乡社区支出（类）城市基础设施配套费及对应专项债务收入安排的支出（款）其他城市基础设施配套费安排的支出（项）。年初预算为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102</w:t>
      </w:r>
      <w:r>
        <w:rPr>
          <w:rFonts w:hint="eastAsia" w:ascii="仿宋" w:hAnsi="仿宋" w:eastAsia="仿宋" w:cs="仿宋"/>
          <w:kern w:val="0"/>
          <w:sz w:val="32"/>
          <w:szCs w:val="32"/>
        </w:rPr>
        <w:t>万元，完成年初预算的</w:t>
      </w:r>
      <w:r>
        <w:rPr>
          <w:rFonts w:hint="eastAsia" w:ascii="仿宋" w:hAnsi="仿宋" w:eastAsia="仿宋" w:cs="Arial"/>
          <w:kern w:val="0"/>
          <w:sz w:val="32"/>
          <w:szCs w:val="32"/>
        </w:rPr>
        <w:t>100%，决算等于预算的主要原因是严格按照预算执行</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其他支出（类）其他政府性基金及对应专项债务收入安排的支出（款）其他政府性基金及对应专项债务收入安排的支出（项）。年初预算为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77.82</w:t>
      </w:r>
      <w:r>
        <w:rPr>
          <w:rFonts w:hint="eastAsia" w:ascii="仿宋" w:hAnsi="仿宋" w:eastAsia="仿宋" w:cs="仿宋"/>
          <w:kern w:val="0"/>
          <w:sz w:val="32"/>
          <w:szCs w:val="32"/>
        </w:rPr>
        <w:t>万元，决算数大于预算数的主要原因在于</w:t>
      </w:r>
      <w:r>
        <w:rPr>
          <w:rFonts w:hint="eastAsia" w:ascii="仿宋" w:hAnsi="仿宋" w:eastAsia="仿宋" w:cs="仿宋"/>
          <w:color w:val="000000"/>
          <w:kern w:val="0"/>
          <w:sz w:val="32"/>
          <w:szCs w:val="32"/>
        </w:rPr>
        <w:t>财政返还上年结余数</w:t>
      </w:r>
      <w:r>
        <w:rPr>
          <w:rFonts w:hint="eastAsia" w:ascii="仿宋" w:hAnsi="仿宋" w:eastAsia="仿宋" w:cs="仿宋"/>
          <w:kern w:val="0"/>
          <w:sz w:val="32"/>
          <w:szCs w:val="32"/>
        </w:rPr>
        <w:t>。</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其他支出（类）彩票公益金及对应专项债务收入安排的支出（款）用于社会福利的彩票公益金支出（项）。年初预算为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65.91</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其他支出（类）彩票公益金及对应专项债务收入安排的支出（款）用于残疾人事业的彩票公益金支出（项）。年初预算为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11.41</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其他支出（类）彩票公益金及对应专项债务收入安排的支出（款）用于其他社会公益事业的彩票公益金支出（项）。年初预算为</w:t>
      </w:r>
      <w:r>
        <w:rPr>
          <w:rFonts w:hint="eastAsia" w:ascii="仿宋" w:hAnsi="仿宋" w:eastAsia="仿宋" w:cs="Arial"/>
          <w:kern w:val="0"/>
          <w:sz w:val="32"/>
          <w:szCs w:val="32"/>
        </w:rPr>
        <w:t>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0.5</w:t>
      </w:r>
      <w:r>
        <w:rPr>
          <w:rFonts w:hint="eastAsia" w:ascii="仿宋" w:hAnsi="仿宋" w:eastAsia="仿宋" w:cs="仿宋"/>
          <w:kern w:val="0"/>
          <w:sz w:val="32"/>
          <w:szCs w:val="32"/>
        </w:rPr>
        <w:t>万元，决算数大于预算数的主要原因在于年度财政追加预算。</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（八）</w:t>
      </w:r>
      <w:r>
        <w:rPr>
          <w:rStyle w:val="9"/>
          <w:rFonts w:hint="eastAsia" w:ascii="楷体" w:hAnsi="楷体" w:eastAsia="楷体" w:cs="Arial"/>
          <w:kern w:val="0"/>
          <w:sz w:val="32"/>
          <w:szCs w:val="32"/>
        </w:rPr>
        <w:t>2019年度一般公共预算财政拨款“三公”经费支出决算情况说明</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 xml:space="preserve">1.“三公”经费一般公共预算财政拨款支出决算总体情况说明。 </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Arial"/>
          <w:kern w:val="0"/>
          <w:sz w:val="32"/>
          <w:szCs w:val="32"/>
        </w:rPr>
        <w:t>2019年度“三公”经费一般公共预算财政拨款支出预算为53.42</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62.70万元，完成预算的117.37%,2019年度“三公”经费支出决算数大于预算数的主要原因是</w:t>
      </w:r>
      <w:r>
        <w:rPr>
          <w:rFonts w:hint="eastAsia" w:ascii="仿宋" w:hAnsi="仿宋" w:eastAsia="仿宋" w:cs="仿宋"/>
          <w:kern w:val="0"/>
          <w:sz w:val="32"/>
          <w:szCs w:val="32"/>
        </w:rPr>
        <w:t>购置一辆新车。</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2.“三公”经费一般公共预算财政拨款支出决算具体情况说明。</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2019年度“三公”经费一般公共预算财政拨款支出决算中，因公出国（境）费用支出决算为0</w:t>
      </w:r>
      <w:r>
        <w:rPr>
          <w:rFonts w:hint="eastAsia" w:ascii="仿宋" w:hAnsi="仿宋" w:eastAsia="仿宋" w:cs="仿宋"/>
          <w:kern w:val="0"/>
          <w:sz w:val="32"/>
          <w:szCs w:val="32"/>
        </w:rPr>
        <w:t>万元，占</w:t>
      </w:r>
      <w:r>
        <w:rPr>
          <w:rFonts w:hint="eastAsia" w:ascii="仿宋" w:hAnsi="仿宋" w:eastAsia="仿宋" w:cs="Arial"/>
          <w:kern w:val="0"/>
          <w:sz w:val="32"/>
          <w:szCs w:val="32"/>
        </w:rPr>
        <w:t>0%，与2018年度相比，增加36.5</w:t>
      </w:r>
      <w:r>
        <w:rPr>
          <w:rFonts w:hint="eastAsia" w:ascii="仿宋" w:hAnsi="仿宋" w:eastAsia="仿宋" w:cs="仿宋"/>
          <w:kern w:val="0"/>
          <w:sz w:val="32"/>
          <w:szCs w:val="32"/>
        </w:rPr>
        <w:t>万元，增长</w:t>
      </w:r>
      <w:r>
        <w:rPr>
          <w:rFonts w:hint="eastAsia" w:ascii="仿宋" w:hAnsi="仿宋" w:eastAsia="仿宋" w:cs="Arial"/>
          <w:kern w:val="0"/>
          <w:sz w:val="32"/>
          <w:szCs w:val="32"/>
        </w:rPr>
        <w:t>100%，主要原因是</w:t>
      </w:r>
      <w:r>
        <w:rPr>
          <w:rFonts w:hint="eastAsia" w:ascii="仿宋" w:hAnsi="仿宋" w:eastAsia="仿宋" w:cs="仿宋"/>
          <w:kern w:val="0"/>
          <w:sz w:val="32"/>
          <w:szCs w:val="32"/>
        </w:rPr>
        <w:t>郑亮赴德经费；公务用车购置及运行维护费支出决算为</w:t>
      </w:r>
      <w:r>
        <w:rPr>
          <w:rFonts w:hint="eastAsia" w:ascii="仿宋" w:hAnsi="仿宋" w:eastAsia="仿宋" w:cs="Arial"/>
          <w:kern w:val="0"/>
          <w:sz w:val="32"/>
          <w:szCs w:val="32"/>
        </w:rPr>
        <w:t>25.19万元，占40.18%，与2018年度相比，增加21.26</w:t>
      </w:r>
      <w:r>
        <w:rPr>
          <w:rFonts w:hint="eastAsia" w:ascii="仿宋" w:hAnsi="仿宋" w:eastAsia="仿宋" w:cs="仿宋"/>
          <w:kern w:val="0"/>
          <w:sz w:val="32"/>
          <w:szCs w:val="32"/>
        </w:rPr>
        <w:t>万元，增长</w:t>
      </w:r>
      <w:r>
        <w:rPr>
          <w:rFonts w:hint="eastAsia" w:ascii="仿宋" w:hAnsi="仿宋" w:eastAsia="仿宋" w:cs="Arial"/>
          <w:kern w:val="0"/>
          <w:sz w:val="32"/>
          <w:szCs w:val="32"/>
        </w:rPr>
        <w:t>541.27%，主要原因是</w:t>
      </w:r>
      <w:r>
        <w:rPr>
          <w:rFonts w:hint="eastAsia" w:ascii="仿宋" w:hAnsi="仿宋" w:eastAsia="仿宋" w:cs="仿宋"/>
          <w:kern w:val="0"/>
          <w:sz w:val="32"/>
          <w:szCs w:val="32"/>
        </w:rPr>
        <w:t>购置一辆新车；公务接待费支出决算为</w:t>
      </w:r>
      <w:r>
        <w:rPr>
          <w:rFonts w:hint="eastAsia" w:ascii="仿宋" w:hAnsi="仿宋" w:eastAsia="仿宋" w:cs="Arial"/>
          <w:kern w:val="0"/>
          <w:sz w:val="32"/>
          <w:szCs w:val="32"/>
        </w:rPr>
        <w:t>1.01万元，占1.61%，与2018年度相比，增加0.16</w:t>
      </w:r>
      <w:r>
        <w:rPr>
          <w:rFonts w:hint="eastAsia" w:ascii="仿宋" w:hAnsi="仿宋" w:eastAsia="仿宋" w:cs="仿宋"/>
          <w:kern w:val="0"/>
          <w:sz w:val="32"/>
          <w:szCs w:val="32"/>
        </w:rPr>
        <w:t>万元，增长</w:t>
      </w:r>
      <w:r>
        <w:rPr>
          <w:rFonts w:hint="eastAsia" w:ascii="仿宋" w:hAnsi="仿宋" w:eastAsia="仿宋" w:cs="Arial"/>
          <w:kern w:val="0"/>
          <w:sz w:val="32"/>
          <w:szCs w:val="32"/>
        </w:rPr>
        <w:t>19.37%，主要原因</w:t>
      </w:r>
      <w:r>
        <w:rPr>
          <w:rFonts w:hint="eastAsia" w:ascii="仿宋" w:hAnsi="仿宋" w:eastAsia="仿宋" w:cs="仿宋"/>
          <w:kern w:val="0"/>
          <w:sz w:val="32"/>
          <w:szCs w:val="32"/>
        </w:rPr>
        <w:t>接待费用增加。具体情况如下：</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仿宋"/>
          <w:kern w:val="0"/>
          <w:sz w:val="32"/>
          <w:szCs w:val="32"/>
        </w:rPr>
        <w:t>（</w:t>
      </w:r>
      <w:r>
        <w:rPr>
          <w:rStyle w:val="9"/>
          <w:rFonts w:hint="eastAsia" w:ascii="仿宋" w:hAnsi="仿宋" w:eastAsia="仿宋" w:cs="Arial"/>
          <w:kern w:val="0"/>
          <w:sz w:val="32"/>
          <w:szCs w:val="32"/>
        </w:rPr>
        <w:t>1）因公出国（境）费</w:t>
      </w:r>
      <w:r>
        <w:rPr>
          <w:rFonts w:hint="eastAsia" w:ascii="仿宋" w:hAnsi="仿宋" w:eastAsia="仿宋" w:cs="仿宋"/>
          <w:kern w:val="0"/>
          <w:sz w:val="32"/>
          <w:szCs w:val="32"/>
        </w:rPr>
        <w:t>预算数为</w:t>
      </w:r>
      <w:r>
        <w:rPr>
          <w:rFonts w:hint="eastAsia" w:ascii="仿宋" w:hAnsi="仿宋" w:eastAsia="仿宋" w:cs="Arial"/>
          <w:kern w:val="0"/>
          <w:sz w:val="32"/>
          <w:szCs w:val="32"/>
        </w:rPr>
        <w:t>36.50</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36.50万元。完成预算的100%。主要用于机关及下属预算单位人员的公务出国（境）的住宿费、国际旅费、培训费、公杂费等支出。决算数等于预算数的主要原因是</w:t>
      </w:r>
      <w:r>
        <w:rPr>
          <w:rFonts w:hint="eastAsia" w:ascii="仿宋" w:hAnsi="仿宋" w:eastAsia="仿宋" w:cs="仿宋"/>
          <w:kern w:val="0"/>
          <w:sz w:val="32"/>
          <w:szCs w:val="32"/>
        </w:rPr>
        <w:t>郑亮赴德经费严格按照预算执行。</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其中，全年使用一般公共预算财政拨款本单位组织因公出国</w:t>
      </w:r>
      <w:r>
        <w:rPr>
          <w:rFonts w:hint="eastAsia" w:ascii="仿宋" w:hAnsi="仿宋" w:eastAsia="仿宋" w:cs="Arial"/>
          <w:kern w:val="0"/>
          <w:sz w:val="32"/>
          <w:szCs w:val="32"/>
        </w:rPr>
        <w:t>(境)团组0个；本单位全年因公出国(境)累计1人次。</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仿宋"/>
          <w:kern w:val="0"/>
          <w:sz w:val="32"/>
          <w:szCs w:val="32"/>
        </w:rPr>
        <w:t>（</w:t>
      </w:r>
      <w:r>
        <w:rPr>
          <w:rStyle w:val="9"/>
          <w:rFonts w:hint="eastAsia" w:ascii="仿宋" w:hAnsi="仿宋" w:eastAsia="仿宋" w:cs="Arial"/>
          <w:kern w:val="0"/>
          <w:sz w:val="32"/>
          <w:szCs w:val="32"/>
        </w:rPr>
        <w:t>2）公务用车购置及运行维护费</w:t>
      </w:r>
      <w:r>
        <w:rPr>
          <w:rFonts w:hint="eastAsia" w:ascii="仿宋" w:hAnsi="仿宋" w:eastAsia="仿宋" w:cs="仿宋"/>
          <w:kern w:val="0"/>
          <w:sz w:val="32"/>
          <w:szCs w:val="32"/>
        </w:rPr>
        <w:t>预算数为</w:t>
      </w:r>
      <w:r>
        <w:rPr>
          <w:rFonts w:hint="eastAsia" w:ascii="仿宋" w:hAnsi="仿宋" w:eastAsia="仿宋" w:cs="Arial"/>
          <w:kern w:val="0"/>
          <w:sz w:val="32"/>
          <w:szCs w:val="32"/>
        </w:rPr>
        <w:t>23.33</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25.19万元，完成预算的107.97%。决算数大于预算数的主要原因是</w:t>
      </w:r>
      <w:r>
        <w:rPr>
          <w:rFonts w:hint="eastAsia" w:ascii="仿宋" w:hAnsi="仿宋" w:eastAsia="仿宋" w:cs="仿宋"/>
          <w:kern w:val="0"/>
          <w:sz w:val="32"/>
          <w:szCs w:val="32"/>
        </w:rPr>
        <w:t>购置一辆新车。</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仿宋"/>
          <w:kern w:val="0"/>
          <w:sz w:val="32"/>
          <w:szCs w:val="32"/>
        </w:rPr>
        <w:t>公务用车运行维护费</w:t>
      </w:r>
      <w:r>
        <w:rPr>
          <w:rFonts w:hint="eastAsia" w:ascii="仿宋" w:hAnsi="仿宋" w:eastAsia="仿宋" w:cs="仿宋"/>
          <w:kern w:val="0"/>
          <w:sz w:val="32"/>
          <w:szCs w:val="32"/>
        </w:rPr>
        <w:t>支出</w:t>
      </w:r>
      <w:r>
        <w:rPr>
          <w:rFonts w:hint="eastAsia" w:ascii="仿宋" w:hAnsi="仿宋" w:eastAsia="仿宋" w:cs="Arial"/>
          <w:kern w:val="0"/>
          <w:sz w:val="32"/>
          <w:szCs w:val="32"/>
        </w:rPr>
        <w:t>25.19万元，主要用于所需的公务用车燃料费、维修费、过路过桥费、保险费、安全奖励费用等支出；2019年度，本级及所属单位开支一般公共预算财政拨款的公务用车保有量为5辆。</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仿宋"/>
          <w:kern w:val="0"/>
          <w:sz w:val="32"/>
          <w:szCs w:val="32"/>
        </w:rPr>
        <w:t>（</w:t>
      </w:r>
      <w:r>
        <w:rPr>
          <w:rStyle w:val="9"/>
          <w:rFonts w:hint="eastAsia" w:ascii="仿宋" w:hAnsi="仿宋" w:eastAsia="仿宋" w:cs="Arial"/>
          <w:kern w:val="0"/>
          <w:sz w:val="32"/>
          <w:szCs w:val="32"/>
        </w:rPr>
        <w:t>3）公务接待费</w:t>
      </w:r>
      <w:r>
        <w:rPr>
          <w:rFonts w:hint="eastAsia" w:ascii="仿宋" w:hAnsi="仿宋" w:eastAsia="仿宋" w:cs="仿宋"/>
          <w:kern w:val="0"/>
          <w:sz w:val="32"/>
          <w:szCs w:val="32"/>
        </w:rPr>
        <w:t>预算数为</w:t>
      </w:r>
      <w:r>
        <w:rPr>
          <w:rFonts w:hint="eastAsia" w:ascii="仿宋" w:hAnsi="仿宋" w:eastAsia="仿宋" w:cs="Arial"/>
          <w:kern w:val="0"/>
          <w:sz w:val="32"/>
          <w:szCs w:val="32"/>
        </w:rPr>
        <w:t>9.12</w:t>
      </w:r>
      <w:r>
        <w:rPr>
          <w:rFonts w:hint="eastAsia" w:ascii="仿宋" w:hAnsi="仿宋" w:eastAsia="仿宋" w:cs="仿宋"/>
          <w:kern w:val="0"/>
          <w:sz w:val="32"/>
          <w:szCs w:val="32"/>
        </w:rPr>
        <w:t>万元，支出决算为</w:t>
      </w:r>
      <w:r>
        <w:rPr>
          <w:rFonts w:hint="eastAsia" w:ascii="仿宋" w:hAnsi="仿宋" w:eastAsia="仿宋" w:cs="Arial"/>
          <w:kern w:val="0"/>
          <w:sz w:val="32"/>
          <w:szCs w:val="32"/>
        </w:rPr>
        <w:t>1.01万元，完成预算的11.07%。主要用于接待等支出。决算数小于预算数的主要原因是</w:t>
      </w:r>
      <w:r>
        <w:rPr>
          <w:rFonts w:hint="eastAsia" w:ascii="仿宋" w:hAnsi="仿宋" w:eastAsia="仿宋" w:cs="仿宋"/>
          <w:kern w:val="0"/>
          <w:sz w:val="32"/>
          <w:szCs w:val="32"/>
        </w:rPr>
        <w:t>公务接待费用大大减少。全年使用一般公共预算财政拨款国内公务接待</w:t>
      </w:r>
      <w:r>
        <w:rPr>
          <w:rFonts w:hint="eastAsia" w:ascii="仿宋" w:hAnsi="仿宋" w:eastAsia="仿宋" w:cs="Arial"/>
          <w:kern w:val="0"/>
          <w:sz w:val="32"/>
          <w:szCs w:val="32"/>
        </w:rPr>
        <w:t>3批次，累计200人次。</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仿宋"/>
          <w:kern w:val="0"/>
          <w:sz w:val="32"/>
          <w:szCs w:val="32"/>
        </w:rPr>
        <w:t>其他国内公务接待</w:t>
      </w:r>
      <w:r>
        <w:rPr>
          <w:rFonts w:hint="eastAsia" w:ascii="仿宋" w:hAnsi="仿宋" w:eastAsia="仿宋" w:cs="仿宋"/>
          <w:kern w:val="0"/>
          <w:sz w:val="32"/>
          <w:szCs w:val="32"/>
        </w:rPr>
        <w:t>支出</w:t>
      </w:r>
      <w:r>
        <w:rPr>
          <w:rFonts w:hint="eastAsia" w:ascii="仿宋" w:hAnsi="仿宋" w:eastAsia="仿宋" w:cs="Arial"/>
          <w:kern w:val="0"/>
          <w:sz w:val="32"/>
          <w:szCs w:val="32"/>
        </w:rPr>
        <w:t>1.01万元，主要用于</w:t>
      </w:r>
      <w:r>
        <w:rPr>
          <w:rFonts w:hint="eastAsia" w:ascii="仿宋" w:hAnsi="仿宋" w:eastAsia="仿宋" w:cs="仿宋"/>
          <w:kern w:val="0"/>
          <w:sz w:val="32"/>
          <w:szCs w:val="32"/>
        </w:rPr>
        <w:t>接待上级验收、交叉检查等支出。接待</w:t>
      </w:r>
      <w:r>
        <w:rPr>
          <w:rFonts w:hint="eastAsia" w:ascii="仿宋" w:hAnsi="仿宋" w:eastAsia="仿宋" w:cs="Arial"/>
          <w:kern w:val="0"/>
          <w:sz w:val="32"/>
          <w:szCs w:val="32"/>
        </w:rPr>
        <w:t>200人次，3批次。</w:t>
      </w: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（九）部门预算绩效情况说明</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1.预算绩效管理工作开展情况。</w:t>
      </w:r>
    </w:p>
    <w:p>
      <w:pPr>
        <w:widowControl/>
        <w:snapToGrid w:val="0"/>
        <w:spacing w:line="600" w:lineRule="atLeast"/>
        <w:ind w:firstLine="640"/>
        <w:rPr>
          <w:rFonts w:ascii="仿宋" w:hAnsi="仿宋" w:eastAsia="仿宋" w:cs="仿宋"/>
          <w:kern w:val="0"/>
          <w:sz w:val="32"/>
          <w:szCs w:val="32"/>
        </w:rPr>
      </w:pPr>
      <w:r>
        <w:rPr>
          <w:rFonts w:hint="eastAsia" w:ascii="仿宋" w:hAnsi="仿宋" w:eastAsia="仿宋" w:cs="仿宋"/>
          <w:kern w:val="0"/>
          <w:sz w:val="32"/>
          <w:szCs w:val="32"/>
        </w:rPr>
        <w:t>根据预算绩效管理要求，城北街道办事处组织对</w:t>
      </w:r>
      <w:r>
        <w:rPr>
          <w:rFonts w:hint="eastAsia" w:ascii="仿宋" w:hAnsi="仿宋" w:eastAsia="仿宋" w:cs="Arial"/>
          <w:kern w:val="0"/>
          <w:sz w:val="32"/>
          <w:szCs w:val="32"/>
        </w:rPr>
        <w:t>2019</w:t>
      </w:r>
      <w:r>
        <w:rPr>
          <w:rFonts w:hint="eastAsia" w:ascii="仿宋" w:hAnsi="仿宋" w:eastAsia="仿宋" w:cs="仿宋"/>
          <w:kern w:val="0"/>
          <w:sz w:val="32"/>
          <w:szCs w:val="32"/>
        </w:rPr>
        <w:t>年度一般公共预算项目支出全面开展绩效自评，其中，涉及项目</w:t>
      </w:r>
      <w:r>
        <w:rPr>
          <w:rFonts w:hint="eastAsia" w:ascii="仿宋" w:hAnsi="仿宋" w:eastAsia="仿宋" w:cs="Arial"/>
          <w:kern w:val="0"/>
          <w:sz w:val="32"/>
          <w:szCs w:val="32"/>
        </w:rPr>
        <w:t>59</w:t>
      </w:r>
      <w:r>
        <w:rPr>
          <w:rFonts w:hint="eastAsia" w:ascii="仿宋" w:hAnsi="仿宋" w:eastAsia="仿宋" w:cs="仿宋"/>
          <w:kern w:val="0"/>
          <w:sz w:val="32"/>
          <w:szCs w:val="32"/>
        </w:rPr>
        <w:t>个，共涉及资金</w:t>
      </w:r>
      <w:r>
        <w:rPr>
          <w:rFonts w:hint="eastAsia" w:ascii="宋体" w:hAnsi="宋体" w:eastAsia="宋体" w:cs="宋体"/>
          <w:spacing w:val="11"/>
          <w:kern w:val="0"/>
          <w:sz w:val="28"/>
          <w:szCs w:val="28"/>
        </w:rPr>
        <w:t>33383.25</w:t>
      </w:r>
      <w:r>
        <w:rPr>
          <w:rFonts w:hint="eastAsia" w:ascii="仿宋" w:hAnsi="仿宋" w:eastAsia="仿宋" w:cs="仿宋"/>
          <w:kern w:val="0"/>
          <w:sz w:val="32"/>
          <w:szCs w:val="32"/>
        </w:rPr>
        <w:t>万元，占一般公共预算项目支出总额的</w:t>
      </w:r>
      <w:r>
        <w:rPr>
          <w:rFonts w:hint="eastAsia" w:ascii="仿宋" w:hAnsi="仿宋" w:eastAsia="仿宋" w:cs="Arial"/>
          <w:kern w:val="0"/>
          <w:sz w:val="32"/>
          <w:szCs w:val="32"/>
        </w:rPr>
        <w:t>119.1%</w:t>
      </w:r>
      <w:r>
        <w:rPr>
          <w:rFonts w:hint="eastAsia" w:ascii="仿宋" w:hAnsi="仿宋" w:eastAsia="仿宋" w:cs="仿宋"/>
          <w:kern w:val="0"/>
          <w:sz w:val="32"/>
          <w:szCs w:val="32"/>
        </w:rPr>
        <w:t>。无政府性基金项目开展绩效自评。</w:t>
      </w:r>
    </w:p>
    <w:p>
      <w:pPr>
        <w:widowControl/>
        <w:snapToGrid w:val="0"/>
        <w:spacing w:line="600" w:lineRule="atLeast"/>
        <w:ind w:firstLine="640"/>
        <w:rPr>
          <w:rFonts w:ascii="仿宋" w:hAnsi="仿宋" w:eastAsia="仿宋" w:cs="Arial"/>
          <w:sz w:val="32"/>
          <w:szCs w:val="32"/>
        </w:rPr>
      </w:pPr>
      <w:r>
        <w:rPr>
          <w:rFonts w:hint="eastAsia" w:ascii="仿宋" w:hAnsi="仿宋" w:eastAsia="仿宋" w:cs="Arial"/>
          <w:sz w:val="32"/>
          <w:szCs w:val="32"/>
        </w:rPr>
        <w:t>没有开展了部门评价</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sz w:val="32"/>
          <w:szCs w:val="32"/>
        </w:rPr>
        <w:t>没有开展整体支出绩效评价试点</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2.部门决算中项目绩效自评结果</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城北街道办事处在</w:t>
      </w:r>
      <w:r>
        <w:rPr>
          <w:rFonts w:hint="eastAsia" w:ascii="仿宋" w:hAnsi="仿宋" w:eastAsia="仿宋" w:cs="Arial"/>
          <w:kern w:val="0"/>
          <w:sz w:val="32"/>
          <w:szCs w:val="32"/>
        </w:rPr>
        <w:t>2019</w:t>
      </w:r>
      <w:r>
        <w:rPr>
          <w:rFonts w:hint="eastAsia" w:ascii="仿宋" w:hAnsi="仿宋" w:eastAsia="仿宋" w:cs="仿宋"/>
          <w:kern w:val="0"/>
          <w:sz w:val="32"/>
          <w:szCs w:val="32"/>
        </w:rPr>
        <w:t>年度部门决算中反映消防工作经费及文明城市创建专项经费的项目绩效自评结果。</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消防工作经费项目绩效自评综述：根据年初设定的绩效目标，项目自评得分</w:t>
      </w:r>
      <w:r>
        <w:rPr>
          <w:rFonts w:hint="eastAsia" w:ascii="仿宋" w:hAnsi="仿宋" w:eastAsia="仿宋" w:cs="Arial"/>
          <w:kern w:val="0"/>
          <w:sz w:val="32"/>
          <w:szCs w:val="32"/>
        </w:rPr>
        <w:t>88.72</w:t>
      </w:r>
      <w:r>
        <w:rPr>
          <w:rFonts w:hint="eastAsia" w:ascii="仿宋" w:hAnsi="仿宋" w:eastAsia="仿宋" w:cs="仿宋"/>
          <w:kern w:val="0"/>
          <w:sz w:val="32"/>
          <w:szCs w:val="32"/>
        </w:rPr>
        <w:t>分，自评结论为</w:t>
      </w:r>
      <w:r>
        <w:rPr>
          <w:rFonts w:hint="eastAsia" w:ascii="仿宋" w:hAnsi="仿宋" w:eastAsia="仿宋" w:cs="Arial"/>
          <w:kern w:val="0"/>
          <w:sz w:val="32"/>
          <w:szCs w:val="32"/>
        </w:rPr>
        <w:t>“达标”。项目全年预算数为</w:t>
      </w:r>
      <w:r>
        <w:rPr>
          <w:rFonts w:hint="eastAsia" w:ascii="宋体" w:hAnsi="宋体" w:eastAsia="宋体" w:cs="宋体"/>
          <w:spacing w:val="11"/>
          <w:kern w:val="0"/>
          <w:sz w:val="28"/>
          <w:szCs w:val="28"/>
        </w:rPr>
        <w:t>33383.25</w:t>
      </w:r>
      <w:r>
        <w:rPr>
          <w:rFonts w:hint="eastAsia" w:ascii="仿宋" w:hAnsi="仿宋" w:eastAsia="仿宋" w:cs="仿宋"/>
          <w:kern w:val="0"/>
          <w:sz w:val="32"/>
          <w:szCs w:val="32"/>
        </w:rPr>
        <w:t>万元，执行数为</w:t>
      </w:r>
      <w:r>
        <w:rPr>
          <w:rFonts w:hint="eastAsia" w:ascii="宋体" w:hAnsi="宋体" w:eastAsia="宋体" w:cs="宋体"/>
          <w:spacing w:val="11"/>
          <w:kern w:val="0"/>
          <w:sz w:val="28"/>
          <w:szCs w:val="28"/>
        </w:rPr>
        <w:t>39745.22</w:t>
      </w:r>
      <w:r>
        <w:rPr>
          <w:rFonts w:hint="eastAsia" w:ascii="仿宋" w:hAnsi="仿宋" w:eastAsia="仿宋" w:cs="仿宋"/>
          <w:kern w:val="0"/>
          <w:sz w:val="32"/>
          <w:szCs w:val="32"/>
        </w:rPr>
        <w:t>万元，完成预算的</w:t>
      </w:r>
      <w:r>
        <w:rPr>
          <w:rFonts w:hint="eastAsia" w:ascii="宋体" w:hAnsi="宋体" w:eastAsia="宋体" w:cs="宋体"/>
          <w:spacing w:val="11"/>
          <w:kern w:val="0"/>
          <w:sz w:val="28"/>
          <w:szCs w:val="28"/>
        </w:rPr>
        <w:t>119.10</w:t>
      </w:r>
      <w:r>
        <w:rPr>
          <w:rFonts w:hint="eastAsia" w:ascii="仿宋" w:hAnsi="仿宋" w:eastAsia="仿宋" w:cs="Arial"/>
          <w:kern w:val="0"/>
          <w:sz w:val="32"/>
          <w:szCs w:val="32"/>
        </w:rPr>
        <w:t>%</w:t>
      </w:r>
      <w:r>
        <w:rPr>
          <w:rFonts w:hint="eastAsia" w:ascii="仿宋" w:hAnsi="仿宋" w:eastAsia="仿宋" w:cs="仿宋"/>
          <w:kern w:val="0"/>
          <w:sz w:val="32"/>
          <w:szCs w:val="32"/>
        </w:rPr>
        <w:t>。项目绩效目标完成情况：对本区域范围内的各类单位、开展消防安全宣传、教育、检查整治，有效防止和减少各类安全事故的发生，确保太平消防安全形势持续稳定好转，形成良好的消防安全环境。</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文明城市创建专项经费项目绩效自评综述：根据年初设定的绩效目标，项目自评得分</w:t>
      </w:r>
      <w:r>
        <w:rPr>
          <w:rFonts w:hint="eastAsia" w:ascii="仿宋" w:hAnsi="仿宋" w:eastAsia="仿宋" w:cs="Arial"/>
          <w:kern w:val="0"/>
          <w:sz w:val="32"/>
          <w:szCs w:val="32"/>
        </w:rPr>
        <w:t>88.72</w:t>
      </w:r>
      <w:r>
        <w:rPr>
          <w:rFonts w:hint="eastAsia" w:ascii="仿宋" w:hAnsi="仿宋" w:eastAsia="仿宋" w:cs="仿宋"/>
          <w:kern w:val="0"/>
          <w:sz w:val="32"/>
          <w:szCs w:val="32"/>
        </w:rPr>
        <w:t>分，自评结论为</w:t>
      </w:r>
      <w:r>
        <w:rPr>
          <w:rFonts w:hint="eastAsia" w:ascii="仿宋" w:hAnsi="仿宋" w:eastAsia="仿宋" w:cs="Arial"/>
          <w:kern w:val="0"/>
          <w:sz w:val="32"/>
          <w:szCs w:val="32"/>
        </w:rPr>
        <w:t>“达标”。项目全年预算数为500</w:t>
      </w:r>
      <w:r>
        <w:rPr>
          <w:rFonts w:hint="eastAsia" w:ascii="仿宋" w:hAnsi="仿宋" w:eastAsia="仿宋" w:cs="仿宋"/>
          <w:kern w:val="0"/>
          <w:sz w:val="32"/>
          <w:szCs w:val="32"/>
        </w:rPr>
        <w:t>万元，执行数为</w:t>
      </w:r>
      <w:r>
        <w:rPr>
          <w:rFonts w:hint="eastAsia" w:ascii="仿宋" w:hAnsi="仿宋" w:eastAsia="仿宋" w:cs="Arial"/>
          <w:kern w:val="0"/>
          <w:sz w:val="32"/>
          <w:szCs w:val="32"/>
        </w:rPr>
        <w:t>500</w:t>
      </w:r>
      <w:r>
        <w:rPr>
          <w:rFonts w:hint="eastAsia" w:ascii="仿宋" w:hAnsi="仿宋" w:eastAsia="仿宋" w:cs="仿宋"/>
          <w:kern w:val="0"/>
          <w:sz w:val="32"/>
          <w:szCs w:val="32"/>
        </w:rPr>
        <w:t>万元，完成预算的</w:t>
      </w:r>
      <w:r>
        <w:rPr>
          <w:rFonts w:hint="eastAsia" w:ascii="仿宋" w:hAnsi="仿宋" w:eastAsia="仿宋" w:cs="Arial"/>
          <w:kern w:val="0"/>
          <w:sz w:val="32"/>
          <w:szCs w:val="32"/>
        </w:rPr>
        <w:t>100%</w:t>
      </w:r>
      <w:r>
        <w:rPr>
          <w:rFonts w:hint="eastAsia" w:ascii="仿宋" w:hAnsi="仿宋" w:eastAsia="仿宋" w:cs="仿宋"/>
          <w:kern w:val="0"/>
          <w:sz w:val="32"/>
          <w:szCs w:val="32"/>
        </w:rPr>
        <w:t>。项目绩效目标完成情况：通过国家卫生城市巩固省级回访；消除各类环境隐患；全面整治</w:t>
      </w:r>
      <w:r>
        <w:rPr>
          <w:rFonts w:hint="eastAsia" w:ascii="仿宋" w:hAnsi="仿宋" w:eastAsia="仿宋" w:cs="Arial"/>
          <w:kern w:val="0"/>
          <w:sz w:val="32"/>
          <w:szCs w:val="32"/>
        </w:rPr>
        <w:t>“两路两侧”、“四边区域”影响环境的“脏乱差”现象。</w:t>
      </w:r>
    </w:p>
    <w:p>
      <w:pPr>
        <w:widowControl/>
        <w:snapToGrid w:val="0"/>
        <w:spacing w:line="600" w:lineRule="atLeast"/>
        <w:ind w:firstLine="640"/>
        <w:rPr>
          <w:rFonts w:ascii="仿宋" w:hAnsi="仿宋" w:eastAsia="仿宋" w:cs="Arial"/>
          <w:kern w:val="0"/>
          <w:sz w:val="32"/>
          <w:szCs w:val="32"/>
        </w:rPr>
      </w:pPr>
      <w:r>
        <w:rPr>
          <w:rFonts w:hint="eastAsia" w:ascii="仿宋" w:hAnsi="仿宋" w:eastAsia="仿宋" w:cs="仿宋"/>
          <w:kern w:val="0"/>
          <w:sz w:val="32"/>
          <w:szCs w:val="32"/>
        </w:rPr>
        <w:t>无绩效自评表。</w:t>
      </w:r>
    </w:p>
    <w:p>
      <w:pPr>
        <w:widowControl/>
        <w:numPr>
          <w:ilvl w:val="0"/>
          <w:numId w:val="1"/>
        </w:numPr>
        <w:snapToGrid w:val="0"/>
        <w:spacing w:line="600" w:lineRule="atLeast"/>
        <w:ind w:firstLine="640"/>
        <w:rPr>
          <w:rFonts w:ascii="仿宋" w:hAnsi="仿宋" w:eastAsia="仿宋" w:cs="Arial"/>
          <w:kern w:val="0"/>
          <w:sz w:val="32"/>
          <w:szCs w:val="32"/>
        </w:rPr>
      </w:pPr>
      <w:r>
        <w:rPr>
          <w:rStyle w:val="9"/>
          <w:rFonts w:hint="eastAsia" w:ascii="仿宋" w:hAnsi="仿宋" w:eastAsia="仿宋" w:cs="仿宋"/>
          <w:kern w:val="0"/>
          <w:sz w:val="32"/>
          <w:szCs w:val="32"/>
        </w:rPr>
        <w:t>财政评价项目绩效评价结果。</w:t>
      </w:r>
      <w:r>
        <w:rPr>
          <w:rFonts w:hint="eastAsia" w:ascii="仿宋" w:hAnsi="仿宋" w:eastAsia="仿宋" w:cs="仿宋"/>
          <w:kern w:val="0"/>
          <w:sz w:val="32"/>
          <w:szCs w:val="32"/>
        </w:rPr>
        <w:t>无</w:t>
      </w:r>
    </w:p>
    <w:p>
      <w:pPr>
        <w:widowControl/>
        <w:numPr>
          <w:ilvl w:val="0"/>
          <w:numId w:val="1"/>
        </w:numPr>
        <w:snapToGrid w:val="0"/>
        <w:spacing w:line="600" w:lineRule="atLeast"/>
        <w:ind w:firstLine="640"/>
        <w:rPr>
          <w:rFonts w:ascii="仿宋" w:hAnsi="仿宋" w:eastAsia="仿宋" w:cs="Arial"/>
          <w:b/>
          <w:kern w:val="0"/>
          <w:sz w:val="32"/>
          <w:szCs w:val="32"/>
        </w:rPr>
      </w:pPr>
      <w:r>
        <w:rPr>
          <w:rStyle w:val="9"/>
          <w:rFonts w:hint="eastAsia" w:ascii="仿宋" w:hAnsi="仿宋" w:eastAsia="仿宋" w:cs="仿宋"/>
          <w:kern w:val="0"/>
          <w:sz w:val="32"/>
          <w:szCs w:val="32"/>
        </w:rPr>
        <w:t>部门评价项目绩效评价结果。</w:t>
      </w:r>
    </w:p>
    <w:p>
      <w:pPr>
        <w:widowControl/>
        <w:numPr>
          <w:ilvl w:val="0"/>
          <w:numId w:val="2"/>
        </w:numPr>
        <w:autoSpaceDE w:val="0"/>
        <w:snapToGrid w:val="0"/>
        <w:spacing w:line="540" w:lineRule="exact"/>
        <w:ind w:firstLine="640" w:firstLineChars="200"/>
        <w:jc w:val="left"/>
        <w:rPr>
          <w:rFonts w:ascii="宋体" w:hAnsi="宋体" w:eastAsia="宋体" w:cs="宋体"/>
          <w:b/>
          <w:spacing w:val="11"/>
          <w:kern w:val="0"/>
          <w:sz w:val="28"/>
          <w:szCs w:val="28"/>
        </w:rPr>
      </w:pPr>
      <w:r>
        <w:rPr>
          <w:rFonts w:hint="eastAsia" w:ascii="仿宋" w:hAnsi="仿宋" w:eastAsia="仿宋" w:cs="仿宋"/>
          <w:kern w:val="0"/>
          <w:sz w:val="32"/>
          <w:szCs w:val="32"/>
        </w:rPr>
        <w:t>为进一步规范和加强财政项目资金管理，提高财政资金的使用效率，根据温财监督【</w:t>
      </w:r>
      <w:r>
        <w:rPr>
          <w:rFonts w:hint="eastAsia" w:ascii="仿宋" w:hAnsi="仿宋" w:eastAsia="仿宋" w:cs="Arial"/>
          <w:kern w:val="0"/>
          <w:sz w:val="32"/>
          <w:szCs w:val="32"/>
        </w:rPr>
        <w:t>2020</w:t>
      </w:r>
      <w:r>
        <w:rPr>
          <w:rFonts w:hint="eastAsia" w:ascii="仿宋" w:hAnsi="仿宋" w:eastAsia="仿宋" w:cs="仿宋"/>
          <w:kern w:val="0"/>
          <w:sz w:val="32"/>
          <w:szCs w:val="32"/>
        </w:rPr>
        <w:t>】</w:t>
      </w:r>
      <w:r>
        <w:rPr>
          <w:rFonts w:hint="eastAsia" w:ascii="仿宋" w:hAnsi="仿宋" w:eastAsia="仿宋" w:cs="Arial"/>
          <w:kern w:val="0"/>
          <w:sz w:val="32"/>
          <w:szCs w:val="32"/>
        </w:rPr>
        <w:t>6</w:t>
      </w:r>
      <w:r>
        <w:rPr>
          <w:rFonts w:hint="eastAsia" w:ascii="仿宋" w:hAnsi="仿宋" w:eastAsia="仿宋" w:cs="仿宋"/>
          <w:kern w:val="0"/>
          <w:sz w:val="32"/>
          <w:szCs w:val="32"/>
        </w:rPr>
        <w:t>号《温岭市财政局关于开展</w:t>
      </w:r>
      <w:r>
        <w:rPr>
          <w:rFonts w:hint="eastAsia" w:ascii="仿宋" w:hAnsi="仿宋" w:eastAsia="仿宋" w:cs="Arial"/>
          <w:kern w:val="0"/>
          <w:sz w:val="32"/>
          <w:szCs w:val="32"/>
        </w:rPr>
        <w:t>2020</w:t>
      </w:r>
      <w:r>
        <w:rPr>
          <w:rFonts w:hint="eastAsia" w:ascii="仿宋" w:hAnsi="仿宋" w:eastAsia="仿宋" w:cs="仿宋"/>
          <w:kern w:val="0"/>
          <w:sz w:val="32"/>
          <w:szCs w:val="32"/>
        </w:rPr>
        <w:t>年度全市绩效自评工作的通知》精神，城北街道委托台州天一会计事务所对</w:t>
      </w:r>
      <w:r>
        <w:rPr>
          <w:rFonts w:hint="eastAsia" w:ascii="仿宋" w:hAnsi="仿宋" w:eastAsia="仿宋" w:cs="Arial"/>
          <w:kern w:val="0"/>
          <w:sz w:val="32"/>
          <w:szCs w:val="32"/>
        </w:rPr>
        <w:t>2019</w:t>
      </w:r>
      <w:r>
        <w:rPr>
          <w:rFonts w:hint="eastAsia" w:ascii="仿宋" w:hAnsi="仿宋" w:eastAsia="仿宋" w:cs="仿宋"/>
          <w:kern w:val="0"/>
          <w:sz w:val="32"/>
          <w:szCs w:val="32"/>
        </w:rPr>
        <w:t>年温岭市人民政府城北街道办事处的财政运行综合绩效进行绩效评价。评价组在全面了解项目有关情况的基础上，搜集相关资料，制定了绩效评价实施方案。在收集、汇总、整理、分析所取得的项目资料的基础上，评价组对照评价指标和标准进行评议与打分，形成绩效评价报告，现将绩效评价情况报告如下：</w:t>
      </w:r>
      <w:r>
        <w:rPr>
          <w:rFonts w:hint="eastAsia" w:ascii="宋体" w:hAnsi="宋体" w:eastAsia="宋体" w:cs="宋体"/>
          <w:b/>
          <w:spacing w:val="11"/>
          <w:kern w:val="0"/>
          <w:sz w:val="28"/>
          <w:szCs w:val="28"/>
        </w:rPr>
        <w:t>单位概况</w:t>
      </w:r>
    </w:p>
    <w:p>
      <w:pPr>
        <w:pStyle w:val="5"/>
        <w:widowControl/>
        <w:autoSpaceDE w:val="0"/>
        <w:snapToGrid w:val="0"/>
        <w:spacing w:before="93" w:beforeLines="30" w:beforeAutospacing="0" w:afterAutospacing="0" w:line="540" w:lineRule="exact"/>
        <w:ind w:firstLine="604" w:firstLineChars="200"/>
        <w:rPr>
          <w:rFonts w:cs="宋体"/>
          <w:spacing w:val="11"/>
          <w:sz w:val="28"/>
          <w:szCs w:val="28"/>
        </w:rPr>
      </w:pPr>
      <w:r>
        <w:rPr>
          <w:rFonts w:hint="eastAsia" w:cs="宋体"/>
          <w:spacing w:val="11"/>
          <w:sz w:val="28"/>
          <w:szCs w:val="28"/>
        </w:rPr>
        <w:t>温岭市城北街道办事处，地处温岭市城区的北大门，地域总面积12.2平方公里，下辖16个行政村，1个居委会，户籍人口2万多人，外来人口5万多人。城北街道南接温岭市区、北靠泽国、东接新河、西连横峰，区位优势明显，交通便捷，大石一级公路、泽太一级公路、省道泽坎线穿境而过；街道辖区民营经济较为发达，支柱产业为鞋业，有“中国童鞋之乡、中国鞋类出口基地、浙江省运动鞋品牌基地”等称号，是远近闻名的商贸之城、鞋业之都。</w:t>
      </w:r>
    </w:p>
    <w:p>
      <w:pPr>
        <w:pStyle w:val="5"/>
        <w:autoSpaceDE w:val="0"/>
        <w:snapToGrid w:val="0"/>
        <w:spacing w:before="93" w:beforeLines="30" w:beforeAutospacing="0" w:afterAutospacing="0" w:line="540" w:lineRule="exact"/>
        <w:ind w:firstLine="606" w:firstLineChars="200"/>
        <w:rPr>
          <w:rFonts w:cs="宋体"/>
          <w:b/>
          <w:spacing w:val="11"/>
          <w:kern w:val="2"/>
          <w:sz w:val="28"/>
          <w:szCs w:val="28"/>
        </w:rPr>
      </w:pPr>
      <w:r>
        <w:rPr>
          <w:rFonts w:hint="eastAsia" w:cs="宋体"/>
          <w:b/>
          <w:spacing w:val="11"/>
          <w:kern w:val="2"/>
          <w:sz w:val="28"/>
          <w:szCs w:val="28"/>
        </w:rPr>
        <w:t>二、机构职能及组成</w:t>
      </w:r>
    </w:p>
    <w:p>
      <w:pPr>
        <w:pStyle w:val="5"/>
        <w:autoSpaceDE w:val="0"/>
        <w:snapToGrid w:val="0"/>
        <w:spacing w:before="93" w:beforeLines="30" w:beforeAutospacing="0" w:afterAutospacing="0" w:line="540" w:lineRule="exact"/>
        <w:ind w:firstLine="606" w:firstLineChars="200"/>
        <w:rPr>
          <w:rFonts w:cs="宋体"/>
          <w:b/>
          <w:spacing w:val="11"/>
          <w:kern w:val="2"/>
          <w:sz w:val="28"/>
          <w:szCs w:val="28"/>
        </w:rPr>
      </w:pPr>
      <w:r>
        <w:rPr>
          <w:rFonts w:hint="eastAsia" w:cs="宋体"/>
          <w:b/>
          <w:spacing w:val="11"/>
          <w:kern w:val="2"/>
          <w:sz w:val="28"/>
          <w:szCs w:val="28"/>
        </w:rPr>
        <w:t>（一）机构职能</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根据《中共浙江省委办公厅浙江省人民政府办公厅关于推进（镇）机构改革工作的意见》（浙委办[2006]56号）、《中共温岭市委温岭市人民政府关于印发&lt;温岭市镇（街道）机构改革方案&gt;的通知》（温市委发[2019]42号）制定中共城北街道工作委员会、城北街道办事处的主要职责：</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1）加强党的建设。推进全面从严治党，落实基层党建工作责任制，严格抓好基层党组织建设各项制度，推进街道村（社区）党建与单位党建、行业党建、区域化党建互联互动，统筹抓好辖区内新领域新业态新群体党建工作。</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2）推进区域发展。统筹落实区域发展的重大决策和建设规划，参与辖区公共服务设施建设规划，配合做好城市有机更新，推动辖区健康有序可持续发展；服务“三农”发展，指导农村经济发展，推进农村经济结构调整，促进农民增收。</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3）组织公共服务。组织实施与村（居）民生活密切相关的各项公共服务，落实人力社保、医保、民政、教育、文化、体育、卫生健康等方面相关政策，均衡辖区内公共服务发展。推进“最多跑一次”改革，建立健全群众办事一次办结机制，优化便民服务质量。</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4）实施综合管理。落实辖区内城市管理、人口管理、社会管理、生态环境保护等工作，承担组织领导、推进实施、综合协调等职责；落实辖区内相关行政事务常态化管理；依托“基层治理四平台”，统筹协调区域内相关力量，协助做好监督检查等事中事后监管工作；组织开展群众监督和社会监督。</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（5）加强基层执法。整合基层一线执法力量，充分发挥属地管理优势，强化对辖区范围内执法力量的统一指挥和统筹协调。</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（6）维护安全稳定。承担辖区平安建设、社会治安综合治理、公共安全及安全生产监管等相关工作，处理群众来信来访，反映社情民意，化解矛盾纠纷；做好应急防灾等相关工作。</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（7）动员社会参与。动员辖区内各类单位、社会组织和社区居民等社会力量参与社会治理，引导辖区单位履行社会责任，整合区域内各种社会力量为街道经济社会发展服务。</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（二）内设机构</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根据上述主要职责，中共城北街道工作委员会、城北街道办事处设6个内设机构。</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（1）党政综合办公室（挂人大</w:t>
      </w:r>
      <w:r>
        <w:rPr>
          <w:rFonts w:hint="eastAsia" w:ascii="宋体" w:hAnsi="宋体" w:eastAsia="宋体" w:cs="宋体"/>
          <w:spacing w:val="11"/>
          <w:kern w:val="0"/>
          <w:sz w:val="28"/>
          <w:szCs w:val="28"/>
          <w:lang w:eastAsia="zh-CN"/>
        </w:rPr>
        <w:t>常委会</w:t>
      </w:r>
      <w:r>
        <w:rPr>
          <w:rFonts w:hint="eastAsia" w:ascii="宋体" w:hAnsi="宋体" w:eastAsia="宋体" w:cs="宋体"/>
          <w:spacing w:val="11"/>
          <w:kern w:val="0"/>
          <w:sz w:val="28"/>
          <w:szCs w:val="28"/>
        </w:rPr>
        <w:t>办公室、财政财务管理办公室牌子）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（2）党建工作办公室</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（3）社会事务服务管理办公室（挂行政审批办公室牌子）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（4）基层综合治理办公室(挂综合信息指挥室、应急管理办公室牌子)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（5）经济发展办公室</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（6）城市管理办公室（挂综合行政执法办公室、生态环境办公室牌子）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（三）事业机构设置</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（1）经济建设服务中心（挂企业服务站、劳动保障所、统计中心牌子）。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（2）农业综合服务中心。</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（3）社会事业服务中心（挂便民服务中心、退役军人服务站、民族宗教事物所、综合文化站、社会救助事务所牌子）。</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（四）人员结构</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核定城北街道机关行政编制25名，至2019年底城北街道机关行政编制实有人数23名。核定城北街道事业编制32名，至2019年底城北街道事业编制实有人数35名。</w:t>
      </w:r>
    </w:p>
    <w:p>
      <w:pPr>
        <w:widowControl/>
        <w:autoSpaceDE w:val="0"/>
        <w:snapToGrid w:val="0"/>
        <w:spacing w:line="54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三、本年收入完成情况</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2019年城北街道预算收入指标数33383.25万元，本年实际收入预算执行数39745.22万元，本年收入预算执行119.10%。（具体详见表1）</w:t>
      </w:r>
    </w:p>
    <w:p>
      <w:pPr>
        <w:autoSpaceDE w:val="0"/>
        <w:snapToGrid w:val="0"/>
        <w:spacing w:line="540" w:lineRule="exact"/>
        <w:ind w:firstLine="604" w:firstLineChars="200"/>
        <w:jc w:val="center"/>
        <w:rPr>
          <w:rFonts w:ascii="宋体" w:hAnsi="宋体" w:eastAsia="宋体" w:cs="宋体"/>
          <w:spacing w:val="11"/>
          <w:kern w:val="0"/>
          <w:sz w:val="28"/>
          <w:szCs w:val="28"/>
        </w:rPr>
      </w:pPr>
      <w:r>
        <w:rPr>
          <w:rFonts w:hint="eastAsia" w:ascii="宋体" w:hAnsi="宋体" w:eastAsia="宋体" w:cs="宋体"/>
          <w:spacing w:val="11"/>
          <w:kern w:val="0"/>
          <w:sz w:val="28"/>
          <w:szCs w:val="28"/>
        </w:rPr>
        <w:t>表1  2019年城北街道财政收入预算执行情况</w:t>
      </w:r>
    </w:p>
    <w:p>
      <w:pPr>
        <w:autoSpaceDE w:val="0"/>
        <w:snapToGrid w:val="0"/>
        <w:spacing w:line="520" w:lineRule="exact"/>
        <w:ind w:firstLine="7248" w:firstLineChars="24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单位：万元</w:t>
      </w:r>
    </w:p>
    <w:tbl>
      <w:tblPr>
        <w:tblStyle w:val="6"/>
        <w:tblW w:w="873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345"/>
        <w:gridCol w:w="1358"/>
        <w:gridCol w:w="1233"/>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序号</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预算科目</w:t>
            </w:r>
          </w:p>
        </w:tc>
        <w:tc>
          <w:tcPr>
            <w:tcW w:w="1358"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收入预算指标数</w:t>
            </w:r>
          </w:p>
        </w:tc>
        <w:tc>
          <w:tcPr>
            <w:tcW w:w="123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收入预算执行数</w:t>
            </w:r>
          </w:p>
        </w:tc>
        <w:tc>
          <w:tcPr>
            <w:tcW w:w="19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收入预算执行率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1</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一般公共预算拨款收入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3785.19</w:t>
            </w: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2944.39</w:t>
            </w: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77.80%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2</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省(财政)补助收入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3</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政府性基金拨款收入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21292.51</w:t>
            </w: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14102.58</w:t>
            </w: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66.20%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4</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专户收入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5</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主管部门和上级单位补助收入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cs="宋体"/>
                <w:sz w:val="24"/>
                <w:szCs w:val="24"/>
              </w:rPr>
            </w:pPr>
            <w:r>
              <w:rPr>
                <w:sz w:val="24"/>
                <w:szCs w:val="24"/>
              </w:rPr>
              <w:t>6</w:t>
            </w:r>
          </w:p>
        </w:tc>
        <w:tc>
          <w:tcPr>
            <w:tcW w:w="3345"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其他收入</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8305.55</w:t>
            </w: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22698.25</w:t>
            </w: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273.30%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1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rPr>
            </w:pPr>
            <w:r>
              <w:rPr>
                <w:sz w:val="24"/>
                <w:szCs w:val="24"/>
              </w:rPr>
              <w:t>合计</w:t>
            </w:r>
          </w:p>
        </w:tc>
        <w:tc>
          <w:tcPr>
            <w:tcW w:w="1358"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33383.25</w:t>
            </w:r>
          </w:p>
        </w:tc>
        <w:tc>
          <w:tcPr>
            <w:tcW w:w="123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39745.22</w:t>
            </w:r>
          </w:p>
        </w:tc>
        <w:tc>
          <w:tcPr>
            <w:tcW w:w="1950"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r>
              <w:rPr>
                <w:sz w:val="24"/>
                <w:szCs w:val="24"/>
              </w:rPr>
              <w:t>119.10%</w:t>
            </w:r>
          </w:p>
        </w:tc>
      </w:tr>
    </w:tbl>
    <w:p>
      <w:pPr>
        <w:autoSpaceDE w:val="0"/>
        <w:snapToGrid w:val="0"/>
        <w:spacing w:line="56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其他收入预算执行率273.3%。由于2020年城北街道纳入部门预算，市财政拨入16700万元用于消赤。</w:t>
      </w:r>
    </w:p>
    <w:p>
      <w:pPr>
        <w:autoSpaceDE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四、本年支出完成情况</w:t>
      </w:r>
    </w:p>
    <w:p>
      <w:pPr>
        <w:autoSpaceDE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（一）财政支出情况</w:t>
      </w:r>
    </w:p>
    <w:p>
      <w:pPr>
        <w:autoSpaceDE w:val="0"/>
        <w:snapToGrid w:val="0"/>
        <w:spacing w:line="56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2019年城北街道预算支出指标数33459.75万元，本年实际支出预算执行数39745.22万元，本年支出预算执行118.80%。（具体详见表2）。</w:t>
      </w:r>
    </w:p>
    <w:p>
      <w:pPr>
        <w:autoSpaceDE w:val="0"/>
        <w:snapToGrid w:val="0"/>
        <w:spacing w:line="560" w:lineRule="exact"/>
        <w:ind w:firstLine="604" w:firstLineChars="200"/>
        <w:jc w:val="center"/>
        <w:rPr>
          <w:rFonts w:ascii="宋体" w:hAnsi="宋体" w:eastAsia="宋体" w:cs="宋体"/>
          <w:spacing w:val="11"/>
          <w:kern w:val="0"/>
          <w:sz w:val="28"/>
          <w:szCs w:val="28"/>
        </w:rPr>
      </w:pPr>
      <w:r>
        <w:rPr>
          <w:rFonts w:hint="eastAsia" w:ascii="宋体" w:hAnsi="宋体" w:eastAsia="宋体" w:cs="宋体"/>
          <w:spacing w:val="11"/>
          <w:kern w:val="0"/>
          <w:sz w:val="28"/>
          <w:szCs w:val="28"/>
        </w:rPr>
        <w:t>表2  2019年城北街道财政支出预算执行情况</w:t>
      </w:r>
    </w:p>
    <w:p>
      <w:pPr>
        <w:autoSpaceDE w:val="0"/>
        <w:snapToGrid w:val="0"/>
        <w:spacing w:line="520" w:lineRule="exact"/>
        <w:ind w:firstLine="604" w:firstLineChars="200"/>
        <w:jc w:val="center"/>
        <w:rPr>
          <w:rFonts w:ascii="宋体" w:hAnsi="宋体" w:eastAsia="宋体" w:cs="宋体"/>
          <w:spacing w:val="11"/>
          <w:kern w:val="0"/>
          <w:sz w:val="28"/>
          <w:szCs w:val="28"/>
        </w:rPr>
      </w:pPr>
      <w:r>
        <w:rPr>
          <w:rFonts w:hint="eastAsia" w:ascii="宋体" w:hAnsi="宋体" w:eastAsia="宋体" w:cs="宋体"/>
          <w:spacing w:val="11"/>
          <w:kern w:val="0"/>
          <w:sz w:val="28"/>
          <w:szCs w:val="28"/>
        </w:rPr>
        <w:t xml:space="preserve">                                         单位：万元</w:t>
      </w:r>
    </w:p>
    <w:tbl>
      <w:tblPr>
        <w:tblStyle w:val="6"/>
        <w:tblW w:w="877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3450"/>
        <w:gridCol w:w="1582"/>
        <w:gridCol w:w="1473"/>
        <w:gridCol w:w="15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序号</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预算科目</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支出预算指标数</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支出预算执行数</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支出预算执行率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1</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基本支出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1817.12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1817.12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1.1</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工资福利支出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1499.71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1499.71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1.2</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对个人和家庭的补助支出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122.01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122.01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1.3</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公用支出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195.40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195.40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2</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项目支出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31642.63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26518.10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83.80%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2.1</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专项公用类项目支出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2281.27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2007.27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88.00%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2.2</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政策类项目支出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5186.15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4691.43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90.50%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2.3</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发展建设类项目支出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24175.21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19819.40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82.00%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3</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还本付息支出</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11410.00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3.1</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偿还市财政、国投、银行借款</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11410.00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4"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4</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上缴上级支出</w:t>
            </w:r>
          </w:p>
        </w:tc>
        <w:tc>
          <w:tcPr>
            <w:tcW w:w="1582"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47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7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sz w:val="24"/>
                <w:szCs w:val="24"/>
              </w:rPr>
            </w:pPr>
            <w:r>
              <w:rPr>
                <w:sz w:val="24"/>
                <w:szCs w:val="24"/>
              </w:rPr>
              <w:t>5</w:t>
            </w:r>
          </w:p>
        </w:tc>
        <w:tc>
          <w:tcPr>
            <w:tcW w:w="3450"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jc w:val="left"/>
              <w:rPr>
                <w:rFonts w:hint="default"/>
                <w:sz w:val="24"/>
                <w:szCs w:val="24"/>
              </w:rPr>
            </w:pPr>
            <w:r>
              <w:rPr>
                <w:sz w:val="24"/>
                <w:szCs w:val="24"/>
              </w:rPr>
              <w:t>补助下级支出</w:t>
            </w:r>
          </w:p>
        </w:tc>
        <w:tc>
          <w:tcPr>
            <w:tcW w:w="1582"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473" w:type="dxa"/>
            <w:tcBorders>
              <w:top w:val="single" w:color="auto" w:sz="4" w:space="0"/>
              <w:left w:val="nil"/>
              <w:bottom w:val="single" w:color="auto" w:sz="4" w:space="0"/>
              <w:right w:val="single" w:color="auto" w:sz="4" w:space="0"/>
            </w:tcBorders>
            <w:shd w:val="clear" w:color="auto" w:fill="auto"/>
            <w:vAlign w:val="bottom"/>
          </w:tcPr>
          <w:p>
            <w:pPr>
              <w:pStyle w:val="10"/>
              <w:widowControl/>
              <w:spacing w:beforeAutospacing="1"/>
              <w:rPr>
                <w:rFonts w:hint="default"/>
                <w:sz w:val="24"/>
                <w:szCs w:val="24"/>
              </w:rPr>
            </w:pP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trPr>
        <w:tc>
          <w:tcPr>
            <w:tcW w:w="41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0"/>
              <w:widowControl/>
              <w:spacing w:beforeAutospacing="1"/>
              <w:jc w:val="center"/>
              <w:rPr>
                <w:rFonts w:hint="default"/>
              </w:rPr>
            </w:pPr>
            <w:r>
              <w:rPr>
                <w:sz w:val="24"/>
                <w:szCs w:val="24"/>
              </w:rPr>
              <w:t>合计</w:t>
            </w:r>
          </w:p>
        </w:tc>
        <w:tc>
          <w:tcPr>
            <w:tcW w:w="1582"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33459.75 </w:t>
            </w:r>
          </w:p>
        </w:tc>
        <w:tc>
          <w:tcPr>
            <w:tcW w:w="1473"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 xml:space="preserve">39745.22 </w:t>
            </w:r>
          </w:p>
        </w:tc>
        <w:tc>
          <w:tcPr>
            <w:tcW w:w="1541" w:type="dxa"/>
            <w:tcBorders>
              <w:top w:val="single" w:color="auto" w:sz="4" w:space="0"/>
              <w:left w:val="nil"/>
              <w:bottom w:val="single" w:color="auto" w:sz="4" w:space="0"/>
              <w:right w:val="single" w:color="auto" w:sz="4" w:space="0"/>
            </w:tcBorders>
            <w:shd w:val="clear" w:color="auto" w:fill="auto"/>
            <w:vAlign w:val="center"/>
          </w:tcPr>
          <w:p>
            <w:pPr>
              <w:pStyle w:val="10"/>
              <w:widowControl/>
              <w:spacing w:beforeAutospacing="1"/>
              <w:rPr>
                <w:rFonts w:hint="default"/>
                <w:sz w:val="24"/>
                <w:szCs w:val="24"/>
              </w:rPr>
            </w:pPr>
            <w:r>
              <w:rPr>
                <w:sz w:val="24"/>
                <w:szCs w:val="24"/>
              </w:rPr>
              <w:t>118.80%</w:t>
            </w:r>
          </w:p>
        </w:tc>
      </w:tr>
    </w:tbl>
    <w:p>
      <w:pPr>
        <w:autoSpaceDE w:val="0"/>
        <w:snapToGrid w:val="0"/>
        <w:spacing w:line="560" w:lineRule="exact"/>
        <w:ind w:firstLine="218" w:firstLineChars="72"/>
        <w:rPr>
          <w:rFonts w:ascii="宋体" w:hAnsi="宋体" w:eastAsia="宋体" w:cs="宋体"/>
          <w:b/>
          <w:spacing w:val="11"/>
          <w:sz w:val="28"/>
          <w:szCs w:val="28"/>
        </w:rPr>
      </w:pPr>
      <w:r>
        <w:rPr>
          <w:rFonts w:hint="eastAsia" w:ascii="宋体" w:hAnsi="宋体" w:eastAsia="宋体" w:cs="宋体"/>
          <w:b/>
          <w:spacing w:val="11"/>
          <w:sz w:val="28"/>
          <w:szCs w:val="28"/>
        </w:rPr>
        <w:t>（二） “三公”经费使用情况</w:t>
      </w:r>
    </w:p>
    <w:p>
      <w:pPr>
        <w:pStyle w:val="5"/>
        <w:autoSpaceDE w:val="0"/>
        <w:snapToGrid w:val="0"/>
        <w:spacing w:beforeAutospacing="0" w:afterAutospacing="0" w:line="560" w:lineRule="exact"/>
        <w:ind w:firstLine="604" w:firstLineChars="200"/>
        <w:rPr>
          <w:rFonts w:cs="宋体"/>
          <w:spacing w:val="11"/>
          <w:sz w:val="28"/>
          <w:szCs w:val="28"/>
        </w:rPr>
      </w:pPr>
      <w:r>
        <w:rPr>
          <w:rFonts w:hint="eastAsia" w:cs="宋体"/>
          <w:spacing w:val="11"/>
          <w:kern w:val="2"/>
          <w:sz w:val="28"/>
          <w:szCs w:val="28"/>
        </w:rPr>
        <w:t>2019年城北街道实际支出“三公”经费及会议、培训32.86万元，其中因公出国（境）费用0.00万元，公务接待费1.01万元，公务用车运行维护费25.19万元，会议费0.78万元，培训费5.88万元。2019年实际支出“三公”经费及会议培训费较2018年增加17.15万元，增长率为109.17%（具体详见表3）。</w:t>
      </w:r>
    </w:p>
    <w:p>
      <w:pPr>
        <w:widowControl/>
        <w:autoSpaceDE w:val="0"/>
        <w:adjustRightInd w:val="0"/>
        <w:snapToGrid w:val="0"/>
        <w:spacing w:line="560" w:lineRule="exact"/>
        <w:ind w:firstLine="604" w:firstLineChars="200"/>
        <w:jc w:val="center"/>
        <w:rPr>
          <w:rFonts w:ascii="宋体" w:hAnsi="宋体" w:eastAsia="宋体" w:cs="宋体"/>
          <w:spacing w:val="11"/>
          <w:sz w:val="28"/>
          <w:szCs w:val="28"/>
        </w:rPr>
      </w:pPr>
      <w:r>
        <w:rPr>
          <w:rFonts w:hint="eastAsia" w:ascii="宋体" w:hAnsi="宋体" w:eastAsia="宋体" w:cs="宋体"/>
          <w:spacing w:val="11"/>
          <w:sz w:val="28"/>
          <w:szCs w:val="28"/>
        </w:rPr>
        <w:t>表3  2019年城北街道三公经费使用情况</w:t>
      </w:r>
    </w:p>
    <w:p>
      <w:pPr>
        <w:widowControl/>
        <w:autoSpaceDE w:val="0"/>
        <w:adjustRightInd w:val="0"/>
        <w:snapToGrid w:val="0"/>
        <w:spacing w:line="520" w:lineRule="exact"/>
        <w:ind w:firstLine="604" w:firstLineChars="200"/>
        <w:jc w:val="right"/>
        <w:rPr>
          <w:rFonts w:ascii="宋体" w:hAnsi="宋体" w:eastAsia="宋体" w:cs="宋体"/>
          <w:spacing w:val="11"/>
          <w:sz w:val="28"/>
          <w:szCs w:val="28"/>
        </w:rPr>
      </w:pPr>
      <w:r>
        <w:rPr>
          <w:rFonts w:hint="eastAsia" w:ascii="宋体" w:hAnsi="宋体" w:eastAsia="宋体" w:cs="宋体"/>
          <w:spacing w:val="11"/>
          <w:sz w:val="28"/>
          <w:szCs w:val="28"/>
        </w:rPr>
        <w:t>单位：万元</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29"/>
        <w:gridCol w:w="1666"/>
        <w:gridCol w:w="1732"/>
        <w:gridCol w:w="1273"/>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项目</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2018年执行数</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2019年执行数</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增长额</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增长率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因公出国（境）费用</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公务接待费</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1.03</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1.01</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-0.02</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公务用车购置费及运行</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6.08</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25.19</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19.11</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314.31%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会议费</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2.71</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0.78</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-1.93</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-71.22%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left"/>
              <w:rPr>
                <w:rFonts w:hint="default"/>
                <w:sz w:val="24"/>
                <w:szCs w:val="24"/>
              </w:rPr>
            </w:pPr>
            <w:r>
              <w:rPr>
                <w:sz w:val="24"/>
                <w:szCs w:val="24"/>
              </w:rPr>
              <w:t>培训费</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5.89</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5.88</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-0.01</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
              <w:autoSpaceDE w:val="0"/>
              <w:spacing w:beforeAutospacing="1" w:line="480" w:lineRule="exact"/>
              <w:jc w:val="center"/>
              <w:rPr>
                <w:rFonts w:hint="default"/>
                <w:sz w:val="24"/>
                <w:szCs w:val="24"/>
              </w:rPr>
            </w:pPr>
            <w:r>
              <w:rPr>
                <w:sz w:val="24"/>
                <w:szCs w:val="24"/>
              </w:rPr>
              <w:t>合计</w:t>
            </w:r>
          </w:p>
        </w:tc>
        <w:tc>
          <w:tcPr>
            <w:tcW w:w="1666"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15.71</w:t>
            </w:r>
          </w:p>
        </w:tc>
        <w:tc>
          <w:tcPr>
            <w:tcW w:w="173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32.86</w:t>
            </w:r>
          </w:p>
        </w:tc>
        <w:tc>
          <w:tcPr>
            <w:tcW w:w="1273"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17.15</w:t>
            </w:r>
          </w:p>
        </w:tc>
        <w:tc>
          <w:tcPr>
            <w:tcW w:w="1222" w:type="dxa"/>
            <w:tcBorders>
              <w:top w:val="single" w:color="000000" w:sz="4" w:space="0"/>
              <w:left w:val="nil"/>
              <w:bottom w:val="single" w:color="000000" w:sz="4" w:space="0"/>
              <w:right w:val="single" w:color="000000" w:sz="4" w:space="0"/>
            </w:tcBorders>
            <w:shd w:val="clear" w:color="auto" w:fill="auto"/>
            <w:vAlign w:val="center"/>
          </w:tcPr>
          <w:p>
            <w:pPr>
              <w:pStyle w:val="10"/>
              <w:autoSpaceDE w:val="0"/>
              <w:spacing w:beforeAutospacing="1" w:line="480" w:lineRule="exact"/>
              <w:rPr>
                <w:rFonts w:hint="default"/>
                <w:sz w:val="24"/>
                <w:szCs w:val="24"/>
              </w:rPr>
            </w:pPr>
            <w:r>
              <w:rPr>
                <w:sz w:val="24"/>
                <w:szCs w:val="24"/>
              </w:rPr>
              <w:t>109.17%</w:t>
            </w:r>
          </w:p>
        </w:tc>
      </w:tr>
    </w:tbl>
    <w:p>
      <w:pPr>
        <w:widowControl/>
        <w:autoSpaceDE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五、本年目标实现情况</w:t>
      </w:r>
    </w:p>
    <w:p>
      <w:pPr>
        <w:widowControl/>
        <w:autoSpaceDE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（一）工作目标</w:t>
      </w:r>
    </w:p>
    <w:p>
      <w:pPr>
        <w:widowControl/>
        <w:autoSpaceDE w:val="0"/>
        <w:adjustRightInd w:val="0"/>
        <w:snapToGrid w:val="0"/>
        <w:spacing w:line="560" w:lineRule="exact"/>
        <w:ind w:firstLine="604" w:firstLineChars="200"/>
        <w:jc w:val="left"/>
        <w:rPr>
          <w:rFonts w:ascii="宋体" w:hAnsi="宋体" w:eastAsia="宋体" w:cs="宋体"/>
          <w:b/>
          <w:spacing w:val="11"/>
          <w:kern w:val="0"/>
          <w:sz w:val="28"/>
          <w:szCs w:val="28"/>
        </w:rPr>
      </w:pPr>
      <w:r>
        <w:rPr>
          <w:rFonts w:hint="eastAsia" w:ascii="宋体" w:hAnsi="宋体" w:eastAsia="宋体" w:cs="宋体"/>
          <w:spacing w:val="11"/>
          <w:kern w:val="0"/>
          <w:sz w:val="28"/>
          <w:szCs w:val="28"/>
          <w:shd w:val="clear" w:color="auto" w:fill="FFFFFF"/>
        </w:rPr>
        <w:t>2019年围绕“产业优化升级”主线，突出抓好“环境提升、项目推进、平安建设、作风锻造”四大任务，以新时代“超创干”精神推动城北各项事业再上台阶、再创佳绩。推进鞋业提升和转型升级，巩固2018年鞋业整治成果，确保鞋企从民房退出不发生反弹。加快老旧工业园区改造，为企业提供发展新渠道。坚持“抓大扶中育小推上市”，积极培育企业上市。巩固小城镇环境综合整治成果，保持市容、街路、环卫的管理力度和六乱整治的态势，提升城镇管理水平。强势推进重点项目政策处理及旧工业区改造。推进平安城北建设。不断完善监管责任体系。</w:t>
      </w:r>
    </w:p>
    <w:p>
      <w:pPr>
        <w:widowControl/>
        <w:numPr>
          <w:ilvl w:val="0"/>
          <w:numId w:val="3"/>
        </w:numPr>
        <w:autoSpaceDE w:val="0"/>
        <w:adjustRightInd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执行情况</w:t>
      </w:r>
    </w:p>
    <w:p>
      <w:pPr>
        <w:pStyle w:val="5"/>
        <w:widowControl/>
        <w:autoSpaceDE w:val="0"/>
        <w:snapToGrid w:val="0"/>
        <w:spacing w:beforeAutospacing="0" w:afterAutospacing="0" w:line="560" w:lineRule="exact"/>
        <w:ind w:firstLine="640"/>
        <w:jc w:val="both"/>
        <w:rPr>
          <w:rFonts w:cs="宋体"/>
          <w:b/>
          <w:spacing w:val="11"/>
          <w:sz w:val="28"/>
          <w:szCs w:val="28"/>
        </w:rPr>
      </w:pPr>
      <w:r>
        <w:rPr>
          <w:rFonts w:hint="eastAsia" w:cs="宋体"/>
          <w:spacing w:val="11"/>
          <w:sz w:val="28"/>
          <w:szCs w:val="28"/>
          <w:shd w:val="clear" w:color="auto" w:fill="FFFFFF"/>
        </w:rPr>
        <w:t>2019年城北街道实现财政总收入2.27亿元，地方财政收入1.27亿元，比去年同期减少7.8%。2019年城北街道预算收入执行数为39745.22万元，预算执行率119.10%，街道预算支出执行数39745.22万元，预算执行率118.8%。年初预算安排“三公”经费47.44万元，2019年“三公”经费支出总额26.2万元，执行率55.2%。</w:t>
      </w:r>
    </w:p>
    <w:p>
      <w:pPr>
        <w:widowControl/>
        <w:numPr>
          <w:ilvl w:val="0"/>
          <w:numId w:val="3"/>
        </w:numPr>
        <w:autoSpaceDE w:val="0"/>
        <w:adjustRightInd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评价工作开展</w:t>
      </w:r>
    </w:p>
    <w:p>
      <w:pPr>
        <w:widowControl/>
        <w:autoSpaceDE w:val="0"/>
        <w:snapToGrid w:val="0"/>
        <w:spacing w:line="560" w:lineRule="exact"/>
        <w:ind w:firstLine="600" w:firstLineChars="200"/>
        <w:jc w:val="left"/>
        <w:rPr>
          <w:rFonts w:ascii="宋体" w:hAnsi="宋体" w:eastAsia="宋体" w:cs="宋体"/>
          <w:spacing w:val="10"/>
          <w:kern w:val="0"/>
          <w:sz w:val="28"/>
          <w:szCs w:val="28"/>
          <w:shd w:val="clear" w:color="auto" w:fill="FFFFFF"/>
        </w:rPr>
      </w:pPr>
      <w:r>
        <w:rPr>
          <w:rFonts w:hint="eastAsia" w:ascii="宋体" w:hAnsi="宋体" w:eastAsia="宋体" w:cs="宋体"/>
          <w:spacing w:val="10"/>
          <w:kern w:val="0"/>
          <w:sz w:val="28"/>
          <w:szCs w:val="28"/>
          <w:shd w:val="clear" w:color="auto" w:fill="FFFFFF"/>
        </w:rPr>
        <w:t>根据《浙江省财政支出绩效评价实施方法》、《温岭市财政局关于开展2019年度全市绩效自评工作的通知》温财监督[2020]6号，我单位组织评价组于2020年5月15日-5月29日展开绩效评价工作。</w:t>
      </w:r>
    </w:p>
    <w:p>
      <w:pPr>
        <w:widowControl/>
        <w:autoSpaceDE w:val="0"/>
        <w:snapToGrid w:val="0"/>
        <w:spacing w:line="560" w:lineRule="exact"/>
        <w:ind w:firstLine="604" w:firstLineChars="200"/>
        <w:rPr>
          <w:rFonts w:ascii="宋体" w:hAnsi="宋体" w:eastAsia="宋体" w:cs="宋体"/>
          <w:spacing w:val="11"/>
          <w:kern w:val="0"/>
          <w:sz w:val="28"/>
          <w:szCs w:val="28"/>
        </w:rPr>
      </w:pPr>
      <w:r>
        <w:rPr>
          <w:rFonts w:hint="eastAsia" w:ascii="宋体" w:hAnsi="宋体" w:eastAsia="宋体" w:cs="宋体"/>
          <w:spacing w:val="11"/>
          <w:kern w:val="0"/>
          <w:sz w:val="28"/>
          <w:szCs w:val="28"/>
        </w:rPr>
        <w:t>评价组通过对汇总分析项目资料及实地抽查，对照评价指标和标准进行评议和打分，2019年城北街道整体支出绩效评价得分88.72 分，评价等级为一般（具体详见表4）。</w:t>
      </w:r>
    </w:p>
    <w:p>
      <w:pPr>
        <w:widowControl/>
        <w:autoSpaceDE w:val="0"/>
        <w:snapToGrid w:val="0"/>
        <w:spacing w:line="560" w:lineRule="exact"/>
        <w:ind w:firstLine="1812" w:firstLineChars="6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表4  城北街道整体绩效评价结果汇总表</w:t>
      </w:r>
    </w:p>
    <w:tbl>
      <w:tblPr>
        <w:tblStyle w:val="6"/>
        <w:tblW w:w="8760" w:type="dxa"/>
        <w:tblInd w:w="93" w:type="dxa"/>
        <w:tblLayout w:type="fixed"/>
        <w:tblCellMar>
          <w:top w:w="0" w:type="dxa"/>
          <w:left w:w="0" w:type="dxa"/>
          <w:bottom w:w="0" w:type="dxa"/>
          <w:right w:w="0" w:type="dxa"/>
        </w:tblCellMar>
      </w:tblPr>
      <w:tblGrid>
        <w:gridCol w:w="1865"/>
        <w:gridCol w:w="1264"/>
        <w:gridCol w:w="1450"/>
        <w:gridCol w:w="1411"/>
        <w:gridCol w:w="1500"/>
        <w:gridCol w:w="1270"/>
      </w:tblGrid>
      <w:tr>
        <w:tblPrEx>
          <w:tblLayout w:type="fixed"/>
          <w:tblCellMar>
            <w:top w:w="0" w:type="dxa"/>
            <w:left w:w="0" w:type="dxa"/>
            <w:bottom w:w="0" w:type="dxa"/>
            <w:right w:w="0" w:type="dxa"/>
          </w:tblCellMar>
        </w:tblPrEx>
        <w:trPr>
          <w:trHeight w:val="91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评价内容</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预算管理</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预算执行</w:t>
            </w:r>
          </w:p>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管理</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预算监督</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存量资金债务管理</w:t>
            </w:r>
          </w:p>
        </w:tc>
        <w:tc>
          <w:tcPr>
            <w:tcW w:w="12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效益管理</w:t>
            </w:r>
          </w:p>
        </w:tc>
      </w:tr>
      <w:tr>
        <w:tblPrEx>
          <w:tblLayout w:type="fixed"/>
          <w:tblCellMar>
            <w:top w:w="0" w:type="dxa"/>
            <w:left w:w="0" w:type="dxa"/>
            <w:bottom w:w="0" w:type="dxa"/>
            <w:right w:w="0" w:type="dxa"/>
          </w:tblCellMar>
        </w:tblPrEx>
        <w:trPr>
          <w:trHeight w:val="62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满分值</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25.00 </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24.00 </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5.00 </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12.00 </w:t>
            </w:r>
          </w:p>
        </w:tc>
        <w:tc>
          <w:tcPr>
            <w:tcW w:w="12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34.00 </w:t>
            </w:r>
          </w:p>
        </w:tc>
      </w:tr>
      <w:tr>
        <w:tblPrEx>
          <w:tblLayout w:type="fixed"/>
          <w:tblCellMar>
            <w:top w:w="0" w:type="dxa"/>
            <w:left w:w="0" w:type="dxa"/>
            <w:bottom w:w="0" w:type="dxa"/>
            <w:right w:w="0" w:type="dxa"/>
          </w:tblCellMar>
        </w:tblPrEx>
        <w:trPr>
          <w:trHeight w:val="62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评价分</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23.60 </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18.10 </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4.80 </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11.80 </w:t>
            </w:r>
          </w:p>
        </w:tc>
        <w:tc>
          <w:tcPr>
            <w:tcW w:w="12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30.42 </w:t>
            </w:r>
          </w:p>
        </w:tc>
      </w:tr>
      <w:tr>
        <w:tblPrEx>
          <w:tblLayout w:type="fixed"/>
          <w:tblCellMar>
            <w:top w:w="0" w:type="dxa"/>
            <w:left w:w="0" w:type="dxa"/>
            <w:bottom w:w="0" w:type="dxa"/>
            <w:right w:w="0" w:type="dxa"/>
          </w:tblCellMar>
        </w:tblPrEx>
        <w:trPr>
          <w:trHeight w:val="62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评价分/满分值</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94.40%</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75.42%</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96.00%</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98.33%</w:t>
            </w:r>
          </w:p>
        </w:tc>
        <w:tc>
          <w:tcPr>
            <w:tcW w:w="12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89.46%</w:t>
            </w:r>
          </w:p>
        </w:tc>
      </w:tr>
      <w:tr>
        <w:tblPrEx>
          <w:tblLayout w:type="fixed"/>
          <w:tblCellMar>
            <w:top w:w="0" w:type="dxa"/>
            <w:left w:w="0" w:type="dxa"/>
            <w:bottom w:w="0" w:type="dxa"/>
            <w:right w:w="0" w:type="dxa"/>
          </w:tblCellMar>
        </w:tblPrEx>
        <w:trPr>
          <w:trHeight w:val="62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评价等级</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较好</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一般</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好</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好</w:t>
            </w:r>
          </w:p>
        </w:tc>
        <w:tc>
          <w:tcPr>
            <w:tcW w:w="127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较好</w:t>
            </w:r>
          </w:p>
        </w:tc>
      </w:tr>
      <w:tr>
        <w:tblPrEx>
          <w:tblLayout w:type="fixed"/>
          <w:tblCellMar>
            <w:top w:w="0" w:type="dxa"/>
            <w:left w:w="0" w:type="dxa"/>
            <w:bottom w:w="0" w:type="dxa"/>
            <w:right w:w="0" w:type="dxa"/>
          </w:tblCellMar>
        </w:tblPrEx>
        <w:trPr>
          <w:trHeight w:val="624" w:hRule="atLeast"/>
        </w:trPr>
        <w:tc>
          <w:tcPr>
            <w:tcW w:w="18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utoSpaceDE w:val="0"/>
              <w:spacing w:line="480" w:lineRule="exact"/>
              <w:jc w:val="center"/>
              <w:textAlignment w:val="center"/>
              <w:rPr>
                <w:rFonts w:ascii="宋体" w:hAnsi="宋体" w:eastAsia="宋体" w:cs="宋体"/>
                <w:color w:val="000000"/>
                <w:spacing w:val="11"/>
                <w:kern w:val="0"/>
                <w:sz w:val="24"/>
              </w:rPr>
            </w:pPr>
            <w:r>
              <w:rPr>
                <w:rFonts w:hint="eastAsia" w:ascii="宋体" w:hAnsi="宋体" w:eastAsia="宋体" w:cs="宋体"/>
                <w:color w:val="000000"/>
                <w:spacing w:val="11"/>
                <w:kern w:val="0"/>
                <w:sz w:val="24"/>
              </w:rPr>
              <w:t>综合得分</w:t>
            </w:r>
          </w:p>
        </w:tc>
        <w:tc>
          <w:tcPr>
            <w:tcW w:w="126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 xml:space="preserve"> 88.72 </w:t>
            </w:r>
          </w:p>
        </w:tc>
        <w:tc>
          <w:tcPr>
            <w:tcW w:w="145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综合等级</w:t>
            </w:r>
          </w:p>
        </w:tc>
        <w:tc>
          <w:tcPr>
            <w:tcW w:w="141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ind w:firstLine="480" w:firstLineChars="200"/>
              <w:jc w:val="center"/>
              <w:textAlignment w:val="center"/>
              <w:rPr>
                <w:rFonts w:ascii="宋体" w:hAnsi="宋体" w:eastAsia="宋体" w:cs="宋体"/>
                <w:color w:val="000000"/>
                <w:spacing w:val="11"/>
                <w:kern w:val="0"/>
                <w:sz w:val="24"/>
              </w:rPr>
            </w:pPr>
            <w:r>
              <w:rPr>
                <w:rFonts w:hint="eastAsia" w:ascii="宋体" w:hAnsi="宋体" w:eastAsia="宋体" w:cs="宋体"/>
                <w:color w:val="000000"/>
                <w:kern w:val="0"/>
                <w:sz w:val="24"/>
              </w:rPr>
              <w:t>较好</w:t>
            </w:r>
          </w:p>
        </w:tc>
        <w:tc>
          <w:tcPr>
            <w:tcW w:w="15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jc w:val="center"/>
              <w:rPr>
                <w:rFonts w:ascii="宋体" w:hAnsi="宋体" w:eastAsia="宋体" w:cs="宋体"/>
                <w:color w:val="000000"/>
                <w:spacing w:val="11"/>
                <w:kern w:val="0"/>
                <w:sz w:val="24"/>
              </w:rPr>
            </w:pPr>
          </w:p>
        </w:tc>
        <w:tc>
          <w:tcPr>
            <w:tcW w:w="1270" w:type="dxa"/>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widowControl/>
              <w:jc w:val="left"/>
              <w:rPr>
                <w:rFonts w:ascii="宋体" w:hAnsi="宋体" w:eastAsia="宋体" w:cs="宋体"/>
                <w:color w:val="000000"/>
                <w:spacing w:val="11"/>
                <w:kern w:val="0"/>
                <w:sz w:val="24"/>
              </w:rPr>
            </w:pPr>
          </w:p>
        </w:tc>
      </w:tr>
    </w:tbl>
    <w:p>
      <w:pPr>
        <w:widowControl/>
        <w:autoSpaceDE w:val="0"/>
        <w:snapToGrid w:val="0"/>
        <w:spacing w:line="480" w:lineRule="exact"/>
        <w:ind w:firstLine="524" w:firstLineChars="200"/>
        <w:jc w:val="left"/>
        <w:rPr>
          <w:rFonts w:ascii="宋体" w:hAnsi="宋体" w:eastAsia="宋体" w:cs="宋体"/>
          <w:spacing w:val="11"/>
          <w:kern w:val="0"/>
          <w:sz w:val="24"/>
        </w:rPr>
      </w:pPr>
      <w:r>
        <w:rPr>
          <w:rFonts w:hint="eastAsia" w:ascii="宋体" w:hAnsi="宋体" w:eastAsia="宋体" w:cs="宋体"/>
          <w:spacing w:val="11"/>
          <w:kern w:val="0"/>
          <w:sz w:val="24"/>
        </w:rPr>
        <w:t>备注：①综合等级考核标准：评价等次分为好（S≥95）、较好（95＞S≥85）、一般（85＞S≥60）、差（S＜60）4个评价等次。</w:t>
      </w:r>
    </w:p>
    <w:p>
      <w:pPr>
        <w:autoSpaceDE w:val="0"/>
        <w:snapToGrid w:val="0"/>
        <w:spacing w:line="56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（四）评价指标分析</w:t>
      </w:r>
    </w:p>
    <w:p>
      <w:pPr>
        <w:autoSpaceDE w:val="0"/>
        <w:snapToGrid w:val="0"/>
        <w:spacing w:line="540" w:lineRule="exact"/>
        <w:ind w:firstLine="604" w:firstLineChars="200"/>
        <w:jc w:val="left"/>
        <w:rPr>
          <w:rFonts w:ascii="宋体" w:hAnsi="宋体" w:eastAsia="宋体" w:cs="宋体"/>
          <w:spacing w:val="11"/>
          <w:kern w:val="0"/>
          <w:sz w:val="28"/>
          <w:szCs w:val="28"/>
          <w:highlight w:val="yellow"/>
        </w:rPr>
      </w:pPr>
      <w:r>
        <w:rPr>
          <w:rFonts w:hint="eastAsia" w:ascii="宋体" w:hAnsi="宋体" w:eastAsia="宋体" w:cs="宋体"/>
          <w:spacing w:val="11"/>
          <w:kern w:val="0"/>
          <w:sz w:val="28"/>
          <w:szCs w:val="28"/>
        </w:rPr>
        <w:t xml:space="preserve">（1）预算管理   </w:t>
      </w:r>
    </w:p>
    <w:p>
      <w:pPr>
        <w:autoSpaceDE w:val="0"/>
        <w:snapToGrid w:val="0"/>
        <w:spacing w:line="540" w:lineRule="exact"/>
        <w:ind w:firstLine="604" w:firstLineChars="200"/>
        <w:jc w:val="left"/>
        <w:rPr>
          <w:rFonts w:ascii="宋体" w:hAnsi="宋体" w:eastAsia="宋体" w:cs="宋体"/>
          <w:spacing w:val="11"/>
          <w:kern w:val="0"/>
          <w:sz w:val="28"/>
          <w:szCs w:val="28"/>
          <w:highlight w:val="yellow"/>
        </w:rPr>
      </w:pPr>
      <w:r>
        <w:rPr>
          <w:rFonts w:hint="eastAsia" w:ascii="宋体" w:hAnsi="宋体" w:eastAsia="宋体" w:cs="宋体"/>
          <w:spacing w:val="11"/>
          <w:kern w:val="0"/>
          <w:sz w:val="28"/>
          <w:szCs w:val="28"/>
        </w:rPr>
        <w:t>城北街道根据工作职责，设定符合公共财政要求和政策与社会发展需求的预算目标，预算目标经过人大审核，预算决策经过了集体民主决策，人大的参与度比较高，预算的调整也经过了镇人大和财政部门的同意，预算编制程序规范，报表表格完整，预、执行信息、三公经费公开比较完整、及时。每次人代会前，城北街道人大会开展预算座谈，听取选民和社会各界意见。在人代会上，深入审查预算，决定预算的修正和调整。人代会后，深化预算监督，促进预算绩效管理，通过对钱的监督，实现了对事和对人的监督。通过实施参与式预算，切实落实了人大代表审查权、建议权、决定权和监督权，使人大代表履职的积极性越来越高，作用发挥越来越大。</w:t>
      </w:r>
    </w:p>
    <w:p>
      <w:pPr>
        <w:pStyle w:val="5"/>
        <w:autoSpaceDE w:val="0"/>
        <w:snapToGrid w:val="0"/>
        <w:spacing w:beforeAutospacing="0" w:afterAutospacing="0" w:line="540" w:lineRule="exact"/>
        <w:ind w:firstLine="604" w:firstLineChars="200"/>
        <w:rPr>
          <w:rFonts w:cs="宋体"/>
          <w:spacing w:val="11"/>
          <w:kern w:val="2"/>
          <w:sz w:val="28"/>
          <w:szCs w:val="28"/>
        </w:rPr>
      </w:pPr>
      <w:r>
        <w:rPr>
          <w:rFonts w:hint="eastAsia" w:cs="宋体"/>
          <w:spacing w:val="11"/>
          <w:kern w:val="2"/>
          <w:sz w:val="28"/>
          <w:szCs w:val="28"/>
        </w:rPr>
        <w:t>（2）预算执行管理</w:t>
      </w:r>
    </w:p>
    <w:p>
      <w:pPr>
        <w:pStyle w:val="5"/>
        <w:widowControl/>
        <w:autoSpaceDE w:val="0"/>
        <w:snapToGrid w:val="0"/>
        <w:spacing w:beforeAutospacing="0" w:afterAutospacing="0" w:line="540" w:lineRule="exact"/>
        <w:ind w:firstLine="604" w:firstLineChars="200"/>
        <w:jc w:val="both"/>
        <w:rPr>
          <w:rFonts w:cs="宋体"/>
          <w:spacing w:val="11"/>
          <w:kern w:val="2"/>
          <w:sz w:val="28"/>
          <w:szCs w:val="28"/>
        </w:rPr>
      </w:pPr>
      <w:r>
        <w:rPr>
          <w:rFonts w:hint="eastAsia" w:cs="宋体"/>
          <w:spacing w:val="11"/>
          <w:kern w:val="2"/>
          <w:sz w:val="28"/>
          <w:szCs w:val="28"/>
        </w:rPr>
        <w:t>2019年重点支出1960.94万元，占公共财政预算支出的比例仅为4.93%，比上年占比减少6.92%。2019年财政供养人数58人，比上年减少一人。2019年一般性行政支出总数1848.36万元，比上年减少504.55万元，增长率为-21.44%。2019年项目支出26518.1万元，2018年项目支出9995.94万元，增长率165.29%，，项目支出完成率为83.8％。2019年三公经费和会议、培训费实际支出32.86万元，比上年增加17.15万元。其中公务接待1.01万元，较上年减少0.02万元；公车运行维护费25.19万元，较上年增加19.11万元；会议费2.71，较上年减少1.93万元；培训费5.88万元，较上年减少0.01万元。</w:t>
      </w:r>
    </w:p>
    <w:p>
      <w:pPr>
        <w:pStyle w:val="5"/>
        <w:autoSpaceDE w:val="0"/>
        <w:snapToGrid w:val="0"/>
        <w:spacing w:beforeAutospacing="0" w:afterAutospacing="0" w:line="540" w:lineRule="exact"/>
        <w:ind w:firstLine="604" w:firstLineChars="200"/>
        <w:rPr>
          <w:rFonts w:cs="宋体"/>
          <w:spacing w:val="11"/>
          <w:kern w:val="2"/>
          <w:sz w:val="28"/>
          <w:szCs w:val="28"/>
        </w:rPr>
      </w:pPr>
      <w:r>
        <w:rPr>
          <w:rFonts w:hint="eastAsia" w:cs="宋体"/>
          <w:spacing w:val="11"/>
          <w:kern w:val="2"/>
          <w:sz w:val="28"/>
          <w:szCs w:val="28"/>
        </w:rPr>
        <w:t>（3）预算监督</w:t>
      </w:r>
    </w:p>
    <w:p>
      <w:pPr>
        <w:pStyle w:val="5"/>
        <w:autoSpaceDE w:val="0"/>
        <w:snapToGrid w:val="0"/>
        <w:spacing w:beforeAutospacing="0" w:afterAutospacing="0" w:line="540" w:lineRule="exact"/>
        <w:ind w:firstLine="604" w:firstLineChars="200"/>
        <w:rPr>
          <w:rFonts w:cs="宋体"/>
          <w:spacing w:val="11"/>
          <w:sz w:val="28"/>
          <w:szCs w:val="28"/>
        </w:rPr>
      </w:pPr>
      <w:r>
        <w:rPr>
          <w:rFonts w:hint="eastAsia" w:cs="宋体"/>
          <w:spacing w:val="11"/>
          <w:kern w:val="2"/>
          <w:sz w:val="28"/>
          <w:szCs w:val="28"/>
        </w:rPr>
        <w:t>城北街道建立了较完善的内部控制制度，出台了《城北街道收支管理内部控制制度》、《城北街道预算管理内部控制制度》、《城北街道合同管理内部控制制度》、《城北街道建设项目管理内部控制制度》、《城北街道政府采购内部控制制度》、《城北街道资产管理内部控制制度》等6个内部控制制度；实施《城北街道机关财政财务管理制度》、《城北街道财务审批制度》，进一步严肃财经纪律，规范财务管理行为，强化预算约束力，充分发挥有限资金的使用效率。</w:t>
      </w:r>
    </w:p>
    <w:p>
      <w:pPr>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（4）存量资金债务管理</w:t>
      </w:r>
    </w:p>
    <w:p>
      <w:pPr>
        <w:topLinePunct/>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城北街道2019年末无政府性债务。</w:t>
      </w:r>
    </w:p>
    <w:p>
      <w:pPr>
        <w:topLinePunct/>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城北街道2019年暂付款余额为418.75万元，2019年财政支出总执行数为39745.22万元，占比1.05%，较上年减少54.58万元。城北街道2019年期末无财政结余，2018年期末结余76.51万元，比上年减少76.51万元。存量资金清理效果较为明显。</w:t>
      </w:r>
    </w:p>
    <w:p>
      <w:pPr>
        <w:topLinePunct/>
        <w:autoSpaceDE w:val="0"/>
        <w:snapToGrid w:val="0"/>
        <w:spacing w:line="540" w:lineRule="exact"/>
        <w:ind w:firstLine="604" w:firstLineChars="200"/>
        <w:jc w:val="left"/>
        <w:rPr>
          <w:rFonts w:ascii="宋体" w:hAnsi="宋体" w:eastAsia="宋体" w:cs="宋体"/>
          <w:spacing w:val="11"/>
          <w:kern w:val="0"/>
          <w:sz w:val="28"/>
          <w:szCs w:val="28"/>
        </w:rPr>
      </w:pPr>
      <w:r>
        <w:rPr>
          <w:rFonts w:hint="eastAsia" w:ascii="宋体" w:hAnsi="宋体" w:eastAsia="宋体" w:cs="宋体"/>
          <w:spacing w:val="11"/>
          <w:kern w:val="0"/>
          <w:sz w:val="28"/>
          <w:szCs w:val="28"/>
        </w:rPr>
        <w:t>（5）预算绩效（各指标实际完成情况及分析）</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1、着力推进城市化发展进程</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眼睛向前抓谋划，努力做好重点项目。城北中心卫生院完成搬迁并投用，老院收储工作有序推进,谋划兴建商业综合体。南山闸出让用地顺利拔钉，启动出让。各项重点工作、项目挂图作战，成立攻坚小组，通过周汇报、月小结的形式，大力推进建设进度。省属重点项目台州第一技师学院9幢教学楼、宿舍楼、综合楼完成装修。中央大道项目政策处理有效处置，实现无障碍施工。绕城南线及牧长路项目正式同步启动。振兴西路二期工程24户34间拆迁房屋完成拆除，即将通车。城北大道横塘142户拆迁户完成签约并地基落实，10月底启动房屋拆除，沧浦、芳田段塘渣完成填筑，跑出城北速度。山马城中村改造完成控规报批。横塘住宅小区3.62亿完成出让,桩基进场施工。中马路入城口改造进场施工。联运路建设完成总工程量85%。投入400多万元启动麻长路二期等三条“四好农村公路”建设。</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2、促进产业转型升级</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盘活企业发展空间，加快推进老旧工业区改造，腾挪优质发展空间，帮助企业快速成长，截至目前累计培育小微企业222家，办理“个转企”70户，3家零地技改项目完成结顶。鼓励标准制定，提升产业发展水平。继续承办国家级童鞋产业高峰论坛，纵深推进“国家级童鞋产品质量提升示范项目”，不断提升行业技术化标准化水平，提升行业竞争力。推动龙头企业参与修订《鞋类国标》3项，足友体育主导参与全国学生鞋标准制定，并与中皮院合作，成立全国首家学生鞋研究中心。完成2家申报“浙江制造”标准，1家申报浙江制造品字标标准认证。三是催化企业集聚效应。基本完成中大街童鞋精品街区建设，着力提升城北童鞋形象，打响产业品牌。截至目前，成功吸引本地31家童鞋企业竞相入驻，其中规上企业占15家。</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3、深入推进环境综合整治</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以“省示范文明城市”创建为推手，进一步巩固小城镇环境整治成效。盯牢薄弱环节，进一步补齐短板，开展市容市貌专项整治和村庄环境整治，清理垃圾785吨，清理乱堆乱放496处。强势推进六小行业整治，停业整顿52家。建成21处数字城管监控点位，增强执法力度。完成一期625个咪表车位建设，交通面貌焕然一新。严查环保涉污企业，完成中央环保督察交办信件1件，整治VOC排放不达标鞋企173家，完成9家企业水治理和VOC空气上线并检测合格。全力推进治危拆违，在创建台州市“无违建”街道基础上，继续保持高压态势，拆除重点区域、类型违建，完成拆违2.82万平米。 深入推进五水共治，开展了黑臭水体清零行动，切实开展后桥头河、长泾岸河和南山河的全面整治。开展美丽河湖创建，完成1条市级美丽河道创建，继续推进27个小微水体绿化、美化工作。深入推进污水零直排区创建工作。积极开展“百镇竞赛”活动，完成9个区域的排查，完成后湾工业区、生活小区及南山闸前后岸生活小区的建设。全面开展黑臭河清零行动，投入60余万元，深入开展“后桥头河、长泾岸河和南山河”的“黑臭河”整治。</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4、提升民生福祉</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率先建立医学营养社区示范点，打造医共体城北品牌；创建计生服务品牌“城北街道妇幼孕校”，服务孕产妇、育龄妇女等200多人次。二是聚焦教育事业提升。街道等级幼儿园率达100%，占地18亩公办幼儿园项目启动征地。三是丰富公共文化服务。街道图书分馆开工建设，新增村级健身苑、健身步道4处。成功举办各类文化节活动，不断丰富居民文化生活。四是加强平安建设。联合各部门反复查、查反复，共断电隐患单位1120余家，停业整顿420余家，传唤60余人。今年五月成功摘除“省级消防安全重点乡镇（街道）”帽子。打击处置涉恶团伙7个。破获刑事案件10件，共刑拘56人。“盗抢骗”总案件同比下降35.75%，其中盗窃案件下降44.24%。深入推进“大平安·微治理”项目化建设，10个村居分别建立了民事纠纷调解和民情代办服务站建设，受理各类纠纷40余起。实行异常家庭“四色管理”，共摸排各类家庭16546户，受理异常家庭纠纷122起，涉及人数250余人，相关经验被《浙江法制报》引用刊登。</w:t>
      </w:r>
    </w:p>
    <w:p>
      <w:pPr>
        <w:widowControl/>
        <w:autoSpaceDE w:val="0"/>
        <w:snapToGrid w:val="0"/>
        <w:spacing w:line="540" w:lineRule="exact"/>
        <w:ind w:firstLine="604" w:firstLineChars="200"/>
        <w:jc w:val="left"/>
        <w:rPr>
          <w:rFonts w:ascii="宋体" w:hAnsi="宋体" w:eastAsia="宋体" w:cs="宋体"/>
          <w:spacing w:val="11"/>
          <w:sz w:val="28"/>
          <w:szCs w:val="28"/>
        </w:rPr>
      </w:pPr>
      <w:r>
        <w:rPr>
          <w:rFonts w:hint="eastAsia" w:ascii="宋体" w:hAnsi="宋体" w:eastAsia="宋体" w:cs="宋体"/>
          <w:spacing w:val="11"/>
          <w:sz w:val="28"/>
          <w:szCs w:val="28"/>
        </w:rPr>
        <w:t>5、加强干部队伍建设</w:t>
      </w:r>
    </w:p>
    <w:p>
      <w:pPr>
        <w:widowControl/>
        <w:autoSpaceDE w:val="0"/>
        <w:snapToGrid w:val="0"/>
        <w:spacing w:line="540" w:lineRule="exact"/>
        <w:ind w:firstLine="604" w:firstLineChars="200"/>
        <w:jc w:val="left"/>
        <w:rPr>
          <w:rFonts w:ascii="宋体" w:hAnsi="宋体" w:eastAsia="宋体" w:cs="宋体"/>
          <w:kern w:val="0"/>
          <w:sz w:val="28"/>
          <w:szCs w:val="28"/>
        </w:rPr>
      </w:pPr>
      <w:r>
        <w:rPr>
          <w:rFonts w:hint="eastAsia" w:ascii="宋体" w:hAnsi="宋体" w:eastAsia="宋体" w:cs="宋体"/>
          <w:spacing w:val="11"/>
          <w:sz w:val="28"/>
          <w:szCs w:val="28"/>
        </w:rPr>
        <w:t>不断深化“不忘初心、牢记使命”主题教育。紧紧围绕“主题教育”工作要求，以习近平新时代中国特色社会主义思想为指引，团结和带领辖区内广大党员干部自觉地同党中央对标对表，将澎湃的学习热情转化为争先进位的干事激情，取得了较为显著的成效。建成五星级党群服务中心3个，新建两新党支部8个。及时调整机关中层干部11人次。城北小微园区党群服务中心被纳入温岭市两新党建“三整一全”建设暨“十百千”整体提升行动推进会现场观摩点位之一。认真落实党风廉政建设主体责任制，实现15个村居基层巡查全覆盖。坚持问题导向，基本完成各类巡察反馈问题整改落实。及时约谈党员发展不规范、党员教育管理不严格的党组织书记11人次。</w:t>
      </w:r>
    </w:p>
    <w:p>
      <w:pPr>
        <w:numPr>
          <w:ilvl w:val="0"/>
          <w:numId w:val="4"/>
        </w:numPr>
        <w:autoSpaceDE w:val="0"/>
        <w:snapToGrid w:val="0"/>
        <w:spacing w:line="54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存在问题</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1、传统鞋业急需转型升级</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鞋业是城北街道的支柱产业，鞋企数量最高峰时达到3000多家，但鞋业在带来巨大经济效益的同时，也给当地带来了环境脏乱差、安全隐患等问题。当前鞋业整治提升工作的形势依然严峻，存在的问题不容忽视，特别是监管的长效机制尚未有效建立，整治成果仍有反弹的可能。城北鞋业整体散而不强的格局仍未彻底改变，尤其缺乏叫得响、知名度大的自有品牌。全产业链层次、产品附加值、市场竞争力仍然不高，转型升级步伐还需加快，仍处于“洗牌期”“阵痛期”。为此，亟需进一步深入了解大整治大提升下的城北鞋企发展现状，方能对症下药、精准施策。现阶段城北鞋企仍未彻底摆脱依靠低价换取市场的“价格战”模式，而随着用地、用工成本的上升，中西部同类市场的兴起，加上环境革命、产业革命的纵深推进，这种粗放型发展模式将难以为继。城北鞋业缺少大批技术人才，尤其是高中级技术人才。由于高技术人员紧缺，导致很多小企业无法开发新产品，缺乏竞争力。</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2、财政支出结构不够合理、预算执行率不均衡</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按照“优化结构、有保有压、突出重点、兼顾其它”的原则，城北街道在五水共治、环境综合整治、新农村建设等方面加大了投入力度，积极推进民生实事、基础设施建设。但2019年街道财政项目支出结构仍然存在重基础设施投入轻民生事业保障，投入不均衡不充分问题较为突出，支出结构尚需进一步优化。如主要民生项目社会保障和就业2019年执行数636.27万元，执行率73.19%。医疗卫生项目执行数165.53万元，执行率36.57%。节能环保项目执行数14.75万元，执行率63.71%。民生事业保障投入不够充分，2019年城北街道项目资金主要用于市政工程建设及综合治理。教育、医疗卫生、环境保护、社会保障和就业等民生事业项目投入相对较少，全年支出共955.36万元，占当年预算支出执行数比例仅2.4%。</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3、行政人员数额控制不够有力</w:t>
      </w:r>
    </w:p>
    <w:p>
      <w:pPr>
        <w:autoSpaceDE w:val="0"/>
        <w:snapToGrid w:val="0"/>
        <w:spacing w:line="54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城北街道行政人员数额控制不够严格，主要表现在实际在职人数超编。城北街道核定机关行政编制23名，事业编制32名；2019年街道实际在编财政供养人数58名，其中行政编制25人、事业编制35人，超编1.75%。核定临时工人数181人，实际临时工人数198人，超编9.39%。（具体详见表5）</w:t>
      </w:r>
    </w:p>
    <w:p>
      <w:pPr>
        <w:autoSpaceDE w:val="0"/>
        <w:snapToGrid w:val="0"/>
        <w:spacing w:line="480" w:lineRule="exact"/>
        <w:ind w:firstLine="560" w:firstLineChars="200"/>
        <w:jc w:val="left"/>
        <w:rPr>
          <w:rFonts w:ascii="宋体" w:hAnsi="宋体" w:eastAsia="宋体" w:cs="宋体"/>
          <w:kern w:val="0"/>
          <w:sz w:val="24"/>
        </w:rPr>
      </w:pPr>
      <w:r>
        <w:rPr>
          <w:rFonts w:hint="eastAsia" w:ascii="宋体" w:hAnsi="宋体" w:eastAsia="宋体" w:cs="宋体"/>
          <w:kern w:val="0"/>
          <w:sz w:val="28"/>
          <w:szCs w:val="28"/>
        </w:rPr>
        <w:t>表5            城北街道基本人员情况表           单位：人</w:t>
      </w:r>
    </w:p>
    <w:p>
      <w:pPr>
        <w:pStyle w:val="2"/>
        <w:widowControl/>
        <w:snapToGrid w:val="0"/>
        <w:ind w:firstLine="480"/>
        <w:rPr>
          <w:rFonts w:hint="default" w:cs="宋体"/>
        </w:rPr>
      </w:pPr>
    </w:p>
    <w:tbl>
      <w:tblPr>
        <w:tblStyle w:val="6"/>
        <w:tblW w:w="8331" w:type="dxa"/>
        <w:tblInd w:w="93" w:type="dxa"/>
        <w:tblLayout w:type="fixed"/>
        <w:tblCellMar>
          <w:top w:w="0" w:type="dxa"/>
          <w:left w:w="0" w:type="dxa"/>
          <w:bottom w:w="0" w:type="dxa"/>
          <w:right w:w="0" w:type="dxa"/>
        </w:tblCellMar>
      </w:tblPr>
      <w:tblGrid>
        <w:gridCol w:w="961"/>
        <w:gridCol w:w="2579"/>
        <w:gridCol w:w="1493"/>
        <w:gridCol w:w="2028"/>
        <w:gridCol w:w="1270"/>
      </w:tblGrid>
      <w:tr>
        <w:tblPrEx>
          <w:tblLayout w:type="fixed"/>
          <w:tblCellMar>
            <w:top w:w="0" w:type="dxa"/>
            <w:left w:w="0" w:type="dxa"/>
            <w:bottom w:w="0" w:type="dxa"/>
            <w:right w:w="0" w:type="dxa"/>
          </w:tblCellMar>
        </w:tblPrEx>
        <w:trPr>
          <w:trHeight w:val="567"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序号</w:t>
            </w:r>
          </w:p>
        </w:tc>
        <w:tc>
          <w:tcPr>
            <w:tcW w:w="25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核定人员数量</w:t>
            </w:r>
          </w:p>
        </w:tc>
        <w:tc>
          <w:tcPr>
            <w:tcW w:w="14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核定人数</w:t>
            </w:r>
          </w:p>
        </w:tc>
        <w:tc>
          <w:tcPr>
            <w:tcW w:w="2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实际在职人数</w:t>
            </w:r>
          </w:p>
        </w:tc>
        <w:tc>
          <w:tcPr>
            <w:tcW w:w="12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超编</w:t>
            </w:r>
          </w:p>
        </w:tc>
      </w:tr>
      <w:tr>
        <w:tblPrEx>
          <w:tblLayout w:type="fixed"/>
          <w:tblCellMar>
            <w:top w:w="0" w:type="dxa"/>
            <w:left w:w="0" w:type="dxa"/>
            <w:bottom w:w="0" w:type="dxa"/>
            <w:right w:w="0" w:type="dxa"/>
          </w:tblCellMar>
        </w:tblPrEx>
        <w:trPr>
          <w:trHeight w:val="567"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1</w:t>
            </w:r>
          </w:p>
        </w:tc>
        <w:tc>
          <w:tcPr>
            <w:tcW w:w="25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left"/>
              <w:rPr>
                <w:rFonts w:hint="default"/>
                <w:sz w:val="24"/>
                <w:szCs w:val="24"/>
              </w:rPr>
            </w:pPr>
            <w:r>
              <w:rPr>
                <w:sz w:val="24"/>
                <w:szCs w:val="24"/>
              </w:rPr>
              <w:t>行政编制(参公)</w:t>
            </w:r>
          </w:p>
        </w:tc>
        <w:tc>
          <w:tcPr>
            <w:tcW w:w="14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25</w:t>
            </w:r>
          </w:p>
        </w:tc>
        <w:tc>
          <w:tcPr>
            <w:tcW w:w="2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23</w:t>
            </w:r>
          </w:p>
        </w:tc>
        <w:tc>
          <w:tcPr>
            <w:tcW w:w="12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-2</w:t>
            </w:r>
          </w:p>
        </w:tc>
      </w:tr>
      <w:tr>
        <w:tblPrEx>
          <w:tblLayout w:type="fixed"/>
          <w:tblCellMar>
            <w:top w:w="0" w:type="dxa"/>
            <w:left w:w="0" w:type="dxa"/>
            <w:bottom w:w="0" w:type="dxa"/>
            <w:right w:w="0" w:type="dxa"/>
          </w:tblCellMar>
        </w:tblPrEx>
        <w:trPr>
          <w:trHeight w:val="567"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2</w:t>
            </w:r>
          </w:p>
        </w:tc>
        <w:tc>
          <w:tcPr>
            <w:tcW w:w="25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left"/>
              <w:rPr>
                <w:rFonts w:hint="default"/>
                <w:sz w:val="24"/>
                <w:szCs w:val="24"/>
              </w:rPr>
            </w:pPr>
            <w:r>
              <w:rPr>
                <w:sz w:val="24"/>
                <w:szCs w:val="24"/>
              </w:rPr>
              <w:t>事业编制</w:t>
            </w:r>
          </w:p>
        </w:tc>
        <w:tc>
          <w:tcPr>
            <w:tcW w:w="14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32</w:t>
            </w:r>
          </w:p>
        </w:tc>
        <w:tc>
          <w:tcPr>
            <w:tcW w:w="2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35</w:t>
            </w:r>
          </w:p>
        </w:tc>
        <w:tc>
          <w:tcPr>
            <w:tcW w:w="12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3</w:t>
            </w:r>
          </w:p>
        </w:tc>
      </w:tr>
      <w:tr>
        <w:tblPrEx>
          <w:tblLayout w:type="fixed"/>
          <w:tblCellMar>
            <w:top w:w="0" w:type="dxa"/>
            <w:left w:w="0" w:type="dxa"/>
            <w:bottom w:w="0" w:type="dxa"/>
            <w:right w:w="0" w:type="dxa"/>
          </w:tblCellMar>
        </w:tblPrEx>
        <w:trPr>
          <w:trHeight w:val="567" w:hRule="atLeast"/>
        </w:trPr>
        <w:tc>
          <w:tcPr>
            <w:tcW w:w="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center"/>
              <w:rPr>
                <w:rFonts w:hint="default"/>
                <w:sz w:val="24"/>
                <w:szCs w:val="24"/>
              </w:rPr>
            </w:pPr>
            <w:r>
              <w:rPr>
                <w:sz w:val="24"/>
                <w:szCs w:val="24"/>
              </w:rPr>
              <w:t>3</w:t>
            </w:r>
          </w:p>
        </w:tc>
        <w:tc>
          <w:tcPr>
            <w:tcW w:w="257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jc w:val="left"/>
              <w:rPr>
                <w:rFonts w:hint="default"/>
                <w:sz w:val="24"/>
                <w:szCs w:val="24"/>
              </w:rPr>
            </w:pPr>
            <w:r>
              <w:rPr>
                <w:sz w:val="24"/>
                <w:szCs w:val="24"/>
              </w:rPr>
              <w:t>临时工</w:t>
            </w:r>
          </w:p>
        </w:tc>
        <w:tc>
          <w:tcPr>
            <w:tcW w:w="14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181</w:t>
            </w:r>
          </w:p>
        </w:tc>
        <w:tc>
          <w:tcPr>
            <w:tcW w:w="202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198</w:t>
            </w:r>
          </w:p>
        </w:tc>
        <w:tc>
          <w:tcPr>
            <w:tcW w:w="12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pStyle w:val="10"/>
              <w:widowControl/>
              <w:spacing w:beforeAutospacing="1"/>
              <w:rPr>
                <w:rFonts w:hint="default"/>
                <w:sz w:val="24"/>
                <w:szCs w:val="24"/>
              </w:rPr>
            </w:pPr>
            <w:r>
              <w:rPr>
                <w:sz w:val="24"/>
                <w:szCs w:val="24"/>
              </w:rPr>
              <w:t>17</w:t>
            </w:r>
          </w:p>
        </w:tc>
      </w:tr>
    </w:tbl>
    <w:p>
      <w:pPr>
        <w:widowControl/>
        <w:autoSpaceDE w:val="0"/>
        <w:snapToGrid w:val="0"/>
        <w:spacing w:line="540" w:lineRule="exact"/>
        <w:ind w:firstLine="560" w:firstLineChars="200"/>
        <w:jc w:val="left"/>
        <w:rPr>
          <w:rFonts w:ascii="宋体" w:hAnsi="宋体" w:eastAsia="宋体" w:cs="宋体"/>
          <w:b/>
          <w:spacing w:val="11"/>
          <w:kern w:val="0"/>
          <w:sz w:val="28"/>
          <w:szCs w:val="28"/>
        </w:rPr>
      </w:pPr>
      <w:r>
        <w:rPr>
          <w:rFonts w:hint="eastAsia" w:ascii="宋体" w:hAnsi="宋体" w:eastAsia="宋体" w:cs="宋体"/>
          <w:kern w:val="0"/>
          <w:sz w:val="28"/>
          <w:szCs w:val="28"/>
        </w:rPr>
        <w:t>随着街道基层管理业务范围扩展、工作量加大，聘用一定数量的临时人员参与各项综合管理工作，是</w:t>
      </w:r>
      <w:r>
        <w:rPr>
          <w:rFonts w:hint="eastAsia" w:ascii="宋体" w:hAnsi="宋体" w:eastAsia="宋体" w:cs="宋体"/>
          <w:kern w:val="0"/>
          <w:sz w:val="28"/>
          <w:szCs w:val="28"/>
          <w:lang w:eastAsia="zh-CN"/>
        </w:rPr>
        <w:t>必需</w:t>
      </w:r>
      <w:r>
        <w:rPr>
          <w:rFonts w:hint="eastAsia" w:ascii="宋体" w:hAnsi="宋体" w:eastAsia="宋体" w:cs="宋体"/>
          <w:kern w:val="0"/>
          <w:sz w:val="28"/>
          <w:szCs w:val="28"/>
        </w:rPr>
        <w:t>的，但自聘人员工资无上级财政保障，需街道财政统筹解决，因此需严格把控进人审核，因岗定人，控制人员数量，严控行政运行成本。</w:t>
      </w:r>
    </w:p>
    <w:p>
      <w:pPr>
        <w:widowControl/>
        <w:autoSpaceDE w:val="0"/>
        <w:snapToGrid w:val="0"/>
        <w:spacing w:line="540" w:lineRule="exact"/>
        <w:ind w:firstLine="606" w:firstLineChars="200"/>
        <w:jc w:val="left"/>
        <w:rPr>
          <w:rFonts w:ascii="宋体" w:hAnsi="宋体" w:eastAsia="宋体" w:cs="宋体"/>
          <w:b/>
          <w:spacing w:val="11"/>
          <w:kern w:val="0"/>
          <w:sz w:val="28"/>
          <w:szCs w:val="28"/>
        </w:rPr>
      </w:pPr>
      <w:r>
        <w:rPr>
          <w:rFonts w:hint="eastAsia" w:ascii="宋体" w:hAnsi="宋体" w:eastAsia="宋体" w:cs="宋体"/>
          <w:b/>
          <w:spacing w:val="11"/>
          <w:kern w:val="0"/>
          <w:sz w:val="28"/>
          <w:szCs w:val="28"/>
        </w:rPr>
        <w:t>七、经验教训与建议</w:t>
      </w:r>
    </w:p>
    <w:p>
      <w:pPr>
        <w:pStyle w:val="5"/>
        <w:widowControl/>
        <w:shd w:val="clear" w:color="auto" w:fill="FFFFFF"/>
        <w:autoSpaceDE w:val="0"/>
        <w:snapToGrid w:val="0"/>
        <w:spacing w:beforeAutospacing="0" w:afterAutospacing="0" w:line="540" w:lineRule="exact"/>
        <w:ind w:firstLine="560" w:firstLineChars="200"/>
        <w:jc w:val="both"/>
        <w:rPr>
          <w:rFonts w:cs="宋体"/>
          <w:kern w:val="2"/>
          <w:sz w:val="28"/>
          <w:szCs w:val="28"/>
          <w:shd w:val="clear" w:color="auto" w:fill="FFFFFF"/>
        </w:rPr>
      </w:pPr>
      <w:r>
        <w:rPr>
          <w:rFonts w:hint="eastAsia" w:cs="宋体"/>
          <w:kern w:val="2"/>
          <w:sz w:val="28"/>
          <w:szCs w:val="28"/>
          <w:shd w:val="clear" w:color="auto" w:fill="FFFFFF"/>
        </w:rPr>
        <w:t>1、实现传统鞋业转型升级</w:t>
      </w:r>
    </w:p>
    <w:p>
      <w:pPr>
        <w:pStyle w:val="5"/>
        <w:widowControl/>
        <w:shd w:val="clear" w:color="auto" w:fill="FFFFFF"/>
        <w:autoSpaceDE w:val="0"/>
        <w:snapToGrid w:val="0"/>
        <w:spacing w:beforeAutospacing="0" w:afterAutospacing="0" w:line="540" w:lineRule="exact"/>
        <w:ind w:firstLine="560" w:firstLineChars="200"/>
        <w:jc w:val="both"/>
        <w:rPr>
          <w:rFonts w:cs="宋体"/>
          <w:kern w:val="2"/>
          <w:sz w:val="28"/>
          <w:szCs w:val="28"/>
          <w:shd w:val="clear" w:color="auto" w:fill="FFFFFF"/>
        </w:rPr>
      </w:pPr>
      <w:r>
        <w:rPr>
          <w:rFonts w:hint="eastAsia" w:cs="宋体"/>
          <w:kern w:val="2"/>
          <w:sz w:val="28"/>
          <w:szCs w:val="28"/>
          <w:shd w:val="clear" w:color="auto" w:fill="FFFFFF"/>
        </w:rPr>
        <w:t>开展环境综合整治，持之以恒打好治危拆违、五水共治、小城镇环境综合整治，继续加大对企业安全、环保的监管。扩大有潜力企业的发展空间，引导企业提高质量，提升品牌。从而改变城北鞋的低劣印象。鼓励企业与高校等技术机构合作，开展科技创新，继续举办“中国童鞋产业高峰论坛”，向全国、全世界展示温岭童鞋企业良好形象。由童鞋生产制造向童鞋产业创意设计、研发智造、品牌营销发展，助推产业逐步走向自主品牌市场和中高端市场。融入电子商务营销新模式，规范提升电商经营模式，把线上的区域平台和线下的实体产业园区结合起来，打造电子商务的新平台。设定产业园区入驻条件，生产规模小、产品档次低、设备老旧落后的企业不得入驻，倒逼企业加大技改投入，提升产业水平，为转型升级准备基础条件。做好鞋业产业人才引进配套服务工作，对企业引进的鞋业高层次科技创新、创意设计人才，街道应配合企业，做好引进人才的医疗保障、子女入学、家属就业等方面的服务工作，使外来人才提高对城北的认同感与归属感。</w:t>
      </w:r>
    </w:p>
    <w:p>
      <w:pPr>
        <w:pStyle w:val="5"/>
        <w:widowControl/>
        <w:shd w:val="clear" w:color="auto" w:fill="FFFFFF"/>
        <w:autoSpaceDE w:val="0"/>
        <w:snapToGrid w:val="0"/>
        <w:spacing w:beforeAutospacing="0" w:afterAutospacing="0" w:line="540" w:lineRule="exact"/>
        <w:ind w:firstLine="560" w:firstLineChars="200"/>
        <w:jc w:val="both"/>
        <w:rPr>
          <w:rFonts w:cs="宋体"/>
          <w:kern w:val="2"/>
          <w:sz w:val="28"/>
          <w:szCs w:val="28"/>
          <w:shd w:val="clear" w:color="auto" w:fill="FFFFFF"/>
        </w:rPr>
      </w:pPr>
      <w:r>
        <w:rPr>
          <w:rFonts w:hint="eastAsia" w:cs="宋体"/>
          <w:kern w:val="2"/>
          <w:sz w:val="28"/>
          <w:szCs w:val="28"/>
          <w:shd w:val="clear" w:color="auto" w:fill="FFFFFF"/>
        </w:rPr>
        <w:t>2、加大民生事业项目投入</w:t>
      </w:r>
    </w:p>
    <w:p>
      <w:pPr>
        <w:pStyle w:val="5"/>
        <w:widowControl/>
        <w:shd w:val="clear" w:color="auto" w:fill="FFFFFF"/>
        <w:autoSpaceDE w:val="0"/>
        <w:snapToGrid w:val="0"/>
        <w:spacing w:beforeAutospacing="0" w:afterAutospacing="0" w:line="540" w:lineRule="exact"/>
        <w:ind w:firstLine="560" w:firstLineChars="200"/>
        <w:jc w:val="both"/>
        <w:rPr>
          <w:rFonts w:ascii="仿宋" w:hAnsi="仿宋" w:eastAsia="仿宋" w:cs="Arial"/>
          <w:sz w:val="32"/>
          <w:szCs w:val="32"/>
          <w:shd w:val="clear" w:color="auto" w:fill="FFFFFF"/>
        </w:rPr>
      </w:pPr>
      <w:r>
        <w:rPr>
          <w:rFonts w:hint="eastAsia" w:cs="宋体"/>
          <w:kern w:val="2"/>
          <w:sz w:val="28"/>
          <w:szCs w:val="28"/>
          <w:shd w:val="clear" w:color="auto" w:fill="FFFFFF"/>
        </w:rPr>
        <w:t>还需加强对民生等重点领域的预算投入，严格落实各项民生政策，重点保障民生支出。积极贯彻上级各项惠民政策，科学合理分配民生资金支出预算，将教育、社保、医疗卫生等民生项目纳入财政预算优先保障，加快民生资金预算执行力度，力求推进财政预算重点向保障民生倾斜，充分体现为民理财。在民生资金管理上，推动建立科学的民生资金支出绩效评价体系，构建动态、全程的支出绩效监控机制，不断提升民生资金使用效益。均衡基础公共设施建设投入与形象工程投入资金安排，努力提高公共物品产出与公共服务能力提升，充分体现财政资金公共性要求。同时，针对当前城乡公共设施配置不均衡、农村环境治理投入不足等问题，街道后续工作安排应予充分考虑，逐步提高乡村环境质量提升投入比重。</w:t>
      </w:r>
    </w:p>
    <w:p>
      <w:pPr>
        <w:widowControl/>
        <w:snapToGrid w:val="0"/>
        <w:spacing w:line="600" w:lineRule="atLeast"/>
        <w:ind w:left="640"/>
        <w:rPr>
          <w:rFonts w:ascii="仿宋" w:hAnsi="仿宋" w:eastAsia="仿宋" w:cs="Arial"/>
          <w:b/>
          <w:kern w:val="0"/>
          <w:sz w:val="32"/>
          <w:szCs w:val="32"/>
        </w:rPr>
      </w:pPr>
    </w:p>
    <w:p>
      <w:pPr>
        <w:widowControl/>
        <w:snapToGrid w:val="0"/>
        <w:spacing w:line="600" w:lineRule="atLeast"/>
        <w:ind w:firstLine="640"/>
        <w:rPr>
          <w:rFonts w:ascii="宋体" w:hAnsi="宋体" w:eastAsia="宋体" w:cs="宋体"/>
          <w:kern w:val="0"/>
          <w:sz w:val="24"/>
        </w:rPr>
      </w:pPr>
      <w:r>
        <w:rPr>
          <w:rStyle w:val="9"/>
          <w:rFonts w:hint="eastAsia" w:ascii="楷体" w:hAnsi="楷体" w:eastAsia="楷体" w:cs="楷体"/>
          <w:kern w:val="0"/>
          <w:sz w:val="32"/>
          <w:szCs w:val="32"/>
        </w:rPr>
        <w:t>（十）其他重要事项的情况说明</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1.机关运行经费支出情况。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2019年度机关运行经费支出74.34万元，比年初预算数0</w:t>
      </w:r>
      <w:r>
        <w:rPr>
          <w:rFonts w:hint="eastAsia" w:ascii="仿宋" w:hAnsi="仿宋" w:eastAsia="仿宋" w:cs="仿宋"/>
          <w:kern w:val="0"/>
          <w:sz w:val="32"/>
          <w:szCs w:val="32"/>
        </w:rPr>
        <w:t>万元，执行率</w:t>
      </w:r>
      <w:r>
        <w:rPr>
          <w:rFonts w:hint="eastAsia" w:ascii="仿宋" w:hAnsi="仿宋" w:eastAsia="仿宋" w:cs="Arial"/>
          <w:kern w:val="0"/>
          <w:sz w:val="32"/>
          <w:szCs w:val="32"/>
        </w:rPr>
        <w:t>100%。决算等于预算主要原因是严格按照预算执行。</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2.政府采购支出情况。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2019年度政府采购支出总额97.17万元，其中：政府采购货物支出97.17万元、政府采购工程支出0万元、政府采购服务支出0万元。授予中小企业合同金额97.17万元，占政府采购支出总额的100.00%。其中，授予小微企业合同金额0万元，占政府采购支出总额的0%。</w:t>
      </w:r>
    </w:p>
    <w:p>
      <w:pPr>
        <w:widowControl/>
        <w:snapToGrid w:val="0"/>
        <w:spacing w:line="600" w:lineRule="atLeast"/>
        <w:ind w:firstLine="640"/>
        <w:rPr>
          <w:rFonts w:ascii="宋体" w:hAnsi="宋体" w:eastAsia="宋体" w:cs="宋体"/>
          <w:kern w:val="0"/>
          <w:sz w:val="24"/>
        </w:rPr>
      </w:pPr>
      <w:r>
        <w:rPr>
          <w:rStyle w:val="9"/>
          <w:rFonts w:hint="eastAsia" w:ascii="仿宋" w:hAnsi="仿宋" w:eastAsia="仿宋" w:cs="Arial"/>
          <w:kern w:val="0"/>
          <w:sz w:val="32"/>
          <w:szCs w:val="32"/>
        </w:rPr>
        <w:t>3.国有资产占有使用情况。</w:t>
      </w:r>
    </w:p>
    <w:p>
      <w:pPr>
        <w:widowControl/>
        <w:snapToGrid w:val="0"/>
        <w:spacing w:line="600" w:lineRule="atLeast"/>
        <w:ind w:firstLine="640"/>
        <w:rPr>
          <w:rFonts w:ascii="宋体" w:hAnsi="宋体" w:eastAsia="宋体" w:cs="宋体"/>
          <w:kern w:val="0"/>
          <w:sz w:val="24"/>
        </w:rPr>
      </w:pPr>
      <w:r>
        <w:rPr>
          <w:rFonts w:hint="eastAsia" w:ascii="仿宋" w:hAnsi="仿宋" w:eastAsia="仿宋" w:cs="仿宋"/>
          <w:kern w:val="0"/>
          <w:sz w:val="32"/>
          <w:szCs w:val="32"/>
        </w:rPr>
        <w:t>截至</w:t>
      </w:r>
      <w:r>
        <w:rPr>
          <w:rFonts w:hint="eastAsia" w:ascii="仿宋" w:hAnsi="仿宋" w:eastAsia="仿宋" w:cs="Arial"/>
          <w:kern w:val="0"/>
          <w:sz w:val="32"/>
          <w:szCs w:val="32"/>
        </w:rPr>
        <w:t xml:space="preserve">2019年12月31日，本级及所属各单位共有车辆5辆，其中，副部（省）级及以上领导用车0辆、主要领导干部用车0辆、机要通信用车0辆、应急保障用车0辆、执法执勤用车0辆、特种专业技术用车0辆、离退休干部用车0辆、其他用车5辆,其他用车主要是一般公务用车。单价50万元以上通用设备0台（套），单价100万元以上专用设备0台（套）。 </w:t>
      </w:r>
    </w:p>
    <w:p>
      <w:pPr>
        <w:widowControl/>
        <w:snapToGrid w:val="0"/>
        <w:spacing w:line="600" w:lineRule="atLeast"/>
        <w:ind w:firstLine="640"/>
        <w:rPr>
          <w:rFonts w:ascii="宋体" w:hAnsi="宋体" w:eastAsia="宋体" w:cs="宋体"/>
          <w:kern w:val="0"/>
          <w:sz w:val="24"/>
        </w:rPr>
      </w:pPr>
      <w:r>
        <w:rPr>
          <w:rStyle w:val="9"/>
          <w:rFonts w:hint="eastAsia" w:ascii="黑体" w:hAnsi="宋体" w:eastAsia="黑体" w:cs="黑体"/>
          <w:kern w:val="0"/>
          <w:sz w:val="32"/>
          <w:szCs w:val="32"/>
        </w:rPr>
        <w:t>四、名词解释</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1.财政拨款收入：指本级财政部门当年拨付的财政预算资金，包括一般公共预算财政拨款和政府性基金预算财政拨款。</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2.事业收入：指事业单位开展专业业务活动及辅助活动所取得的收入。</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3.经营收入：指事业单位在专业业务活动及辅助活动之外开展非独立核算经营活动取得的收入。</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4.上级补助收入：指事业单位从主管部门和上级单位取得的非财政补助收入。</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5.附属单位上缴收入：指事业单位附属独立核算单位按照有关规定上缴的收入。</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6.其他收入：指预算单位在“财政拨款”、“事业收入”、“经营收入”、“上级补助收入”、“附属单位上缴收入”等之外取得的各项收入。</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7.用事业基金弥补收支差额：指事业单位动用非财政拨款结余弥补收支差额的金额。</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8.年初结转和结余：指预算单位以前年度尚未完成、结转到本年仍按原规定用途继续使用的资金。</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9.年末结转和结余：指单位按有关规定结转到下年或以后年度继续使用的资金。</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10.基本支出：指预算单位为保障其正常运转，完成日常工作任务所发生的支出，包括人员经费支出和日常公用经费支出。</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11.项目支出：指预算单位为完成其特定的行政工作任务或事业发展目标所发生的支出。</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12.经营支出：指事业单位在专业业务活动及其辅助活动之外开展非独立核算经营活动发生的支出。</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13.“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snapToGrid w:val="0"/>
        <w:spacing w:line="600" w:lineRule="atLeast"/>
        <w:ind w:firstLine="640"/>
        <w:rPr>
          <w:rFonts w:ascii="宋体" w:hAnsi="宋体" w:eastAsia="宋体" w:cs="宋体"/>
          <w:kern w:val="0"/>
          <w:sz w:val="24"/>
        </w:rPr>
      </w:pPr>
      <w:r>
        <w:rPr>
          <w:rFonts w:hint="eastAsia" w:ascii="仿宋" w:hAnsi="仿宋" w:eastAsia="仿宋" w:cs="Arial"/>
          <w:kern w:val="0"/>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atLeast"/>
        <w:ind w:firstLine="640"/>
        <w:rPr>
          <w:rFonts w:ascii="仿宋" w:hAnsi="仿宋" w:eastAsia="仿宋"/>
          <w:sz w:val="32"/>
          <w:szCs w:val="32"/>
        </w:rPr>
      </w:pPr>
      <w:r>
        <w:rPr>
          <w:rFonts w:hint="eastAsia" w:ascii="仿宋" w:hAnsi="仿宋" w:eastAsia="仿宋"/>
          <w:sz w:val="32"/>
          <w:szCs w:val="32"/>
        </w:rPr>
        <w:t>15.</w:t>
      </w:r>
      <w:r>
        <w:rPr>
          <w:rFonts w:hint="eastAsia" w:ascii="仿宋" w:hAnsi="仿宋"/>
          <w:sz w:val="32"/>
          <w:szCs w:val="32"/>
        </w:rPr>
        <w:t>一般公共服务支出（类）</w:t>
      </w:r>
      <w:r>
        <w:rPr>
          <w:rFonts w:hint="eastAsia"/>
          <w:sz w:val="32"/>
          <w:szCs w:val="32"/>
        </w:rPr>
        <w:t>政府办公厅（室）及机关相关事务（款）其他政府办公厅（室）及相关机构事务支出（项）。反应上述项目以外的其他政府办公厅（室）及相关机构事务支出。</w:t>
      </w:r>
    </w:p>
    <w:p>
      <w:pPr>
        <w:spacing w:line="600" w:lineRule="atLeast"/>
        <w:ind w:firstLine="640"/>
        <w:rPr>
          <w:rFonts w:ascii="仿宋" w:hAnsi="仿宋" w:eastAsia="仿宋"/>
          <w:sz w:val="32"/>
          <w:szCs w:val="32"/>
        </w:rPr>
      </w:pPr>
      <w:r>
        <w:rPr>
          <w:rFonts w:hint="eastAsia" w:ascii="仿宋" w:hAnsi="仿宋" w:eastAsia="仿宋"/>
          <w:sz w:val="32"/>
          <w:szCs w:val="32"/>
        </w:rPr>
        <w:t>16.</w:t>
      </w:r>
      <w:r>
        <w:rPr>
          <w:rFonts w:hint="eastAsia" w:ascii="仿宋" w:hAnsi="仿宋"/>
          <w:sz w:val="32"/>
          <w:szCs w:val="32"/>
        </w:rPr>
        <w:t>一般公共服务支出（类）统计信息事务（款）事业运行（项）。</w:t>
      </w:r>
      <w:r>
        <w:rPr>
          <w:rFonts w:hint="eastAsia" w:ascii="仿宋" w:hAnsi="仿宋" w:cs="Arial"/>
          <w:sz w:val="32"/>
          <w:szCs w:val="32"/>
        </w:rPr>
        <w:t>指事业单位的基本支出，不包括行政单位（包括实行公务员管理的事业单位）后勤服务中心、医务室等附属事业单位</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ascii="仿宋" w:hAnsi="仿宋" w:eastAsia="仿宋"/>
          <w:sz w:val="32"/>
          <w:szCs w:val="32"/>
        </w:rPr>
        <w:t>17.</w:t>
      </w:r>
      <w:r>
        <w:rPr>
          <w:rFonts w:hint="eastAsia" w:ascii="仿宋" w:hAnsi="仿宋"/>
          <w:sz w:val="32"/>
          <w:szCs w:val="32"/>
        </w:rPr>
        <w:t>一般公共服务支出（类）财政事务（款）行政运行（项）。</w:t>
      </w:r>
      <w:r>
        <w:rPr>
          <w:rFonts w:hint="eastAsia" w:ascii="仿宋" w:hAnsi="仿宋" w:cs="Arial"/>
          <w:sz w:val="32"/>
          <w:szCs w:val="32"/>
        </w:rPr>
        <w:t>指行政单位（包括实行公务员管理的事业单位）的基本支出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ascii="仿宋" w:hAnsi="仿宋" w:eastAsia="仿宋"/>
          <w:sz w:val="32"/>
          <w:szCs w:val="32"/>
        </w:rPr>
        <w:t>18.</w:t>
      </w:r>
      <w:r>
        <w:rPr>
          <w:rFonts w:hint="eastAsia" w:ascii="仿宋" w:hAnsi="仿宋"/>
          <w:sz w:val="32"/>
          <w:szCs w:val="32"/>
        </w:rPr>
        <w:t>一般公共服务支出（类）群众团体事务（款）行政运行（项）。</w:t>
      </w:r>
      <w:r>
        <w:rPr>
          <w:rFonts w:hint="eastAsia" w:ascii="仿宋" w:hAnsi="仿宋" w:cs="Arial"/>
          <w:sz w:val="32"/>
          <w:szCs w:val="32"/>
        </w:rPr>
        <w:t>指行政单位（包括实行公务员管理的事业单位）的基本支出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ascii="仿宋" w:hAnsi="仿宋" w:eastAsia="仿宋"/>
          <w:sz w:val="32"/>
          <w:szCs w:val="32"/>
        </w:rPr>
        <w:t>19.</w:t>
      </w:r>
      <w:r>
        <w:rPr>
          <w:rFonts w:hint="eastAsia" w:ascii="仿宋" w:hAnsi="仿宋"/>
          <w:sz w:val="32"/>
          <w:szCs w:val="32"/>
        </w:rPr>
        <w:t>一般公共服务支出（类）党委办公室（厅）及相关事务支出（款）行政运行（项）。</w:t>
      </w:r>
      <w:r>
        <w:rPr>
          <w:rFonts w:hint="eastAsia" w:ascii="仿宋" w:hAnsi="仿宋" w:cs="Arial"/>
          <w:sz w:val="32"/>
          <w:szCs w:val="32"/>
        </w:rPr>
        <w:t>指行政单位（包括实行公务员管理的事业单位）的基本支出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ascii="仿宋" w:hAnsi="仿宋" w:eastAsia="仿宋"/>
          <w:sz w:val="32"/>
          <w:szCs w:val="32"/>
        </w:rPr>
        <w:t xml:space="preserve"> 20.</w:t>
      </w:r>
      <w:r>
        <w:rPr>
          <w:rFonts w:hint="eastAsia" w:ascii="仿宋" w:hAnsi="仿宋"/>
          <w:sz w:val="32"/>
          <w:szCs w:val="32"/>
        </w:rPr>
        <w:t>一般公共服务支出（类）其他一般公共服务支出（款）其他一般公共服务支出（项）。</w:t>
      </w:r>
      <w:r>
        <w:rPr>
          <w:rFonts w:hint="eastAsia" w:ascii="仿宋" w:hAnsi="仿宋" w:cs="Arial"/>
          <w:sz w:val="32"/>
          <w:szCs w:val="32"/>
        </w:rPr>
        <w:t>指除上述项目以外的其他一般公共服务支出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21.文化体育与传媒支出（类）文化（款）</w:t>
      </w:r>
      <w:r>
        <w:rPr>
          <w:rFonts w:hint="eastAsia" w:ascii="仿宋" w:hAnsi="仿宋"/>
          <w:sz w:val="32"/>
          <w:szCs w:val="32"/>
        </w:rPr>
        <w:t>群众文化（项）。反应群众文化方面的支出，包括基层文化馆（站）、群众艺术馆支出等。</w:t>
      </w:r>
    </w:p>
    <w:p>
      <w:pPr>
        <w:spacing w:line="600" w:lineRule="atLeast"/>
        <w:ind w:firstLine="640"/>
        <w:rPr>
          <w:rFonts w:ascii="仿宋" w:hAnsi="仿宋" w:eastAsia="仿宋"/>
          <w:sz w:val="32"/>
          <w:szCs w:val="32"/>
        </w:rPr>
      </w:pPr>
      <w:r>
        <w:rPr>
          <w:rFonts w:hint="eastAsia"/>
          <w:sz w:val="32"/>
          <w:szCs w:val="32"/>
        </w:rPr>
        <w:t>22.文化体育与传媒支出（类）其他文化体育与传媒支出（款）其他文化体育与传媒支出</w:t>
      </w:r>
      <w:r>
        <w:rPr>
          <w:rFonts w:hint="eastAsia" w:ascii="仿宋" w:hAnsi="仿宋"/>
          <w:sz w:val="32"/>
          <w:szCs w:val="32"/>
        </w:rPr>
        <w:t>（项）。反映出上述项目外的</w:t>
      </w:r>
      <w:r>
        <w:rPr>
          <w:rFonts w:hint="eastAsia"/>
          <w:sz w:val="32"/>
          <w:szCs w:val="32"/>
        </w:rPr>
        <w:t>其他文化体育与传媒支出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23.社会保障和就业支出（类）人力资源和社会保障管理事务（款）劳动保障监察（项）</w:t>
      </w:r>
      <w:r>
        <w:rPr>
          <w:rFonts w:hint="eastAsia" w:ascii="仿宋" w:hAnsi="仿宋"/>
          <w:sz w:val="32"/>
          <w:szCs w:val="32"/>
        </w:rPr>
        <w:t>。反映劳动保障监察事务支出。</w:t>
      </w:r>
    </w:p>
    <w:p>
      <w:pPr>
        <w:spacing w:line="600" w:lineRule="atLeast"/>
        <w:ind w:firstLine="640"/>
        <w:rPr>
          <w:rFonts w:ascii="仿宋" w:hAnsi="仿宋" w:eastAsia="仿宋"/>
          <w:sz w:val="32"/>
          <w:szCs w:val="32"/>
        </w:rPr>
      </w:pPr>
      <w:r>
        <w:rPr>
          <w:rFonts w:hint="eastAsia"/>
          <w:sz w:val="32"/>
          <w:szCs w:val="32"/>
        </w:rPr>
        <w:t>24.社会保障和就业支出（类）民政管理事务（款）</w:t>
      </w:r>
      <w:r>
        <w:rPr>
          <w:rFonts w:hint="eastAsia" w:ascii="仿宋" w:hAnsi="仿宋"/>
          <w:sz w:val="32"/>
          <w:szCs w:val="32"/>
        </w:rPr>
        <w:t>拥军优属（项）。反映开展拥军优属活动的支出。</w:t>
      </w:r>
    </w:p>
    <w:p>
      <w:pPr>
        <w:spacing w:line="600" w:lineRule="atLeast"/>
        <w:ind w:firstLine="640"/>
        <w:rPr>
          <w:rFonts w:ascii="仿宋" w:hAnsi="仿宋" w:eastAsia="仿宋"/>
          <w:sz w:val="32"/>
          <w:szCs w:val="32"/>
        </w:rPr>
      </w:pPr>
      <w:r>
        <w:rPr>
          <w:rFonts w:hint="eastAsia"/>
          <w:sz w:val="32"/>
          <w:szCs w:val="32"/>
        </w:rPr>
        <w:t>25.社会保障和就业支出（类）抚恤（款）</w:t>
      </w:r>
      <w:r>
        <w:rPr>
          <w:rFonts w:hint="eastAsia" w:ascii="仿宋" w:hAnsi="仿宋"/>
          <w:sz w:val="32"/>
          <w:szCs w:val="32"/>
        </w:rPr>
        <w:t>死亡抚恤（项）。反映按规定用于烈士和牺牲、病故人员家属的一次性和定期抚恤金以及丧葬补助费。</w:t>
      </w:r>
    </w:p>
    <w:p>
      <w:pPr>
        <w:spacing w:line="600" w:lineRule="atLeast"/>
        <w:ind w:firstLine="640"/>
        <w:rPr>
          <w:rFonts w:ascii="仿宋" w:hAnsi="仿宋" w:eastAsia="仿宋"/>
          <w:sz w:val="32"/>
          <w:szCs w:val="32"/>
        </w:rPr>
      </w:pPr>
      <w:r>
        <w:rPr>
          <w:rFonts w:hint="eastAsia"/>
          <w:sz w:val="32"/>
          <w:szCs w:val="32"/>
        </w:rPr>
        <w:t>26社会保障和就业支出（类）抚恤（款）伤残</w:t>
      </w:r>
      <w:r>
        <w:rPr>
          <w:rFonts w:hint="eastAsia" w:ascii="仿宋" w:hAnsi="仿宋"/>
          <w:sz w:val="32"/>
          <w:szCs w:val="32"/>
        </w:rPr>
        <w:t>抚恤（项）。反映按规定用于伤残人员的抚恤金和按规定开支的各种伤残补助费。</w:t>
      </w:r>
    </w:p>
    <w:p>
      <w:pPr>
        <w:spacing w:line="600" w:lineRule="atLeast"/>
        <w:ind w:firstLine="640"/>
        <w:rPr>
          <w:rFonts w:ascii="仿宋" w:hAnsi="仿宋" w:eastAsia="仿宋"/>
          <w:sz w:val="32"/>
          <w:szCs w:val="32"/>
        </w:rPr>
      </w:pPr>
      <w:r>
        <w:rPr>
          <w:rFonts w:hint="eastAsia"/>
          <w:sz w:val="32"/>
          <w:szCs w:val="32"/>
        </w:rPr>
        <w:t>27.社会保障和就业支出（类）抚恤（款）</w:t>
      </w:r>
      <w:r>
        <w:rPr>
          <w:rFonts w:hint="eastAsia" w:ascii="仿宋" w:hAnsi="仿宋"/>
          <w:sz w:val="32"/>
          <w:szCs w:val="32"/>
        </w:rPr>
        <w:t>在乡复员、退伍军人生活补助（项）。反映在乡退伍红军老战士（含西路军红军老战士、红军失散人员）、</w:t>
      </w:r>
      <w:r>
        <w:rPr>
          <w:rFonts w:hint="eastAsia" w:ascii="仿宋" w:hAnsi="仿宋" w:eastAsia="仿宋"/>
          <w:sz w:val="32"/>
          <w:szCs w:val="32"/>
        </w:rPr>
        <w:t>1954</w:t>
      </w:r>
      <w:r>
        <w:rPr>
          <w:rFonts w:hint="eastAsia" w:ascii="仿宋" w:hAnsi="仿宋"/>
          <w:sz w:val="32"/>
          <w:szCs w:val="32"/>
        </w:rPr>
        <w:t>年</w:t>
      </w:r>
      <w:r>
        <w:rPr>
          <w:rFonts w:hint="eastAsia" w:ascii="仿宋" w:hAnsi="仿宋" w:eastAsia="仿宋"/>
          <w:sz w:val="32"/>
          <w:szCs w:val="32"/>
        </w:rPr>
        <w:t>10</w:t>
      </w:r>
      <w:r>
        <w:rPr>
          <w:rFonts w:hint="eastAsia" w:ascii="仿宋" w:hAnsi="仿宋"/>
          <w:sz w:val="32"/>
          <w:szCs w:val="32"/>
        </w:rPr>
        <w:t>月</w:t>
      </w:r>
      <w:r>
        <w:rPr>
          <w:rFonts w:hint="eastAsia" w:ascii="仿宋" w:hAnsi="仿宋" w:eastAsia="仿宋"/>
          <w:sz w:val="32"/>
          <w:szCs w:val="32"/>
        </w:rPr>
        <w:t>31</w:t>
      </w:r>
      <w:r>
        <w:rPr>
          <w:rFonts w:hint="eastAsia" w:ascii="仿宋" w:hAnsi="仿宋"/>
          <w:sz w:val="32"/>
          <w:szCs w:val="32"/>
        </w:rPr>
        <w:t>日前入伍的在乡复员军人、按规定办理带病回乡手续的退伍军人生活补助。</w:t>
      </w:r>
    </w:p>
    <w:p>
      <w:pPr>
        <w:spacing w:line="600" w:lineRule="atLeast"/>
        <w:ind w:firstLine="640"/>
        <w:rPr>
          <w:rFonts w:ascii="仿宋" w:hAnsi="仿宋" w:eastAsia="仿宋"/>
          <w:sz w:val="32"/>
          <w:szCs w:val="32"/>
        </w:rPr>
      </w:pPr>
      <w:r>
        <w:rPr>
          <w:rFonts w:hint="eastAsia"/>
          <w:sz w:val="32"/>
          <w:szCs w:val="32"/>
        </w:rPr>
        <w:t>28社会保障和就业支出（类）抚恤（款）</w:t>
      </w:r>
      <w:r>
        <w:rPr>
          <w:rFonts w:hint="eastAsia" w:ascii="仿宋" w:hAnsi="仿宋"/>
          <w:sz w:val="32"/>
          <w:szCs w:val="32"/>
        </w:rPr>
        <w:t>义务兵优待（项）。反映用于义务兵优待方面的支出。</w:t>
      </w:r>
    </w:p>
    <w:p>
      <w:pPr>
        <w:spacing w:line="600" w:lineRule="atLeast"/>
        <w:ind w:firstLine="640"/>
        <w:rPr>
          <w:rFonts w:ascii="仿宋" w:hAnsi="仿宋" w:eastAsia="仿宋"/>
          <w:sz w:val="32"/>
          <w:szCs w:val="32"/>
        </w:rPr>
      </w:pPr>
      <w:r>
        <w:rPr>
          <w:rFonts w:hint="eastAsia"/>
          <w:sz w:val="32"/>
          <w:szCs w:val="32"/>
        </w:rPr>
        <w:t>29.社会保障和就业支出（类）抚恤（款）</w:t>
      </w:r>
      <w:r>
        <w:rPr>
          <w:rFonts w:hint="eastAsia" w:ascii="仿宋" w:hAnsi="仿宋"/>
          <w:sz w:val="32"/>
          <w:szCs w:val="32"/>
        </w:rPr>
        <w:t>农村籍退役士兵老年生活补助（项）。反映</w:t>
      </w:r>
      <w:r>
        <w:rPr>
          <w:rFonts w:hint="eastAsia" w:ascii="仿宋" w:hAnsi="仿宋" w:eastAsia="仿宋"/>
          <w:sz w:val="32"/>
          <w:szCs w:val="32"/>
        </w:rPr>
        <w:t>1954</w:t>
      </w:r>
      <w:r>
        <w:rPr>
          <w:rFonts w:hint="eastAsia" w:ascii="仿宋" w:hAnsi="仿宋"/>
          <w:sz w:val="32"/>
          <w:szCs w:val="32"/>
        </w:rPr>
        <w:t>年</w:t>
      </w:r>
      <w:r>
        <w:rPr>
          <w:rFonts w:hint="eastAsia" w:ascii="仿宋" w:hAnsi="仿宋" w:eastAsia="仿宋"/>
          <w:sz w:val="32"/>
          <w:szCs w:val="32"/>
        </w:rPr>
        <w:t>11</w:t>
      </w:r>
      <w:r>
        <w:rPr>
          <w:rFonts w:hint="eastAsia" w:ascii="仿宋" w:hAnsi="仿宋"/>
          <w:sz w:val="32"/>
          <w:szCs w:val="32"/>
        </w:rPr>
        <w:t>月</w:t>
      </w:r>
      <w:r>
        <w:rPr>
          <w:rFonts w:hint="eastAsia" w:ascii="仿宋" w:hAnsi="仿宋" w:eastAsia="仿宋"/>
          <w:sz w:val="32"/>
          <w:szCs w:val="32"/>
        </w:rPr>
        <w:t>1</w:t>
      </w:r>
      <w:r>
        <w:rPr>
          <w:rFonts w:hint="eastAsia" w:ascii="仿宋" w:hAnsi="仿宋"/>
          <w:sz w:val="32"/>
          <w:szCs w:val="32"/>
        </w:rPr>
        <w:t>日试行义务兵役制后至《退役士兵安置条例》实施前入伍、年龄在</w:t>
      </w:r>
      <w:r>
        <w:rPr>
          <w:rFonts w:hint="eastAsia" w:ascii="仿宋" w:hAnsi="仿宋" w:eastAsia="仿宋"/>
          <w:sz w:val="32"/>
          <w:szCs w:val="32"/>
        </w:rPr>
        <w:t>60</w:t>
      </w:r>
      <w:r>
        <w:rPr>
          <w:rFonts w:hint="eastAsia" w:ascii="仿宋" w:hAnsi="仿宋"/>
          <w:sz w:val="32"/>
          <w:szCs w:val="32"/>
        </w:rPr>
        <w:t>周岁以上（含</w:t>
      </w:r>
      <w:r>
        <w:rPr>
          <w:rFonts w:hint="eastAsia" w:ascii="仿宋" w:hAnsi="仿宋" w:eastAsia="仿宋"/>
          <w:sz w:val="32"/>
          <w:szCs w:val="32"/>
        </w:rPr>
        <w:t>60</w:t>
      </w:r>
      <w:r>
        <w:rPr>
          <w:rFonts w:hint="eastAsia" w:ascii="仿宋" w:hAnsi="仿宋"/>
          <w:sz w:val="32"/>
          <w:szCs w:val="32"/>
        </w:rPr>
        <w:t>周岁）、未享受到国家定期抚恤补助的农村籍退役士兵的老年生活补助。</w:t>
      </w:r>
    </w:p>
    <w:p>
      <w:pPr>
        <w:spacing w:line="600" w:lineRule="atLeast"/>
        <w:ind w:firstLine="640"/>
        <w:rPr>
          <w:rFonts w:ascii="仿宋" w:hAnsi="仿宋" w:eastAsia="仿宋"/>
          <w:sz w:val="32"/>
          <w:szCs w:val="32"/>
        </w:rPr>
      </w:pPr>
      <w:r>
        <w:rPr>
          <w:rFonts w:hint="eastAsia"/>
          <w:sz w:val="32"/>
          <w:szCs w:val="32"/>
        </w:rPr>
        <w:t>30.社会保障和就业支出（类）抚恤（款）</w:t>
      </w:r>
      <w:r>
        <w:rPr>
          <w:rFonts w:hint="eastAsia" w:ascii="仿宋" w:hAnsi="仿宋"/>
          <w:sz w:val="32"/>
          <w:szCs w:val="32"/>
        </w:rPr>
        <w:t>其他优抚支出（项）。反映上述项目以外的其他优抚支出。</w:t>
      </w:r>
    </w:p>
    <w:p>
      <w:pPr>
        <w:spacing w:line="600" w:lineRule="atLeast"/>
        <w:ind w:firstLine="640"/>
        <w:rPr>
          <w:rFonts w:ascii="仿宋" w:hAnsi="仿宋" w:eastAsia="仿宋"/>
          <w:sz w:val="32"/>
          <w:szCs w:val="32"/>
        </w:rPr>
      </w:pPr>
      <w:r>
        <w:rPr>
          <w:rFonts w:hint="eastAsia"/>
          <w:sz w:val="32"/>
          <w:szCs w:val="32"/>
        </w:rPr>
        <w:t>31.社会保障和就业支出（类）退役安置（款）</w:t>
      </w:r>
      <w:r>
        <w:rPr>
          <w:rFonts w:hint="eastAsia" w:ascii="仿宋" w:hAnsi="仿宋"/>
          <w:sz w:val="32"/>
          <w:szCs w:val="32"/>
        </w:rPr>
        <w:t>退役士兵安置（项）。反映按规定用于伤残义务兵的一次性建房补助，对符合条件的退役士兵、专业士官的安置支出。</w:t>
      </w:r>
    </w:p>
    <w:p>
      <w:pPr>
        <w:spacing w:line="600" w:lineRule="atLeast"/>
        <w:ind w:firstLine="640"/>
        <w:rPr>
          <w:rFonts w:ascii="仿宋" w:hAnsi="仿宋" w:eastAsia="仿宋"/>
          <w:sz w:val="32"/>
          <w:szCs w:val="32"/>
        </w:rPr>
      </w:pPr>
      <w:r>
        <w:rPr>
          <w:rFonts w:hint="eastAsia"/>
          <w:sz w:val="32"/>
          <w:szCs w:val="32"/>
        </w:rPr>
        <w:t>32.社会保障和就业支出（类）退役安置（款）</w:t>
      </w:r>
      <w:r>
        <w:rPr>
          <w:rFonts w:hint="eastAsia" w:ascii="仿宋" w:hAnsi="仿宋"/>
          <w:sz w:val="32"/>
          <w:szCs w:val="32"/>
        </w:rPr>
        <w:t>军队移交政府的离退休人员安置（项）。反映移交政府的军队离退休人员安置支出。</w:t>
      </w:r>
    </w:p>
    <w:p>
      <w:pPr>
        <w:spacing w:line="600" w:lineRule="atLeast"/>
        <w:ind w:firstLine="640"/>
        <w:rPr>
          <w:rFonts w:ascii="仿宋" w:hAnsi="仿宋" w:eastAsia="仿宋"/>
          <w:sz w:val="32"/>
          <w:szCs w:val="32"/>
        </w:rPr>
      </w:pPr>
      <w:r>
        <w:rPr>
          <w:rFonts w:hint="eastAsia"/>
          <w:sz w:val="32"/>
          <w:szCs w:val="32"/>
        </w:rPr>
        <w:t>33.社会保障和就业支出（类）社会福利（款）</w:t>
      </w:r>
      <w:r>
        <w:rPr>
          <w:rFonts w:hint="eastAsia" w:ascii="仿宋" w:hAnsi="仿宋"/>
          <w:sz w:val="32"/>
          <w:szCs w:val="32"/>
        </w:rPr>
        <w:t>儿童福利（项）。反映对儿童提供福利服务方面的支出。</w:t>
      </w:r>
    </w:p>
    <w:p>
      <w:pPr>
        <w:spacing w:line="600" w:lineRule="atLeast"/>
        <w:ind w:firstLine="640"/>
        <w:rPr>
          <w:rFonts w:ascii="仿宋" w:hAnsi="仿宋" w:eastAsia="仿宋"/>
          <w:sz w:val="32"/>
          <w:szCs w:val="32"/>
        </w:rPr>
      </w:pPr>
      <w:r>
        <w:rPr>
          <w:rFonts w:hint="eastAsia"/>
          <w:sz w:val="32"/>
          <w:szCs w:val="32"/>
        </w:rPr>
        <w:t>34.社会保障和就业支出（类）社会福利（款）</w:t>
      </w:r>
      <w:r>
        <w:rPr>
          <w:rFonts w:hint="eastAsia" w:ascii="仿宋" w:hAnsi="仿宋"/>
          <w:sz w:val="32"/>
          <w:szCs w:val="32"/>
        </w:rPr>
        <w:t>老年福利（项）。反映对老年人提供福利服务方面的支出，包括为经济困难的高龄、失能等老年人提供基本养老服务保障的资金补助等支出。</w:t>
      </w:r>
    </w:p>
    <w:p>
      <w:pPr>
        <w:spacing w:line="600" w:lineRule="atLeast"/>
        <w:ind w:firstLine="640"/>
        <w:rPr>
          <w:rFonts w:ascii="仿宋" w:hAnsi="仿宋" w:eastAsia="仿宋"/>
          <w:sz w:val="32"/>
          <w:szCs w:val="32"/>
        </w:rPr>
      </w:pPr>
      <w:r>
        <w:rPr>
          <w:rFonts w:hint="eastAsia"/>
          <w:sz w:val="32"/>
          <w:szCs w:val="32"/>
        </w:rPr>
        <w:t>35.社会保障和就业支出（类）社会福利（款）</w:t>
      </w:r>
      <w:r>
        <w:rPr>
          <w:rFonts w:hint="eastAsia" w:ascii="仿宋" w:hAnsi="仿宋"/>
          <w:sz w:val="32"/>
          <w:szCs w:val="32"/>
        </w:rPr>
        <w:t>社会福利事业单位（项）。反映民政部门举办的社会福利事业单位支出，以及对集体社会福利事业单位的补助费。</w:t>
      </w:r>
    </w:p>
    <w:p>
      <w:pPr>
        <w:spacing w:line="600" w:lineRule="atLeast"/>
        <w:ind w:firstLine="640"/>
        <w:rPr>
          <w:rFonts w:ascii="仿宋" w:hAnsi="仿宋" w:eastAsia="仿宋"/>
          <w:sz w:val="32"/>
          <w:szCs w:val="32"/>
        </w:rPr>
      </w:pPr>
      <w:r>
        <w:rPr>
          <w:rFonts w:hint="eastAsia"/>
          <w:sz w:val="32"/>
          <w:szCs w:val="32"/>
        </w:rPr>
        <w:t>36.社会保障和就业支出（类）残疾人事业（款）</w:t>
      </w:r>
      <w:r>
        <w:rPr>
          <w:rFonts w:hint="eastAsia" w:ascii="仿宋" w:hAnsi="仿宋"/>
          <w:sz w:val="32"/>
          <w:szCs w:val="32"/>
        </w:rPr>
        <w:t>残疾人康复（项）。反映残疾人联合会用于残疾人康复方面的支出。</w:t>
      </w:r>
    </w:p>
    <w:p>
      <w:pPr>
        <w:spacing w:line="600" w:lineRule="atLeast"/>
        <w:ind w:firstLine="640"/>
        <w:rPr>
          <w:rFonts w:ascii="仿宋" w:hAnsi="仿宋" w:eastAsia="仿宋"/>
          <w:sz w:val="32"/>
          <w:szCs w:val="32"/>
        </w:rPr>
      </w:pPr>
      <w:r>
        <w:rPr>
          <w:rFonts w:hint="eastAsia"/>
          <w:sz w:val="32"/>
          <w:szCs w:val="32"/>
        </w:rPr>
        <w:t>37.社会保障和就业支出（类）残疾人事业（款）</w:t>
      </w:r>
      <w:r>
        <w:rPr>
          <w:rFonts w:hint="eastAsia" w:ascii="仿宋" w:hAnsi="仿宋"/>
          <w:sz w:val="32"/>
          <w:szCs w:val="32"/>
        </w:rPr>
        <w:t>残疾人就业和扶贫（项）。反映残疾人联合会用于残疾人就业和扶贫等方面的支出。</w:t>
      </w:r>
    </w:p>
    <w:p>
      <w:pPr>
        <w:spacing w:line="600" w:lineRule="atLeast"/>
        <w:ind w:firstLine="640"/>
        <w:rPr>
          <w:rFonts w:ascii="仿宋" w:hAnsi="仿宋" w:eastAsia="仿宋"/>
          <w:sz w:val="32"/>
          <w:szCs w:val="32"/>
        </w:rPr>
      </w:pPr>
      <w:r>
        <w:rPr>
          <w:rFonts w:hint="eastAsia"/>
          <w:sz w:val="32"/>
          <w:szCs w:val="32"/>
        </w:rPr>
        <w:t>38.社会保障和就业支出（类）残疾人事业（款）</w:t>
      </w:r>
      <w:r>
        <w:rPr>
          <w:rFonts w:hint="eastAsia" w:ascii="仿宋" w:hAnsi="仿宋"/>
          <w:sz w:val="32"/>
          <w:szCs w:val="32"/>
        </w:rPr>
        <w:t>残疾人生活和护理补贴（项）。反映困难残疾人生活补贴和重度残疾人护理补贴支出。</w:t>
      </w:r>
    </w:p>
    <w:p>
      <w:pPr>
        <w:spacing w:line="600" w:lineRule="atLeast"/>
        <w:ind w:firstLine="640"/>
        <w:rPr>
          <w:rFonts w:ascii="仿宋" w:hAnsi="仿宋" w:eastAsia="仿宋"/>
          <w:sz w:val="32"/>
          <w:szCs w:val="32"/>
        </w:rPr>
      </w:pPr>
      <w:r>
        <w:rPr>
          <w:rFonts w:hint="eastAsia"/>
          <w:sz w:val="32"/>
          <w:szCs w:val="32"/>
        </w:rPr>
        <w:t>39.社会保障和就业支出（类）残疾人事业（款）</w:t>
      </w:r>
      <w:r>
        <w:rPr>
          <w:rFonts w:hint="eastAsia" w:ascii="仿宋" w:hAnsi="仿宋"/>
          <w:sz w:val="32"/>
          <w:szCs w:val="32"/>
        </w:rPr>
        <w:t>其他残疾人事业支出（项）。反映上述项目以外的其他残疾人事业支出。</w:t>
      </w:r>
    </w:p>
    <w:p>
      <w:pPr>
        <w:spacing w:line="600" w:lineRule="atLeast"/>
        <w:ind w:firstLine="640"/>
        <w:rPr>
          <w:rFonts w:ascii="仿宋" w:hAnsi="仿宋" w:eastAsia="仿宋"/>
          <w:sz w:val="32"/>
          <w:szCs w:val="32"/>
        </w:rPr>
      </w:pPr>
      <w:r>
        <w:rPr>
          <w:rFonts w:hint="eastAsia"/>
          <w:sz w:val="32"/>
          <w:szCs w:val="32"/>
        </w:rPr>
        <w:t>40.社会保障和就业支出（类）自然灾害生活救助（款）</w:t>
      </w:r>
      <w:r>
        <w:rPr>
          <w:rFonts w:hint="eastAsia" w:ascii="仿宋" w:hAnsi="仿宋"/>
          <w:sz w:val="32"/>
          <w:szCs w:val="32"/>
        </w:rPr>
        <w:t>中央自然灾害生活补助（项）。反映中央预算对遭受特大自然灾害地区的地方政府在安排受灾群众吃、穿、住和抢救、转移、安置、治病等经费发生困难时</w:t>
      </w:r>
      <w:r>
        <w:rPr>
          <w:rFonts w:hint="eastAsia" w:ascii="仿宋" w:hAnsi="仿宋"/>
          <w:sz w:val="32"/>
          <w:szCs w:val="32"/>
          <w:lang w:eastAsia="zh-CN"/>
        </w:rPr>
        <w:t>给予</w:t>
      </w:r>
      <w:r>
        <w:rPr>
          <w:rFonts w:hint="eastAsia" w:ascii="仿宋" w:hAnsi="仿宋"/>
          <w:sz w:val="32"/>
          <w:szCs w:val="32"/>
        </w:rPr>
        <w:t>的专项补助，以及为抗御特大自然灾害而设立的中央级救灾物资储备资金。</w:t>
      </w:r>
    </w:p>
    <w:p>
      <w:pPr>
        <w:spacing w:line="600" w:lineRule="atLeast"/>
        <w:ind w:firstLine="640"/>
        <w:rPr>
          <w:rFonts w:ascii="仿宋" w:hAnsi="仿宋" w:eastAsia="仿宋"/>
          <w:sz w:val="32"/>
          <w:szCs w:val="32"/>
        </w:rPr>
      </w:pPr>
      <w:r>
        <w:rPr>
          <w:rFonts w:hint="eastAsia"/>
          <w:sz w:val="32"/>
          <w:szCs w:val="32"/>
        </w:rPr>
        <w:t>41.社会保障和就业支出（类）最低生活保障（款），</w:t>
      </w:r>
      <w:r>
        <w:rPr>
          <w:rFonts w:hint="eastAsia" w:ascii="仿宋" w:hAnsi="仿宋"/>
          <w:sz w:val="32"/>
          <w:szCs w:val="32"/>
        </w:rPr>
        <w:t>城市最低生活保障金支出（项）。反映城市最低生活保障对象的最低生活保障金支出。</w:t>
      </w:r>
    </w:p>
    <w:p>
      <w:pPr>
        <w:spacing w:line="600" w:lineRule="atLeast"/>
        <w:ind w:firstLine="640"/>
        <w:rPr>
          <w:rFonts w:ascii="仿宋" w:hAnsi="仿宋" w:eastAsia="仿宋"/>
          <w:sz w:val="32"/>
          <w:szCs w:val="32"/>
        </w:rPr>
      </w:pPr>
      <w:r>
        <w:rPr>
          <w:rFonts w:hint="eastAsia"/>
          <w:sz w:val="32"/>
          <w:szCs w:val="32"/>
        </w:rPr>
        <w:t>42.社会保障和就业支出（类）临时救助（款）</w:t>
      </w:r>
      <w:r>
        <w:rPr>
          <w:rFonts w:hint="eastAsia" w:ascii="仿宋" w:hAnsi="仿宋"/>
          <w:sz w:val="32"/>
          <w:szCs w:val="32"/>
        </w:rPr>
        <w:t>临时救助支出（项）。反映用于城乡生活困难居民的临时救助支出。</w:t>
      </w:r>
    </w:p>
    <w:p>
      <w:pPr>
        <w:spacing w:line="600" w:lineRule="atLeast"/>
        <w:ind w:firstLine="640"/>
        <w:rPr>
          <w:rFonts w:ascii="仿宋" w:hAnsi="仿宋" w:eastAsia="仿宋"/>
          <w:sz w:val="32"/>
          <w:szCs w:val="32"/>
        </w:rPr>
      </w:pPr>
      <w:r>
        <w:rPr>
          <w:rFonts w:hint="eastAsia"/>
          <w:sz w:val="32"/>
          <w:szCs w:val="32"/>
        </w:rPr>
        <w:t>43.社会保障和就业支出（类）特困人员救助供养（款）</w:t>
      </w:r>
      <w:r>
        <w:rPr>
          <w:rFonts w:hint="eastAsia" w:ascii="仿宋" w:hAnsi="仿宋"/>
          <w:sz w:val="32"/>
          <w:szCs w:val="32"/>
        </w:rPr>
        <w:t>城市</w:t>
      </w:r>
      <w:r>
        <w:rPr>
          <w:rFonts w:hint="eastAsia"/>
          <w:sz w:val="32"/>
          <w:szCs w:val="32"/>
        </w:rPr>
        <w:t>特困人员救助供养</w:t>
      </w:r>
      <w:r>
        <w:rPr>
          <w:rFonts w:hint="eastAsia" w:ascii="仿宋" w:hAnsi="仿宋"/>
          <w:sz w:val="32"/>
          <w:szCs w:val="32"/>
        </w:rPr>
        <w:t>（项）。反映城市特困人员救助供养支出。</w:t>
      </w:r>
    </w:p>
    <w:p>
      <w:pPr>
        <w:spacing w:line="600" w:lineRule="atLeast"/>
        <w:ind w:firstLine="640"/>
        <w:rPr>
          <w:rFonts w:ascii="仿宋" w:hAnsi="仿宋" w:eastAsia="仿宋"/>
          <w:sz w:val="32"/>
          <w:szCs w:val="32"/>
        </w:rPr>
      </w:pPr>
      <w:r>
        <w:rPr>
          <w:rFonts w:hint="eastAsia"/>
          <w:sz w:val="32"/>
          <w:szCs w:val="32"/>
        </w:rPr>
        <w:t>44.社会保障和就业支出（类）其他生活救助（款）其他城市生活救助</w:t>
      </w:r>
      <w:r>
        <w:rPr>
          <w:rFonts w:hint="eastAsia" w:ascii="仿宋" w:hAnsi="仿宋"/>
          <w:sz w:val="32"/>
          <w:szCs w:val="32"/>
        </w:rPr>
        <w:t>（项）。反映除最低生活保障、临时救助、特困人员供养外，用于</w:t>
      </w:r>
      <w:r>
        <w:rPr>
          <w:rFonts w:hint="eastAsia"/>
          <w:sz w:val="32"/>
          <w:szCs w:val="32"/>
        </w:rPr>
        <w:t>城市困难居民生活救助支出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45.社会保障和就业支出（类）其他生活救助（款）其他农村生活救助</w:t>
      </w:r>
      <w:r>
        <w:rPr>
          <w:rFonts w:hint="eastAsia" w:ascii="仿宋" w:hAnsi="仿宋"/>
          <w:sz w:val="32"/>
          <w:szCs w:val="32"/>
        </w:rPr>
        <w:t>（项）。反映除最低生活保障、临时救助、特困人员供养外，用于</w:t>
      </w:r>
      <w:r>
        <w:rPr>
          <w:rFonts w:hint="eastAsia"/>
          <w:sz w:val="32"/>
          <w:szCs w:val="32"/>
        </w:rPr>
        <w:t>农村困难居民生活救助支出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46.医疗卫生与计划生育支出（类）</w:t>
      </w:r>
      <w:r>
        <w:rPr>
          <w:rFonts w:hint="eastAsia" w:ascii="仿宋" w:hAnsi="仿宋"/>
          <w:sz w:val="32"/>
          <w:szCs w:val="32"/>
        </w:rPr>
        <w:t>计划生育事务（款）其他计划生育事务支出（项）。反映出上述项目以外其他计划生育事务支出。</w:t>
      </w:r>
    </w:p>
    <w:p>
      <w:pPr>
        <w:spacing w:line="600" w:lineRule="atLeast"/>
        <w:ind w:firstLine="640"/>
        <w:rPr>
          <w:rFonts w:ascii="仿宋" w:hAnsi="仿宋" w:eastAsia="仿宋"/>
          <w:sz w:val="32"/>
          <w:szCs w:val="32"/>
        </w:rPr>
      </w:pPr>
      <w:r>
        <w:rPr>
          <w:rFonts w:hint="eastAsia"/>
          <w:sz w:val="32"/>
          <w:szCs w:val="32"/>
        </w:rPr>
        <w:t>47.医疗卫生与计划生育支出（类）优抚对象医疗（款）</w:t>
      </w:r>
      <w:r>
        <w:rPr>
          <w:rFonts w:hint="eastAsia" w:ascii="仿宋" w:hAnsi="仿宋"/>
          <w:sz w:val="32"/>
          <w:szCs w:val="32"/>
        </w:rPr>
        <w:t>优抚对象医疗补助（项）。反映按规定补助优抚对象的医疗经费。</w:t>
      </w:r>
    </w:p>
    <w:p>
      <w:pPr>
        <w:spacing w:line="600" w:lineRule="atLeast"/>
        <w:ind w:firstLine="640"/>
        <w:rPr>
          <w:rFonts w:ascii="仿宋" w:hAnsi="仿宋" w:eastAsia="仿宋"/>
          <w:sz w:val="32"/>
          <w:szCs w:val="32"/>
        </w:rPr>
      </w:pPr>
      <w:r>
        <w:rPr>
          <w:rFonts w:hint="eastAsia" w:ascii="仿宋" w:hAnsi="仿宋" w:eastAsia="仿宋"/>
          <w:sz w:val="32"/>
          <w:szCs w:val="32"/>
        </w:rPr>
        <w:t>48.</w:t>
      </w:r>
      <w:r>
        <w:rPr>
          <w:rFonts w:hint="eastAsia" w:ascii="仿宋" w:hAnsi="仿宋"/>
          <w:sz w:val="32"/>
          <w:szCs w:val="32"/>
        </w:rPr>
        <w:t>节能环保支出（类）环境保护管理事务（项）其他环境保护管理事务支出（项）。反映出上述项目以外其他环境保护管理事务支出。</w:t>
      </w:r>
    </w:p>
    <w:p>
      <w:pPr>
        <w:spacing w:line="600" w:lineRule="atLeast"/>
        <w:ind w:firstLine="640"/>
        <w:rPr>
          <w:rFonts w:ascii="仿宋" w:hAnsi="仿宋" w:eastAsia="仿宋"/>
          <w:sz w:val="32"/>
          <w:szCs w:val="32"/>
        </w:rPr>
      </w:pPr>
      <w:r>
        <w:rPr>
          <w:rFonts w:hint="eastAsia" w:ascii="仿宋" w:hAnsi="仿宋" w:eastAsia="仿宋"/>
          <w:sz w:val="32"/>
          <w:szCs w:val="32"/>
        </w:rPr>
        <w:t>49.</w:t>
      </w:r>
      <w:r>
        <w:rPr>
          <w:rFonts w:hint="eastAsia" w:ascii="仿宋" w:hAnsi="仿宋"/>
          <w:sz w:val="32"/>
          <w:szCs w:val="32"/>
        </w:rPr>
        <w:t>节能环保支出（类）自然生态保护（款）农村环境保护（项）。反映用于农村环境保护方面的支出。</w:t>
      </w:r>
    </w:p>
    <w:p>
      <w:pPr>
        <w:spacing w:line="600" w:lineRule="atLeast"/>
        <w:ind w:firstLine="640"/>
        <w:rPr>
          <w:rFonts w:ascii="仿宋" w:hAnsi="仿宋" w:eastAsia="仿宋"/>
          <w:sz w:val="32"/>
          <w:szCs w:val="32"/>
        </w:rPr>
      </w:pPr>
      <w:r>
        <w:rPr>
          <w:rFonts w:hint="eastAsia" w:ascii="仿宋" w:hAnsi="仿宋" w:eastAsia="仿宋"/>
          <w:sz w:val="32"/>
          <w:szCs w:val="32"/>
        </w:rPr>
        <w:t>50</w:t>
      </w:r>
      <w:r>
        <w:rPr>
          <w:rFonts w:hint="eastAsia" w:ascii="仿宋" w:hAnsi="仿宋"/>
          <w:sz w:val="32"/>
          <w:szCs w:val="32"/>
        </w:rPr>
        <w:t>城乡社区支出（类）其他城乡社区支出（款）其他城乡社区支出（项）。反映上述项目以外的其他城乡社区支出。</w:t>
      </w:r>
    </w:p>
    <w:p>
      <w:pPr>
        <w:spacing w:line="600" w:lineRule="atLeast"/>
        <w:ind w:firstLine="640"/>
        <w:rPr>
          <w:rFonts w:ascii="仿宋" w:hAnsi="仿宋" w:eastAsia="仿宋"/>
          <w:sz w:val="32"/>
          <w:szCs w:val="32"/>
        </w:rPr>
      </w:pPr>
      <w:r>
        <w:rPr>
          <w:rFonts w:hint="eastAsia"/>
          <w:sz w:val="32"/>
          <w:szCs w:val="32"/>
        </w:rPr>
        <w:t>51.农林水支出（类）农业（款）</w:t>
      </w:r>
      <w:r>
        <w:rPr>
          <w:rFonts w:hint="eastAsia" w:ascii="仿宋" w:hAnsi="仿宋"/>
          <w:sz w:val="32"/>
          <w:szCs w:val="32"/>
        </w:rPr>
        <w:t>事业运行（项）。</w:t>
      </w:r>
      <w:r>
        <w:rPr>
          <w:rFonts w:hint="eastAsia" w:ascii="仿宋" w:hAnsi="仿宋" w:cs="Arial"/>
          <w:sz w:val="32"/>
          <w:szCs w:val="32"/>
        </w:rPr>
        <w:t>指事业单位的基本支出，不包括行政单位（包括实行公务员管理的事业单位）后勤服务中心、医务室等附属事业单位</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52.农林水支出（类）农业（款）</w:t>
      </w:r>
      <w:r>
        <w:rPr>
          <w:rFonts w:hint="eastAsia" w:ascii="仿宋" w:hAnsi="仿宋"/>
          <w:sz w:val="32"/>
          <w:szCs w:val="32"/>
        </w:rPr>
        <w:t>对高校毕业生到基层任职补助（项）。反映按规定对高校毕业生到基层任职补助支出。</w:t>
      </w:r>
    </w:p>
    <w:p>
      <w:pPr>
        <w:spacing w:line="600" w:lineRule="atLeast"/>
        <w:ind w:firstLine="640"/>
        <w:rPr>
          <w:rFonts w:ascii="仿宋" w:hAnsi="仿宋" w:eastAsia="仿宋"/>
          <w:sz w:val="32"/>
          <w:szCs w:val="32"/>
        </w:rPr>
      </w:pPr>
      <w:r>
        <w:rPr>
          <w:rFonts w:hint="eastAsia"/>
          <w:sz w:val="32"/>
          <w:szCs w:val="32"/>
        </w:rPr>
        <w:t>53.农林水支出（类）林业（款）</w:t>
      </w:r>
      <w:r>
        <w:rPr>
          <w:rFonts w:hint="eastAsia" w:ascii="仿宋" w:hAnsi="仿宋"/>
          <w:sz w:val="32"/>
          <w:szCs w:val="32"/>
        </w:rPr>
        <w:t>林业事业机构（项）。反映事业单位基本支出，不包括行政单位（含实行公务员管理的事业单位）后勤服务中心等附属事业单位的支出。</w:t>
      </w:r>
    </w:p>
    <w:p>
      <w:pPr>
        <w:spacing w:line="600" w:lineRule="atLeast"/>
        <w:ind w:firstLine="640"/>
        <w:rPr>
          <w:rFonts w:ascii="仿宋" w:hAnsi="仿宋" w:eastAsia="仿宋"/>
          <w:sz w:val="32"/>
          <w:szCs w:val="32"/>
        </w:rPr>
      </w:pPr>
      <w:r>
        <w:rPr>
          <w:rFonts w:hint="eastAsia"/>
          <w:sz w:val="32"/>
          <w:szCs w:val="32"/>
        </w:rPr>
        <w:t>54农林水支出（类）水利（款）</w:t>
      </w:r>
      <w:r>
        <w:rPr>
          <w:rFonts w:hint="eastAsia" w:ascii="仿宋" w:hAnsi="仿宋"/>
          <w:sz w:val="32"/>
          <w:szCs w:val="32"/>
        </w:rPr>
        <w:t>其他水利支出（项）。反映除上述项目以外的其他水利支出。</w:t>
      </w:r>
    </w:p>
    <w:p>
      <w:pPr>
        <w:spacing w:line="600" w:lineRule="atLeast"/>
        <w:ind w:firstLine="640"/>
        <w:rPr>
          <w:rFonts w:ascii="仿宋" w:hAnsi="仿宋" w:eastAsia="仿宋"/>
          <w:sz w:val="32"/>
          <w:szCs w:val="32"/>
        </w:rPr>
      </w:pPr>
      <w:r>
        <w:rPr>
          <w:rFonts w:hint="eastAsia"/>
          <w:sz w:val="32"/>
          <w:szCs w:val="32"/>
        </w:rPr>
        <w:t>55.农林水支出（类）农村综合改革（款）</w:t>
      </w:r>
      <w:r>
        <w:rPr>
          <w:rFonts w:hint="eastAsia" w:ascii="仿宋" w:hAnsi="仿宋"/>
          <w:sz w:val="32"/>
          <w:szCs w:val="32"/>
        </w:rPr>
        <w:t>对村级一事一议的补助（项）。反映按规定对对村级一事一议的补助支出。</w:t>
      </w:r>
    </w:p>
    <w:p>
      <w:pPr>
        <w:spacing w:line="600" w:lineRule="atLeast"/>
        <w:ind w:firstLine="640"/>
        <w:rPr>
          <w:rFonts w:ascii="仿宋" w:hAnsi="仿宋" w:eastAsia="仿宋"/>
          <w:sz w:val="32"/>
          <w:szCs w:val="32"/>
        </w:rPr>
      </w:pPr>
      <w:r>
        <w:rPr>
          <w:rFonts w:hint="eastAsia"/>
          <w:sz w:val="32"/>
          <w:szCs w:val="32"/>
        </w:rPr>
        <w:t>56.农林水支出（类）其他农林水支出（款）其他农林水支出</w:t>
      </w:r>
      <w:r>
        <w:rPr>
          <w:rFonts w:hint="eastAsia" w:ascii="仿宋" w:hAnsi="仿宋"/>
          <w:sz w:val="32"/>
          <w:szCs w:val="32"/>
        </w:rPr>
        <w:t>（项）。反映对除上述项目以外的</w:t>
      </w:r>
      <w:r>
        <w:rPr>
          <w:rFonts w:hint="eastAsia"/>
          <w:sz w:val="32"/>
          <w:szCs w:val="32"/>
        </w:rPr>
        <w:t>其他农林水支出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57.资源勘探信息等支出（类）安全生产监管（款）</w:t>
      </w:r>
      <w:r>
        <w:rPr>
          <w:rFonts w:hint="eastAsia" w:ascii="仿宋" w:hAnsi="仿宋"/>
          <w:sz w:val="32"/>
          <w:szCs w:val="32"/>
        </w:rPr>
        <w:t>其他安全生产监管支出（项）。反映对上述项目以外的其他安全生产监管支出。</w:t>
      </w:r>
    </w:p>
    <w:p>
      <w:pPr>
        <w:spacing w:line="600" w:lineRule="atLeast"/>
        <w:ind w:firstLine="640"/>
        <w:rPr>
          <w:rFonts w:ascii="楷体" w:hAnsi="楷体" w:eastAsia="楷体" w:cs="Arial"/>
          <w:b/>
          <w:bCs/>
          <w:sz w:val="32"/>
          <w:szCs w:val="32"/>
        </w:rPr>
      </w:pPr>
      <w:r>
        <w:rPr>
          <w:rFonts w:hint="eastAsia"/>
          <w:sz w:val="32"/>
          <w:szCs w:val="32"/>
        </w:rPr>
        <w:t>58.资源勘探信息等支出（类）支持中小企业发展和管理支出（款）</w:t>
      </w:r>
      <w:r>
        <w:rPr>
          <w:rFonts w:hint="eastAsia" w:ascii="仿宋" w:hAnsi="仿宋"/>
          <w:sz w:val="32"/>
          <w:szCs w:val="32"/>
        </w:rPr>
        <w:t>其他支持中小企业发展和管理支出（项）。反映对除上述项目以外的其他支持中小企业发展和管理支出</w:t>
      </w:r>
      <w:r>
        <w:rPr>
          <w:rFonts w:hint="eastAsia"/>
        </w:rPr>
        <w:t>。</w:t>
      </w:r>
    </w:p>
    <w:p>
      <w:pPr>
        <w:spacing w:line="600" w:lineRule="atLeast"/>
        <w:ind w:firstLine="640"/>
        <w:rPr>
          <w:rFonts w:ascii="仿宋" w:hAnsi="仿宋" w:eastAsia="仿宋" w:cs="宋体"/>
          <w:sz w:val="32"/>
          <w:szCs w:val="32"/>
        </w:rPr>
      </w:pPr>
      <w:r>
        <w:rPr>
          <w:rFonts w:hint="eastAsia"/>
          <w:sz w:val="32"/>
          <w:szCs w:val="32"/>
        </w:rPr>
        <w:t>59.城乡社区支出（类）国有土地使用权出让收入及对应专项债务收入安排的支出（款）</w:t>
      </w:r>
      <w:r>
        <w:rPr>
          <w:rFonts w:hint="eastAsia" w:ascii="仿宋" w:hAnsi="仿宋"/>
          <w:sz w:val="32"/>
          <w:szCs w:val="32"/>
        </w:rPr>
        <w:t>土地开发支出（项）。反映从国有土地收益基金中安排用于收购贮备土地需要的前期土地开发性支出以及与前期土地开发相关的费用等支出。</w:t>
      </w:r>
    </w:p>
    <w:p>
      <w:pPr>
        <w:spacing w:line="600" w:lineRule="atLeast"/>
        <w:ind w:firstLine="640"/>
        <w:rPr>
          <w:rFonts w:ascii="仿宋" w:hAnsi="仿宋" w:eastAsia="仿宋"/>
          <w:sz w:val="32"/>
          <w:szCs w:val="32"/>
        </w:rPr>
      </w:pPr>
      <w:r>
        <w:rPr>
          <w:rFonts w:hint="eastAsia"/>
          <w:sz w:val="32"/>
          <w:szCs w:val="32"/>
        </w:rPr>
        <w:t>60.城乡社区支出（类）国有土地使用权出让收入及对应专项债务收入安排的支出（款）</w:t>
      </w:r>
      <w:r>
        <w:rPr>
          <w:rFonts w:hint="eastAsia" w:ascii="仿宋" w:hAnsi="仿宋"/>
          <w:sz w:val="32"/>
          <w:szCs w:val="32"/>
        </w:rPr>
        <w:t>城市建设支出（项）。反映除土地贮备专项债券、棚户区改造专项债券外，国有土地使用权出让收入对应其他专项债务收入安排的用于完善国有土地使用功能的配套设施建设和城市基础设施建设支出。</w:t>
      </w:r>
    </w:p>
    <w:p>
      <w:pPr>
        <w:spacing w:line="600" w:lineRule="atLeast"/>
        <w:ind w:firstLine="640"/>
        <w:rPr>
          <w:rFonts w:ascii="仿宋" w:hAnsi="仿宋" w:eastAsia="仿宋"/>
          <w:sz w:val="32"/>
          <w:szCs w:val="32"/>
        </w:rPr>
      </w:pPr>
      <w:r>
        <w:rPr>
          <w:rFonts w:hint="eastAsia"/>
          <w:sz w:val="32"/>
          <w:szCs w:val="32"/>
        </w:rPr>
        <w:t>61城乡社区支出（类）国有土地使用权出让收入及对应专项债务收入安排的支出（款）</w:t>
      </w:r>
      <w:r>
        <w:rPr>
          <w:rFonts w:hint="eastAsia" w:ascii="仿宋" w:hAnsi="仿宋"/>
          <w:sz w:val="32"/>
          <w:szCs w:val="32"/>
        </w:rPr>
        <w:t>其他国有土地使用权出让收入安排的支出（项）。反映除土地贮备专项债券、棚户区改造专项债券外，国有土地使用权出让收入对应其他专项债务收入安排的除上述项目以外的，用于其他方面的公益资本支出。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 xml:space="preserve"> 62.</w:t>
      </w:r>
      <w:r>
        <w:rPr>
          <w:rFonts w:hint="eastAsia"/>
          <w:sz w:val="32"/>
          <w:szCs w:val="32"/>
        </w:rPr>
        <w:t>城乡社区支出（类）城市基础设施配套费及对应专项债务收入安排的支出（款）</w:t>
      </w:r>
      <w:r>
        <w:rPr>
          <w:rFonts w:hint="eastAsia" w:ascii="仿宋" w:hAnsi="仿宋"/>
          <w:sz w:val="32"/>
          <w:szCs w:val="32"/>
        </w:rPr>
        <w:t>其他城市基础设施配套费安排的支出（项）。反映上述项目以外，城市基础设施配套费对应专项债务收入安排的公益性资本支出。</w:t>
      </w:r>
    </w:p>
    <w:p>
      <w:pPr>
        <w:spacing w:line="600" w:lineRule="atLeast"/>
        <w:ind w:firstLine="640"/>
        <w:rPr>
          <w:rFonts w:ascii="仿宋" w:hAnsi="仿宋" w:eastAsia="仿宋"/>
          <w:sz w:val="32"/>
          <w:szCs w:val="32"/>
        </w:rPr>
      </w:pPr>
      <w:r>
        <w:rPr>
          <w:rFonts w:hint="eastAsia"/>
          <w:sz w:val="32"/>
          <w:szCs w:val="32"/>
        </w:rPr>
        <w:t>63.其他支出（类）其他政府性基金及对应专项债务收入安排的支出（款）其他政府性基金及对应专项债务收入安排的支出</w:t>
      </w:r>
      <w:r>
        <w:rPr>
          <w:rFonts w:hint="eastAsia" w:ascii="仿宋" w:hAnsi="仿宋"/>
          <w:sz w:val="32"/>
          <w:szCs w:val="32"/>
        </w:rPr>
        <w:t>（项）。反映</w:t>
      </w:r>
      <w:r>
        <w:rPr>
          <w:rFonts w:hint="eastAsia"/>
          <w:sz w:val="32"/>
          <w:szCs w:val="32"/>
        </w:rPr>
        <w:t>其他政府性基金及对应专项债务收入安排的支出</w:t>
      </w:r>
      <w:r>
        <w:rPr>
          <w:rFonts w:hint="eastAsia" w:ascii="仿宋" w:hAnsi="仿宋"/>
          <w:sz w:val="32"/>
          <w:szCs w:val="32"/>
        </w:rPr>
        <w:t>。</w:t>
      </w:r>
    </w:p>
    <w:p>
      <w:pPr>
        <w:spacing w:line="600" w:lineRule="atLeast"/>
        <w:ind w:firstLine="640"/>
        <w:rPr>
          <w:rFonts w:ascii="仿宋" w:hAnsi="仿宋" w:eastAsia="仿宋"/>
          <w:sz w:val="32"/>
          <w:szCs w:val="32"/>
        </w:rPr>
      </w:pPr>
      <w:r>
        <w:rPr>
          <w:rFonts w:hint="eastAsia"/>
          <w:sz w:val="32"/>
          <w:szCs w:val="32"/>
        </w:rPr>
        <w:t>64.其他支出（类）彩票公益金及对应专项债务收入安排的支出（款）</w:t>
      </w:r>
      <w:r>
        <w:rPr>
          <w:rFonts w:hint="eastAsia" w:ascii="仿宋" w:hAnsi="仿宋"/>
          <w:sz w:val="32"/>
          <w:szCs w:val="32"/>
        </w:rPr>
        <w:t>用于社会福利的彩票公益金支出（项）。</w:t>
      </w:r>
      <w:r>
        <w:rPr>
          <w:rFonts w:hint="eastAsia" w:ascii="仿宋" w:hAnsi="仿宋" w:eastAsia="仿宋"/>
          <w:sz w:val="32"/>
          <w:szCs w:val="32"/>
        </w:rPr>
        <w:t xml:space="preserve">  </w:t>
      </w:r>
      <w:r>
        <w:rPr>
          <w:rFonts w:hint="eastAsia" w:ascii="仿宋" w:hAnsi="仿宋"/>
          <w:sz w:val="32"/>
          <w:szCs w:val="32"/>
        </w:rPr>
        <w:t>用于社会福利的彩票公益金支出。</w:t>
      </w:r>
    </w:p>
    <w:p>
      <w:pPr>
        <w:spacing w:line="600" w:lineRule="atLeast"/>
        <w:ind w:firstLine="640"/>
        <w:rPr>
          <w:rFonts w:ascii="仿宋" w:hAnsi="仿宋" w:eastAsia="仿宋"/>
          <w:sz w:val="32"/>
          <w:szCs w:val="32"/>
        </w:rPr>
      </w:pPr>
      <w:r>
        <w:rPr>
          <w:rFonts w:hint="eastAsia"/>
          <w:sz w:val="32"/>
          <w:szCs w:val="32"/>
        </w:rPr>
        <w:t>65.其他支出（类）彩票公益金及对应专项债务收入安排的支出（款）</w:t>
      </w:r>
      <w:r>
        <w:rPr>
          <w:rFonts w:hint="eastAsia" w:ascii="仿宋" w:hAnsi="仿宋"/>
          <w:sz w:val="32"/>
          <w:szCs w:val="32"/>
        </w:rPr>
        <w:t>用于残疾人事业的彩票公益金支出（项）。反映用于残疾人事业的彩票公益金支出。</w:t>
      </w:r>
    </w:p>
    <w:p>
      <w:r>
        <w:rPr>
          <w:rFonts w:hint="eastAsia"/>
          <w:sz w:val="32"/>
          <w:szCs w:val="32"/>
        </w:rPr>
        <w:t>66.其他支出（类）彩票公益金及对应专项债务收入安排的支出（款）</w:t>
      </w:r>
      <w:r>
        <w:rPr>
          <w:rFonts w:hint="eastAsia" w:ascii="仿宋" w:hAnsi="仿宋"/>
          <w:sz w:val="32"/>
          <w:szCs w:val="32"/>
        </w:rPr>
        <w:t>用于其他社会公益事业的彩票公益金支出（项）。反映用于其他社会公益事业的彩票公益金支出。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AB205"/>
    <w:multiLevelType w:val="multilevel"/>
    <w:tmpl w:val="A05AB205"/>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C18D7814"/>
    <w:multiLevelType w:val="multilevel"/>
    <w:tmpl w:val="C18D7814"/>
    <w:lvl w:ilvl="0" w:tentative="0">
      <w:start w:val="6"/>
      <w:numFmt w:val="chineseCounting"/>
      <w:suff w:val="nothing"/>
      <w:lvlText w:val="%1、"/>
      <w:lvlJc w:val="left"/>
      <w:pPr>
        <w:ind w:left="0" w:firstLine="0"/>
      </w:pPr>
      <w:rPr>
        <w:rFonts w:hint="eastAsia" w:ascii="宋体" w:hAnsi="宋体" w:eastAsia="宋体"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248DF3E"/>
    <w:multiLevelType w:val="multilevel"/>
    <w:tmpl w:val="F248DF3E"/>
    <w:lvl w:ilvl="0" w:tentative="0">
      <w:start w:val="3"/>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41988915"/>
    <w:multiLevelType w:val="multilevel"/>
    <w:tmpl w:val="41988915"/>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733E8"/>
    <w:rsid w:val="000711BE"/>
    <w:rsid w:val="005B6855"/>
    <w:rsid w:val="00741D26"/>
    <w:rsid w:val="008A0033"/>
    <w:rsid w:val="00B15E81"/>
    <w:rsid w:val="00D64674"/>
    <w:rsid w:val="00F36E09"/>
    <w:rsid w:val="050733E8"/>
    <w:rsid w:val="53271077"/>
    <w:rsid w:val="67650F80"/>
    <w:rsid w:val="68613B78"/>
    <w:rsid w:val="6AA12815"/>
    <w:rsid w:val="774B40D1"/>
    <w:rsid w:val="7D3A23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jc w:val="left"/>
    </w:pPr>
    <w:rPr>
      <w:rFonts w:hint="eastAsia" w:ascii="宋体" w:hAnsi="宋体" w:eastAsia="宋体" w:cs="Times New Roman"/>
      <w:kern w:val="0"/>
      <w:sz w:val="24"/>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宋体" w:hAnsi="宋体" w:eastAsia="宋体" w:cs="Times New Roman"/>
      <w:kern w:val="0"/>
      <w:sz w:val="24"/>
    </w:rPr>
  </w:style>
  <w:style w:type="character" w:customStyle="1" w:styleId="8">
    <w:name w:val="10"/>
    <w:basedOn w:val="7"/>
    <w:uiPriority w:val="0"/>
    <w:rPr>
      <w:rFonts w:hint="default" w:ascii="Times New Roman" w:hAnsi="Times New Roman" w:cs="Times New Roman"/>
    </w:rPr>
  </w:style>
  <w:style w:type="character" w:customStyle="1" w:styleId="9">
    <w:name w:val="15"/>
    <w:basedOn w:val="7"/>
    <w:qFormat/>
    <w:uiPriority w:val="0"/>
    <w:rPr>
      <w:rFonts w:hint="default" w:ascii="Times New Roman" w:hAnsi="Times New Roman" w:cs="Times New Roman"/>
      <w:b/>
    </w:rPr>
  </w:style>
  <w:style w:type="paragraph" w:customStyle="1" w:styleId="10">
    <w:name w:val="附注表格正文"/>
    <w:basedOn w:val="1"/>
    <w:qFormat/>
    <w:uiPriority w:val="0"/>
    <w:pPr>
      <w:jc w:val="right"/>
    </w:pPr>
    <w:rPr>
      <w:rFonts w:hint="eastAsia" w:ascii="宋体" w:hAnsi="宋体" w:eastAsia="宋体" w:cs="Times New Roman"/>
      <w:kern w:val="0"/>
      <w:sz w:val="18"/>
      <w:szCs w:val="18"/>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3417</Words>
  <Characters>19479</Characters>
  <Lines>162</Lines>
  <Paragraphs>45</Paragraphs>
  <TotalTime>20</TotalTime>
  <ScaleCrop>false</ScaleCrop>
  <LinksUpToDate>false</LinksUpToDate>
  <CharactersWithSpaces>22851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2020-09-25T09:16:00Z</dcterms:created>
  <dc:creator>cb</dc:creator>
  <cp:lastModifiedBy>浙江台温律师事务所</cp:lastModifiedBy>
  <cp:lastPrinted>2020-09-27T02:37:00Z</cp:lastPrinted>
  <dcterms:modified xsi:type="dcterms:W3CDTF">2022-06-17T07:15:01Z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