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B7" w:rsidRDefault="00667A95">
      <w:pPr>
        <w:pStyle w:val="a5"/>
        <w:widowControl/>
        <w:shd w:val="clear" w:color="auto" w:fill="FFFFFF"/>
        <w:spacing w:beforeAutospacing="0" w:afterAutospacing="0"/>
        <w:jc w:val="center"/>
        <w:rPr>
          <w:rFonts w:ascii="Arial" w:eastAsia="Arial" w:hAnsi="Arial" w:cs="Arial"/>
          <w:sz w:val="36"/>
          <w:szCs w:val="36"/>
        </w:rPr>
      </w:pPr>
      <w:r>
        <w:rPr>
          <w:rStyle w:val="a6"/>
          <w:rFonts w:ascii="黑体" w:eastAsia="黑体" w:hAnsi="宋体" w:cs="黑体" w:hint="eastAsia"/>
          <w:sz w:val="36"/>
          <w:szCs w:val="36"/>
          <w:shd w:val="clear" w:color="auto" w:fill="FFFFFF"/>
        </w:rPr>
        <w:t>温岭市农业农村和水利局</w:t>
      </w:r>
      <w:r>
        <w:rPr>
          <w:rStyle w:val="a6"/>
          <w:rFonts w:ascii="黑体" w:eastAsia="黑体" w:hAnsi="宋体" w:cs="黑体"/>
          <w:sz w:val="36"/>
          <w:szCs w:val="36"/>
          <w:shd w:val="clear" w:color="auto" w:fill="FFFFFF"/>
        </w:rPr>
        <w:t>2020年度单位决算</w:t>
      </w:r>
    </w:p>
    <w:p w:rsidR="00E676B7" w:rsidRDefault="00667A95">
      <w:pPr>
        <w:pStyle w:val="a5"/>
        <w:widowControl/>
        <w:shd w:val="clear" w:color="auto" w:fill="FFFFFF"/>
        <w:spacing w:beforeAutospacing="0" w:afterAutospacing="0"/>
        <w:jc w:val="center"/>
        <w:rPr>
          <w:rFonts w:ascii="Arial" w:eastAsia="Arial" w:hAnsi="Arial" w:cs="Arial"/>
          <w:sz w:val="18"/>
          <w:szCs w:val="18"/>
        </w:rPr>
      </w:pPr>
      <w:r>
        <w:rPr>
          <w:rStyle w:val="a6"/>
          <w:rFonts w:ascii="等线" w:eastAsia="等线" w:hAnsi="等线" w:cs="等线"/>
          <w:sz w:val="22"/>
          <w:szCs w:val="22"/>
          <w:shd w:val="clear" w:color="auto" w:fill="FFFFFF"/>
        </w:rPr>
        <w:t>目录</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一</w:t>
      </w:r>
      <w:r>
        <w:rPr>
          <w:rStyle w:val="a6"/>
          <w:rFonts w:ascii="等线" w:eastAsia="等线" w:hAnsi="等线" w:cs="等线" w:hint="eastAsia"/>
          <w:kern w:val="0"/>
          <w:sz w:val="22"/>
          <w:szCs w:val="22"/>
          <w:shd w:val="clear" w:color="auto" w:fill="FFFFFF"/>
        </w:rPr>
        <w:t>、</w:t>
      </w:r>
      <w:r>
        <w:rPr>
          <w:rStyle w:val="a6"/>
          <w:rFonts w:ascii="等线" w:eastAsia="等线" w:hAnsi="等线" w:cs="等线"/>
          <w:kern w:val="0"/>
          <w:sz w:val="22"/>
          <w:szCs w:val="22"/>
          <w:shd w:val="clear" w:color="auto" w:fill="FFFFFF"/>
        </w:rPr>
        <w:t>概况........................................................................................................(</w:t>
      </w:r>
      <w:r>
        <w:rPr>
          <w:rStyle w:val="a6"/>
          <w:rFonts w:ascii="等线" w:eastAsia="等线" w:hAnsi="等线" w:cs="等线" w:hint="eastAsia"/>
          <w:kern w:val="0"/>
          <w:sz w:val="22"/>
          <w:szCs w:val="22"/>
          <w:shd w:val="clear" w:color="auto" w:fill="FFFFFF"/>
        </w:rPr>
        <w:t>1</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（一）部门（单位）职责.................................................................................(</w:t>
      </w:r>
      <w:r>
        <w:rPr>
          <w:rStyle w:val="a6"/>
          <w:rFonts w:ascii="等线" w:eastAsia="等线" w:hAnsi="等线" w:cs="等线" w:hint="eastAsia"/>
          <w:kern w:val="0"/>
          <w:sz w:val="22"/>
          <w:szCs w:val="22"/>
          <w:shd w:val="clear" w:color="auto" w:fill="FFFFFF"/>
        </w:rPr>
        <w:t>1</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（二）机构设置..............................................................................................(</w:t>
      </w:r>
      <w:r>
        <w:rPr>
          <w:rStyle w:val="a6"/>
          <w:rFonts w:ascii="等线" w:eastAsia="等线" w:hAnsi="等线" w:cs="等线" w:hint="eastAsia"/>
          <w:kern w:val="0"/>
          <w:sz w:val="22"/>
          <w:szCs w:val="22"/>
          <w:shd w:val="clear" w:color="auto" w:fill="FFFFFF"/>
        </w:rPr>
        <w:t>8</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二、2020年度部门（单位）决算公开表.........................................................(</w:t>
      </w:r>
      <w:r>
        <w:rPr>
          <w:rStyle w:val="a6"/>
          <w:rFonts w:ascii="等线" w:eastAsia="等线" w:hAnsi="等线" w:cs="等线" w:hint="eastAsia"/>
          <w:kern w:val="0"/>
          <w:sz w:val="22"/>
          <w:szCs w:val="22"/>
          <w:shd w:val="clear" w:color="auto" w:fill="FFFFFF"/>
        </w:rPr>
        <w:t>9</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三、2020年度部门（单位）决算情况说明......................................................(</w:t>
      </w:r>
      <w:r>
        <w:rPr>
          <w:rStyle w:val="a6"/>
          <w:rFonts w:ascii="等线" w:eastAsia="等线" w:hAnsi="等线" w:cs="等线" w:hint="eastAsia"/>
          <w:kern w:val="0"/>
          <w:sz w:val="22"/>
          <w:szCs w:val="22"/>
          <w:shd w:val="clear" w:color="auto" w:fill="FFFFFF"/>
        </w:rPr>
        <w:t>9</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（一）收入支出决算总体情况说明..................................................................(</w:t>
      </w:r>
      <w:r>
        <w:rPr>
          <w:rStyle w:val="a6"/>
          <w:rFonts w:ascii="等线" w:eastAsia="等线" w:hAnsi="等线" w:cs="等线" w:hint="eastAsia"/>
          <w:kern w:val="0"/>
          <w:sz w:val="22"/>
          <w:szCs w:val="22"/>
          <w:shd w:val="clear" w:color="auto" w:fill="FFFFFF"/>
        </w:rPr>
        <w:t>9</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（二）收入决算情况说明...............................................................................(</w:t>
      </w:r>
      <w:r>
        <w:rPr>
          <w:rStyle w:val="a6"/>
          <w:rFonts w:ascii="等线" w:eastAsia="等线" w:hAnsi="等线" w:cs="等线" w:hint="eastAsia"/>
          <w:kern w:val="0"/>
          <w:sz w:val="22"/>
          <w:szCs w:val="22"/>
          <w:shd w:val="clear" w:color="auto" w:fill="FFFFFF"/>
        </w:rPr>
        <w:t>9</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（三）支出决算情况说明..............................................................................(</w:t>
      </w:r>
      <w:r>
        <w:rPr>
          <w:rStyle w:val="a6"/>
          <w:rFonts w:ascii="等线" w:eastAsia="等线" w:hAnsi="等线" w:cs="等线" w:hint="eastAsia"/>
          <w:kern w:val="0"/>
          <w:sz w:val="22"/>
          <w:szCs w:val="22"/>
          <w:shd w:val="clear" w:color="auto" w:fill="FFFFFF"/>
        </w:rPr>
        <w:t>10</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（四）财政拨款收入支出决算总体情况说明..................................................(</w:t>
      </w:r>
      <w:r>
        <w:rPr>
          <w:rStyle w:val="a6"/>
          <w:rFonts w:ascii="等线" w:eastAsia="等线" w:hAnsi="等线" w:cs="等线" w:hint="eastAsia"/>
          <w:kern w:val="0"/>
          <w:sz w:val="22"/>
          <w:szCs w:val="22"/>
          <w:shd w:val="clear" w:color="auto" w:fill="FFFFFF"/>
        </w:rPr>
        <w:t>10</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（五）一般公共预算财政拨款支出决算情况说明...........................................(</w:t>
      </w:r>
      <w:r>
        <w:rPr>
          <w:rStyle w:val="a6"/>
          <w:rFonts w:ascii="等线" w:eastAsia="等线" w:hAnsi="等线" w:cs="等线" w:hint="eastAsia"/>
          <w:kern w:val="0"/>
          <w:sz w:val="22"/>
          <w:szCs w:val="22"/>
          <w:shd w:val="clear" w:color="auto" w:fill="FFFFFF"/>
        </w:rPr>
        <w:t>10</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（六）一般公共预算财政拨款基本支出决算情况说明....................................(</w:t>
      </w:r>
      <w:r>
        <w:rPr>
          <w:rStyle w:val="a6"/>
          <w:rFonts w:ascii="等线" w:eastAsia="等线" w:hAnsi="等线" w:cs="等线" w:hint="eastAsia"/>
          <w:kern w:val="0"/>
          <w:sz w:val="22"/>
          <w:szCs w:val="22"/>
          <w:shd w:val="clear" w:color="auto" w:fill="FFFFFF"/>
        </w:rPr>
        <w:t>18</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（七）政府性基金预算财政拨款支出决算总体情况说明................................(</w:t>
      </w:r>
      <w:r>
        <w:rPr>
          <w:rStyle w:val="a6"/>
          <w:rFonts w:ascii="等线" w:eastAsia="等线" w:hAnsi="等线" w:cs="等线" w:hint="eastAsia"/>
          <w:kern w:val="0"/>
          <w:sz w:val="22"/>
          <w:szCs w:val="22"/>
          <w:shd w:val="clear" w:color="auto" w:fill="FFFFFF"/>
        </w:rPr>
        <w:t>19</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（八）国有资本经营预算财政拨款支出决算总体情况说明.............................(</w:t>
      </w:r>
      <w:r>
        <w:rPr>
          <w:rStyle w:val="a6"/>
          <w:rFonts w:ascii="等线" w:eastAsia="等线" w:hAnsi="等线" w:cs="等线" w:hint="eastAsia"/>
          <w:kern w:val="0"/>
          <w:sz w:val="22"/>
          <w:szCs w:val="22"/>
          <w:shd w:val="clear" w:color="auto" w:fill="FFFFFF"/>
        </w:rPr>
        <w:t>21</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（九）一般公共预算财政拨款“三公”经费支出决算情况说明......................(</w:t>
      </w:r>
      <w:r>
        <w:rPr>
          <w:rStyle w:val="a6"/>
          <w:rFonts w:ascii="等线" w:eastAsia="等线" w:hAnsi="等线" w:cs="等线" w:hint="eastAsia"/>
          <w:kern w:val="0"/>
          <w:sz w:val="22"/>
          <w:szCs w:val="22"/>
          <w:shd w:val="clear" w:color="auto" w:fill="FFFFFF"/>
        </w:rPr>
        <w:t>21</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（十）机关运行经费支出说明.......................................................................(</w:t>
      </w:r>
      <w:r>
        <w:rPr>
          <w:rStyle w:val="a6"/>
          <w:rFonts w:ascii="等线" w:eastAsia="等线" w:hAnsi="等线" w:cs="等线" w:hint="eastAsia"/>
          <w:kern w:val="0"/>
          <w:sz w:val="22"/>
          <w:szCs w:val="22"/>
          <w:shd w:val="clear" w:color="auto" w:fill="FFFFFF"/>
        </w:rPr>
        <w:t>23</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（十一）政府采购支出说明..........................................................................(</w:t>
      </w:r>
      <w:r>
        <w:rPr>
          <w:rStyle w:val="a6"/>
          <w:rFonts w:ascii="等线" w:eastAsia="等线" w:hAnsi="等线" w:cs="等线" w:hint="eastAsia"/>
          <w:kern w:val="0"/>
          <w:sz w:val="22"/>
          <w:szCs w:val="22"/>
          <w:shd w:val="clear" w:color="auto" w:fill="FFFFFF"/>
        </w:rPr>
        <w:t>23</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（十二）国有资产占有情况说明...................................................................(</w:t>
      </w:r>
      <w:r>
        <w:rPr>
          <w:rStyle w:val="a6"/>
          <w:rFonts w:ascii="等线" w:eastAsia="等线" w:hAnsi="等线" w:cs="等线" w:hint="eastAsia"/>
          <w:kern w:val="0"/>
          <w:sz w:val="22"/>
          <w:szCs w:val="22"/>
          <w:shd w:val="clear" w:color="auto" w:fill="FFFFFF"/>
        </w:rPr>
        <w:t>23</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等线" w:eastAsia="等线" w:hAnsi="等线" w:cs="等线"/>
          <w:kern w:val="0"/>
          <w:sz w:val="22"/>
          <w:szCs w:val="22"/>
          <w:shd w:val="clear" w:color="auto" w:fill="FFFFFF"/>
        </w:rPr>
        <w:t>（十三）预算绩效情况说明..........................................................................(</w:t>
      </w:r>
      <w:r>
        <w:rPr>
          <w:rStyle w:val="a6"/>
          <w:rFonts w:ascii="等线" w:eastAsia="等线" w:hAnsi="等线" w:cs="等线" w:hint="eastAsia"/>
          <w:kern w:val="0"/>
          <w:sz w:val="22"/>
          <w:szCs w:val="22"/>
          <w:shd w:val="clear" w:color="auto" w:fill="FFFFFF"/>
        </w:rPr>
        <w:t>24</w:t>
      </w:r>
      <w:r>
        <w:rPr>
          <w:rStyle w:val="a6"/>
          <w:rFonts w:ascii="等线" w:eastAsia="等线" w:hAnsi="等线" w:cs="等线"/>
          <w:kern w:val="0"/>
          <w:sz w:val="22"/>
          <w:szCs w:val="22"/>
          <w:shd w:val="clear" w:color="auto" w:fill="FFFFFF"/>
        </w:rPr>
        <w:t>)</w:t>
      </w:r>
    </w:p>
    <w:p w:rsidR="00E676B7" w:rsidRDefault="00667A95">
      <w:pPr>
        <w:widowControl/>
        <w:shd w:val="clear" w:color="auto" w:fill="FFFFFF"/>
        <w:spacing w:line="600" w:lineRule="atLeast"/>
        <w:ind w:firstLine="640"/>
        <w:rPr>
          <w:rStyle w:val="a6"/>
          <w:rFonts w:ascii="等线" w:eastAsia="等线" w:hAnsi="等线" w:cs="等线"/>
          <w:kern w:val="0"/>
          <w:sz w:val="22"/>
          <w:szCs w:val="22"/>
          <w:shd w:val="clear" w:color="auto" w:fill="FFFFFF"/>
        </w:rPr>
      </w:pPr>
      <w:r>
        <w:rPr>
          <w:rStyle w:val="a6"/>
          <w:rFonts w:ascii="等线" w:eastAsia="等线" w:hAnsi="等线" w:cs="等线"/>
          <w:kern w:val="0"/>
          <w:sz w:val="22"/>
          <w:szCs w:val="22"/>
          <w:shd w:val="clear" w:color="auto" w:fill="FFFFFF"/>
        </w:rPr>
        <w:t>四、名词解释...............................................................................................(</w:t>
      </w:r>
      <w:r>
        <w:rPr>
          <w:rStyle w:val="a6"/>
          <w:rFonts w:ascii="等线" w:eastAsia="等线" w:hAnsi="等线" w:cs="等线" w:hint="eastAsia"/>
          <w:kern w:val="0"/>
          <w:sz w:val="22"/>
          <w:szCs w:val="22"/>
          <w:shd w:val="clear" w:color="auto" w:fill="FFFFFF"/>
        </w:rPr>
        <w:t>26</w:t>
      </w:r>
      <w:r>
        <w:rPr>
          <w:rStyle w:val="a6"/>
          <w:rFonts w:ascii="等线" w:eastAsia="等线" w:hAnsi="等线" w:cs="等线"/>
          <w:kern w:val="0"/>
          <w:sz w:val="22"/>
          <w:szCs w:val="22"/>
          <w:shd w:val="clear" w:color="auto" w:fill="FFFFFF"/>
        </w:rPr>
        <w:t>)</w:t>
      </w:r>
    </w:p>
    <w:p w:rsidR="00E676B7" w:rsidRDefault="00E676B7">
      <w:pPr>
        <w:widowControl/>
        <w:shd w:val="clear" w:color="auto" w:fill="FFFFFF"/>
        <w:spacing w:line="600" w:lineRule="atLeast"/>
        <w:ind w:firstLine="640"/>
        <w:rPr>
          <w:rStyle w:val="a6"/>
          <w:rFonts w:ascii="等线" w:eastAsia="等线" w:hAnsi="等线" w:cs="等线"/>
          <w:kern w:val="0"/>
          <w:sz w:val="22"/>
          <w:szCs w:val="22"/>
          <w:shd w:val="clear" w:color="auto" w:fill="FFFFFF"/>
        </w:rPr>
      </w:pPr>
    </w:p>
    <w:p w:rsidR="00E676B7" w:rsidRDefault="00E676B7">
      <w:pPr>
        <w:widowControl/>
        <w:shd w:val="clear" w:color="auto" w:fill="FFFFFF"/>
        <w:spacing w:line="600" w:lineRule="atLeast"/>
        <w:ind w:firstLine="640"/>
        <w:rPr>
          <w:rStyle w:val="a6"/>
          <w:rFonts w:ascii="黑体" w:eastAsia="黑体" w:hAnsi="宋体" w:cs="黑体"/>
          <w:kern w:val="0"/>
          <w:sz w:val="32"/>
          <w:szCs w:val="32"/>
          <w:shd w:val="clear" w:color="auto" w:fill="FFFFFF"/>
        </w:rPr>
        <w:sectPr w:rsidR="00E676B7">
          <w:pgSz w:w="11906" w:h="16838"/>
          <w:pgMar w:top="1440" w:right="1800" w:bottom="1440" w:left="1800" w:header="851" w:footer="992" w:gutter="0"/>
          <w:pgNumType w:start="1"/>
          <w:cols w:space="425"/>
          <w:docGrid w:type="lines" w:linePitch="312"/>
        </w:sectPr>
      </w:pP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黑体" w:eastAsia="黑体" w:hAnsi="宋体" w:cs="黑体" w:hint="eastAsia"/>
          <w:kern w:val="0"/>
          <w:sz w:val="32"/>
          <w:szCs w:val="32"/>
          <w:shd w:val="clear" w:color="auto" w:fill="FFFFFF"/>
        </w:rPr>
        <w:lastRenderedPageBreak/>
        <w:t>一、概况</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kern w:val="0"/>
          <w:sz w:val="32"/>
          <w:szCs w:val="32"/>
          <w:shd w:val="clear" w:color="auto" w:fill="FFFFFF"/>
        </w:rPr>
        <w:t>（一）部门（单位）职责</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仿宋_GB2312"/>
          <w:kern w:val="0"/>
          <w:sz w:val="32"/>
          <w:szCs w:val="32"/>
        </w:rPr>
        <w:t>统筹研究、组织编制和实施全市</w:t>
      </w:r>
      <w:r>
        <w:rPr>
          <w:rFonts w:ascii="仿宋_GB2312" w:eastAsia="仿宋_GB2312" w:hAnsi="宋体" w:cs="宋体"/>
          <w:kern w:val="0"/>
          <w:sz w:val="32"/>
          <w:szCs w:val="32"/>
        </w:rPr>
        <w:t>“</w:t>
      </w:r>
      <w:r>
        <w:rPr>
          <w:rFonts w:ascii="仿宋_GB2312" w:eastAsia="仿宋_GB2312" w:hAnsi="宋体" w:cs="仿宋_GB2312"/>
          <w:kern w:val="0"/>
          <w:sz w:val="32"/>
          <w:szCs w:val="32"/>
        </w:rPr>
        <w:t>三农</w:t>
      </w:r>
      <w:r>
        <w:rPr>
          <w:rFonts w:ascii="宋体" w:eastAsia="宋体" w:hAnsi="宋体" w:cs="宋体" w:hint="eastAsia"/>
          <w:kern w:val="0"/>
          <w:sz w:val="32"/>
          <w:szCs w:val="32"/>
        </w:rPr>
        <w:t>”</w:t>
      </w:r>
      <w:r>
        <w:rPr>
          <w:rFonts w:ascii="仿宋_GB2312" w:eastAsia="仿宋_GB2312" w:hAnsi="宋体" w:cs="仿宋_GB2312"/>
          <w:kern w:val="0"/>
          <w:sz w:val="32"/>
          <w:szCs w:val="32"/>
        </w:rPr>
        <w:t>和水资源等水利工作中长期规划、重大政策。负责保障水资源的合理开发利用。组织起草农业农村水利有关规范性文件，承担农业综合执法。参与涉农涉水的相关政策制定。</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仿宋_GB2312"/>
          <w:kern w:val="0"/>
          <w:sz w:val="32"/>
          <w:szCs w:val="32"/>
        </w:rPr>
        <w:t>负责生活、生产经营和生态环境用水的统筹和保障。组织实施最严格水资源管理制度，实施水资源的统一监督管理。拟订全市水量分配方案并监督实施。负责全市水资源调度，组织实施取水许可、水资源论证和防洪论证制度，指导开展水资源有偿使用工作。指导水利行业供水、农村供水工作。</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仿宋_GB2312"/>
          <w:kern w:val="0"/>
          <w:sz w:val="32"/>
          <w:szCs w:val="32"/>
        </w:rPr>
        <w:t>按规定制定水利工程建设与管理的有关制度并组织实施。负责提出水利固定资产投资规模、方向、具体安排建议并组织指导实施。按规定权限审核规划内和年度计划规模内固定资产投资项目，提出上级补助资金和市级财政性水利资金安排建议并负责项目实施的监督管理。</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4.</w:t>
      </w:r>
      <w:r>
        <w:rPr>
          <w:rFonts w:ascii="仿宋_GB2312" w:eastAsia="仿宋_GB2312" w:hAnsi="宋体" w:cs="仿宋_GB2312"/>
          <w:kern w:val="0"/>
          <w:sz w:val="32"/>
          <w:szCs w:val="32"/>
        </w:rPr>
        <w:t>统筹推动发展全市农村社会事业、农村公共服务、农村文化、农村基础设施和乡村治理。组织实施</w:t>
      </w:r>
      <w:r>
        <w:rPr>
          <w:rFonts w:ascii="仿宋_GB2312" w:eastAsia="仿宋_GB2312" w:hAnsi="宋体" w:cs="宋体"/>
          <w:kern w:val="0"/>
          <w:sz w:val="32"/>
          <w:szCs w:val="32"/>
        </w:rPr>
        <w:t>“</w:t>
      </w:r>
      <w:r>
        <w:rPr>
          <w:rFonts w:ascii="仿宋_GB2312" w:eastAsia="仿宋_GB2312" w:hAnsi="宋体" w:cs="仿宋_GB2312"/>
          <w:kern w:val="0"/>
          <w:sz w:val="32"/>
          <w:szCs w:val="32"/>
        </w:rPr>
        <w:t>十村示范、百村整治</w:t>
      </w:r>
      <w:r>
        <w:rPr>
          <w:rFonts w:ascii="宋体" w:eastAsia="宋体" w:hAnsi="宋体" w:cs="宋体" w:hint="eastAsia"/>
          <w:kern w:val="0"/>
          <w:sz w:val="32"/>
          <w:szCs w:val="32"/>
        </w:rPr>
        <w:t>”</w:t>
      </w:r>
      <w:r>
        <w:rPr>
          <w:rFonts w:ascii="仿宋_GB2312" w:eastAsia="仿宋_GB2312" w:hAnsi="宋体" w:cs="仿宋_GB2312"/>
          <w:kern w:val="0"/>
          <w:sz w:val="32"/>
          <w:szCs w:val="32"/>
        </w:rPr>
        <w:t>工程，牵头组织改善农村人居环境。指导农村精神文明和优秀农耕文化建设。</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5.</w:t>
      </w:r>
      <w:r>
        <w:rPr>
          <w:rFonts w:ascii="仿宋_GB2312" w:eastAsia="仿宋_GB2312" w:hAnsi="宋体" w:cs="仿宋_GB2312"/>
          <w:kern w:val="0"/>
          <w:sz w:val="32"/>
          <w:szCs w:val="32"/>
        </w:rPr>
        <w:t>拟订深化农村经济体制改革和巩固完善农村基本经营制度的政策及配套措施。负责农民承包地、农村宅基地改革和管理有关工作。负责农村集体产权制度改革，指导农村集体经济组织发展和集体资产管理工作。指导农民合作经济组织、农业社会化服务体系、新型农业经营主体建设与发展。指导国有农场建设管理工作。</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6.</w:t>
      </w:r>
      <w:r>
        <w:rPr>
          <w:rFonts w:ascii="仿宋_GB2312" w:eastAsia="仿宋_GB2312" w:hAnsi="宋体" w:cs="仿宋_GB2312"/>
          <w:kern w:val="0"/>
          <w:sz w:val="32"/>
          <w:szCs w:val="32"/>
        </w:rPr>
        <w:t>负责高效生态农业产业体系建设。指导乡村特色产业、农产品加工业、休闲农业和农家乐发展工作。提出促进大宗农产品流通的建议，培育、保护农业品牌。指导农产品营销管理工作和农业展示展销活动。发布农业农村经济信息，监测分析农业农村经济运行。承担农业统计和农业农村信息化有关工作。</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7.</w:t>
      </w:r>
      <w:r>
        <w:rPr>
          <w:rFonts w:ascii="仿宋_GB2312" w:eastAsia="仿宋_GB2312" w:hAnsi="宋体" w:cs="仿宋_GB2312"/>
          <w:kern w:val="0"/>
          <w:sz w:val="32"/>
          <w:szCs w:val="32"/>
        </w:rPr>
        <w:t>负责种植业、畜牧业、农业机械化等农业各产业的监督管理。指导粮食等农产品生产。组织构建现代农业产业体系、生产体系、经营体系，指导农业标准化生产。负责农业机械、农药使用安全生产监督管理，负责农家乐安全管理工作，指导休闲观光农业安全管理工作，指导农业行业安全生产工作。落实农业农村领域生态环境保护要求，配合做好农业生态环境污染的调查处理工作。</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8.</w:t>
      </w:r>
      <w:r>
        <w:rPr>
          <w:rFonts w:ascii="仿宋_GB2312" w:eastAsia="仿宋_GB2312" w:hAnsi="宋体" w:cs="仿宋_GB2312"/>
          <w:kern w:val="0"/>
          <w:sz w:val="32"/>
          <w:szCs w:val="32"/>
        </w:rPr>
        <w:t>负责农产品质量安全监督管理，组织开展农产品质量安全监测、追溯。参与制定农产品质量安全地方标准并会同有关部门组织实施。指导农业检验检测体系建设。负责划定农产品禁止生产区域。</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9.</w:t>
      </w:r>
      <w:r>
        <w:rPr>
          <w:rFonts w:ascii="仿宋_GB2312" w:eastAsia="仿宋_GB2312" w:hAnsi="宋体" w:cs="仿宋_GB2312"/>
          <w:kern w:val="0"/>
          <w:sz w:val="32"/>
          <w:szCs w:val="32"/>
        </w:rPr>
        <w:t>负责农业资源管理。指导农用地、农业生物物种资源的保护与管理，负责永久基本农田质量保护工作。指导农产品产地环境管理和农业清洁生产。指导设施农业、生态循环农业、节水农业发展以及农村可再生能源综合开发利用、农业生物质产业发展。牵头管理外来物种。</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10.</w:t>
      </w:r>
      <w:r>
        <w:rPr>
          <w:rFonts w:ascii="仿宋_GB2312" w:eastAsia="仿宋_GB2312" w:hAnsi="宋体" w:cs="仿宋_GB2312"/>
          <w:kern w:val="0"/>
          <w:sz w:val="32"/>
          <w:szCs w:val="32"/>
        </w:rPr>
        <w:t>负责有关农业生产资料和农业投入品的监督管理。组织农业生产资料市场体系建设，组织实施有关农业生产资料地方标准。依法开展农业行政许可及其监督管理。组织兽医医政、兽药药政药检工作，负责执业兽医和畜禽屠宰行业管理。开展兽医器械和有关肥料的监督管理。</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11.</w:t>
      </w:r>
      <w:r>
        <w:rPr>
          <w:rFonts w:ascii="仿宋_GB2312" w:eastAsia="仿宋_GB2312" w:hAnsi="宋体" w:cs="仿宋_GB2312"/>
          <w:kern w:val="0"/>
          <w:sz w:val="32"/>
          <w:szCs w:val="32"/>
        </w:rPr>
        <w:t>负责农业防灾减灾、农作物重大病虫害监测防治工作。指导动植物防疫检疫体系建设，组织、监督市内动植物防疫检疫工作，监测动植物疫情疫病，依法发布疫情并组织扑灭。负责落实水利综合防灾减灾规划相关要求，组织编制洪水干旱灾害防治规划和防护标准并指导实施。承担水情旱情监测预警工作。组织编制重要河湖和重要水工程的防御洪水抗御旱灾调度及应急水量调度方案，按程序报批并组织实施。承担防御洪水、台风暴潮应急抢险的技术支撑工作。承担重要水工程调度工作。承担洪泛区、蓄滞洪区和防洪保护区的洪水影响评价工作。组织制定水旱灾害防御水利相关政策并监督实施。</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12.</w:t>
      </w:r>
      <w:r>
        <w:rPr>
          <w:rFonts w:ascii="仿宋_GB2312" w:eastAsia="仿宋_GB2312" w:hAnsi="宋体" w:cs="仿宋_GB2312"/>
          <w:kern w:val="0"/>
          <w:sz w:val="32"/>
          <w:szCs w:val="32"/>
        </w:rPr>
        <w:t>负责农业投资管理。提出农业投融资体制机制改革、农业投资规模和方向、扶持农业农村发展财政项目的建议。编制市级投资安排的农业投资项目建设规划。按规定权限审批农业投资项目，负责农业投资项目资金安排和监督管理。</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13.</w:t>
      </w:r>
      <w:r>
        <w:rPr>
          <w:rFonts w:ascii="仿宋_GB2312" w:eastAsia="仿宋_GB2312" w:hAnsi="宋体" w:cs="仿宋_GB2312"/>
          <w:kern w:val="0"/>
          <w:sz w:val="32"/>
          <w:szCs w:val="32"/>
        </w:rPr>
        <w:t>指导水资源保护工作。组织编制并实施全市水资源开发利用和保护规划。指导开展饮用水水源保护有关工作，指导地下水开发利用和地下水资源管理保护。组织指导地下水超采区综合治理。</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14.</w:t>
      </w:r>
      <w:r>
        <w:rPr>
          <w:rFonts w:ascii="仿宋_GB2312" w:eastAsia="仿宋_GB2312" w:hAnsi="宋体" w:cs="仿宋_GB2312"/>
          <w:kern w:val="0"/>
          <w:sz w:val="32"/>
          <w:szCs w:val="32"/>
        </w:rPr>
        <w:t>负责节约用水工作。拟订节约用水政策，组织编制节约用水规划并监督实施。组织实施用水总量控制等管理制度，组织、指导、监督全市节约用水工作，指导和推动节水型社会建设工作。</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15.</w:t>
      </w:r>
      <w:r>
        <w:rPr>
          <w:rFonts w:ascii="仿宋_GB2312" w:eastAsia="仿宋_GB2312" w:hAnsi="宋体" w:cs="仿宋_GB2312"/>
          <w:kern w:val="0"/>
          <w:sz w:val="32"/>
          <w:szCs w:val="32"/>
        </w:rPr>
        <w:t>负责水文工作。负责水文水资源监测、水文站网建设和管理，对河湖库和地下水实施监测，发布水文水资源信息、情报预报和全市水资源公报。按规定组织开展水资源调查评价和水资源承载能力监测预警工作。指导水利信息化工作。</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16.</w:t>
      </w:r>
      <w:r>
        <w:rPr>
          <w:rFonts w:ascii="仿宋_GB2312" w:eastAsia="仿宋_GB2312" w:hAnsi="宋体" w:cs="仿宋_GB2312"/>
          <w:kern w:val="0"/>
          <w:sz w:val="32"/>
          <w:szCs w:val="32"/>
        </w:rPr>
        <w:t>指导水利设施、水域及其岸线的管理、保护与综合利用。负责水利基础设施网络建设。实施重要江河、湖泊、水库、山塘及河口的治理、开发和保护。组织编制水域保护规划并监督实施。指导河湖水生态保护与修复、河湖生态流量水量管理、水面保洁以及河湖水系连通工作。指导实施</w:t>
      </w:r>
      <w:r>
        <w:rPr>
          <w:rFonts w:ascii="仿宋_GB2312" w:eastAsia="仿宋_GB2312" w:hAnsi="宋体" w:cs="宋体"/>
          <w:kern w:val="0"/>
          <w:sz w:val="32"/>
          <w:szCs w:val="32"/>
        </w:rPr>
        <w:t>“</w:t>
      </w:r>
      <w:r>
        <w:rPr>
          <w:rFonts w:ascii="仿宋_GB2312" w:eastAsia="仿宋_GB2312" w:hAnsi="宋体" w:cs="仿宋_GB2312"/>
          <w:kern w:val="0"/>
          <w:sz w:val="32"/>
          <w:szCs w:val="32"/>
        </w:rPr>
        <w:t>河长制</w:t>
      </w:r>
      <w:r>
        <w:rPr>
          <w:rFonts w:ascii="宋体" w:eastAsia="宋体" w:hAnsi="宋体" w:cs="宋体" w:hint="eastAsia"/>
          <w:kern w:val="0"/>
          <w:sz w:val="32"/>
          <w:szCs w:val="32"/>
        </w:rPr>
        <w:t>”</w:t>
      </w:r>
      <w:r>
        <w:rPr>
          <w:rFonts w:ascii="仿宋_GB2312" w:eastAsia="仿宋_GB2312" w:hAnsi="宋体" w:cs="仿宋_GB2312"/>
          <w:kern w:val="0"/>
          <w:sz w:val="32"/>
          <w:szCs w:val="32"/>
        </w:rPr>
        <w:t>和</w:t>
      </w:r>
      <w:r>
        <w:rPr>
          <w:rFonts w:ascii="宋体" w:eastAsia="宋体" w:hAnsi="宋体" w:cs="宋体" w:hint="eastAsia"/>
          <w:kern w:val="0"/>
          <w:sz w:val="32"/>
          <w:szCs w:val="32"/>
        </w:rPr>
        <w:t>“</w:t>
      </w:r>
      <w:r>
        <w:rPr>
          <w:rFonts w:ascii="仿宋_GB2312" w:eastAsia="仿宋_GB2312" w:hAnsi="宋体" w:cs="仿宋_GB2312"/>
          <w:kern w:val="0"/>
          <w:sz w:val="32"/>
          <w:szCs w:val="32"/>
        </w:rPr>
        <w:t>五水共治</w:t>
      </w:r>
      <w:r>
        <w:rPr>
          <w:rFonts w:ascii="宋体" w:eastAsia="宋体" w:hAnsi="宋体" w:cs="宋体" w:hint="eastAsia"/>
          <w:kern w:val="0"/>
          <w:sz w:val="32"/>
          <w:szCs w:val="32"/>
        </w:rPr>
        <w:t>”</w:t>
      </w:r>
      <w:r>
        <w:rPr>
          <w:rFonts w:ascii="仿宋_GB2312" w:eastAsia="仿宋_GB2312" w:hAnsi="宋体" w:cs="仿宋_GB2312"/>
          <w:kern w:val="0"/>
          <w:sz w:val="32"/>
          <w:szCs w:val="32"/>
        </w:rPr>
        <w:t>水利工作。负责滩涂围垦相关工作。</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17.</w:t>
      </w:r>
      <w:r>
        <w:rPr>
          <w:rFonts w:ascii="仿宋_GB2312" w:eastAsia="仿宋_GB2312" w:hAnsi="宋体" w:cs="仿宋_GB2312"/>
          <w:kern w:val="0"/>
          <w:sz w:val="32"/>
          <w:szCs w:val="32"/>
        </w:rPr>
        <w:t>指导监督水利工程建设与运行管理。组织实施具有控制性的和跨区域跨流域的重要水利工程建设与运行管理。组织提出并协调落实市直管工程建设运行和后续工程建设的有关政策措施，指导监督工程安全运行，组织工程验收有关工作，指导监督镇（街道）、村配套工程建设。按分工负责水利行业生态环境保护工作，组织开展水利建设与运行管理市场的监督管理。</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18.</w:t>
      </w:r>
      <w:r>
        <w:rPr>
          <w:rFonts w:ascii="仿宋_GB2312" w:eastAsia="仿宋_GB2312" w:hAnsi="宋体" w:cs="仿宋_GB2312"/>
          <w:kern w:val="0"/>
          <w:sz w:val="32"/>
          <w:szCs w:val="32"/>
        </w:rPr>
        <w:t>负责水土保持工作。拟订水土保持规划并监督实施，组织实施水土流失的综合防治。负责建设项目水土保持监督管理工作，指导市重点水土保持建设项目的实施。</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19.</w:t>
      </w:r>
      <w:r>
        <w:rPr>
          <w:rFonts w:ascii="仿宋_GB2312" w:eastAsia="仿宋_GB2312" w:hAnsi="宋体" w:cs="仿宋_GB2312"/>
          <w:kern w:val="0"/>
          <w:sz w:val="32"/>
          <w:szCs w:val="32"/>
        </w:rPr>
        <w:t>指导农村水利工作。组织开展中型灌排工程建设与改造。指导圩区防洪排涝工程和农村饮水安全工程、山塘和堰坝等建设与管理，指导节水灌溉有关工作。指导农村水利改革创新和社会化服务体系建设。按规定组织开展水能资源调查评价。指导农村水能资源开发、小水电改造、水电农村电气化和绿色水电创建工作。</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w:t>
      </w:r>
      <w:r>
        <w:rPr>
          <w:rFonts w:ascii="仿宋_GB2312" w:eastAsia="仿宋_GB2312" w:hAnsi="宋体" w:cs="仿宋_GB2312"/>
          <w:kern w:val="0"/>
          <w:sz w:val="32"/>
          <w:szCs w:val="32"/>
        </w:rPr>
        <w:t>承担水政监察和水行政执法，负责涉水违法事件的查处，指导协调水事纠纷的处理。负责水利行业安全生产监督管理，指导水库、山塘、海塘、水电站、堰坝等水利工程的安全生产管理工作。按规定组织开展大坝安全鉴定，水库除险加固保安、工程划界、标准化管理等工作。组织实施水利工程建设的监督。</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21.</w:t>
      </w:r>
      <w:r>
        <w:rPr>
          <w:rFonts w:ascii="仿宋_GB2312" w:eastAsia="仿宋_GB2312" w:hAnsi="宋体" w:cs="仿宋_GB2312"/>
          <w:kern w:val="0"/>
          <w:sz w:val="32"/>
          <w:szCs w:val="32"/>
        </w:rPr>
        <w:t>推动农业水利科技体制改革和农业水利技术推广队伍体系建设。指导农业产业技术体系、农技水利推广体系建设，组织开展农业水利领域应用技术研究、成果转化、技术推广。组织开展水利行业质量监督工作，监督实施水利行业技术标准、规程规范、定额。指导水利信息化工作。负责农</w:t>
      </w:r>
      <w:r>
        <w:rPr>
          <w:rFonts w:ascii="仿宋_GB2312" w:eastAsia="仿宋_GB2312" w:hAnsi="宋体" w:cs="仿宋_GB2312"/>
          <w:kern w:val="0"/>
          <w:sz w:val="32"/>
          <w:szCs w:val="32"/>
        </w:rPr>
        <w:lastRenderedPageBreak/>
        <w:t>业转基因生物安全监督管理和农业植物新品种保护，按分工负责农业野生植物保护工作。</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22.</w:t>
      </w:r>
      <w:r>
        <w:rPr>
          <w:rFonts w:ascii="仿宋_GB2312" w:eastAsia="仿宋_GB2312" w:hAnsi="宋体" w:cs="仿宋_GB2312"/>
          <w:kern w:val="0"/>
          <w:sz w:val="32"/>
          <w:szCs w:val="32"/>
        </w:rPr>
        <w:t>负责农业农村水利人才工作。拟订农业农村人才队伍建设规划并组织实施，负责农业教育和农业职业技能开发，组织新型职业农民培育、农业水利科技人才培养和农村实用人才培训工作。</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23.</w:t>
      </w:r>
      <w:r>
        <w:rPr>
          <w:rFonts w:ascii="仿宋_GB2312" w:eastAsia="仿宋_GB2312" w:hAnsi="宋体" w:cs="仿宋_GB2312"/>
          <w:kern w:val="0"/>
          <w:sz w:val="32"/>
          <w:szCs w:val="32"/>
        </w:rPr>
        <w:t>组织开展农业水利对外合作和交流工作。承办有关农业水利涉外事务，组织开展农业水利贸易促进和有关国际交流合作，参与有关农业水利对外援助项目。</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24.</w:t>
      </w:r>
      <w:r>
        <w:rPr>
          <w:rFonts w:ascii="仿宋_GB2312" w:eastAsia="仿宋_GB2312" w:hAnsi="宋体" w:cs="仿宋_GB2312"/>
          <w:kern w:val="0"/>
          <w:sz w:val="32"/>
          <w:szCs w:val="32"/>
        </w:rPr>
        <w:t>拟订扶贫开发工作规划和政策并指导实施，协调督促扶贫开发工作。完成上级扶贫机构交办的有关工作。承担市扶贫工作领导小组办公室的日常工作。会同有关部门衔接重点帮扶工作。</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25.</w:t>
      </w:r>
      <w:r>
        <w:rPr>
          <w:rFonts w:ascii="仿宋_GB2312" w:eastAsia="仿宋_GB2312" w:hAnsi="宋体" w:cs="仿宋_GB2312"/>
          <w:kern w:val="0"/>
          <w:sz w:val="32"/>
          <w:szCs w:val="32"/>
        </w:rPr>
        <w:t>完成市委、市政府交办的其他任务。</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26.</w:t>
      </w:r>
      <w:r>
        <w:rPr>
          <w:rFonts w:ascii="仿宋_GB2312" w:eastAsia="仿宋_GB2312" w:hAnsi="宋体" w:cs="仿宋_GB2312"/>
          <w:kern w:val="0"/>
          <w:sz w:val="32"/>
          <w:szCs w:val="32"/>
        </w:rPr>
        <w:t>职能转变。</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①</w:t>
      </w:r>
      <w:r>
        <w:rPr>
          <w:rFonts w:ascii="仿宋_GB2312" w:eastAsia="仿宋_GB2312" w:hAnsi="宋体" w:cs="仿宋_GB2312"/>
          <w:kern w:val="0"/>
          <w:sz w:val="32"/>
          <w:szCs w:val="32"/>
        </w:rPr>
        <w:t>统筹实施乡村振兴战略，深化农业供给侧结构性改革，推进农业绿色发展，提升农业发展质量，持续深化</w:t>
      </w:r>
      <w:r>
        <w:rPr>
          <w:rFonts w:ascii="仿宋_GB2312" w:eastAsia="仿宋_GB2312" w:hAnsi="宋体" w:cs="宋体"/>
          <w:kern w:val="0"/>
          <w:sz w:val="32"/>
          <w:szCs w:val="32"/>
        </w:rPr>
        <w:t>“</w:t>
      </w:r>
      <w:r>
        <w:rPr>
          <w:rFonts w:ascii="仿宋_GB2312" w:eastAsia="仿宋_GB2312" w:hAnsi="宋体" w:cs="仿宋_GB2312"/>
          <w:kern w:val="0"/>
          <w:sz w:val="32"/>
          <w:szCs w:val="32"/>
        </w:rPr>
        <w:t>十</w:t>
      </w:r>
      <w:r>
        <w:rPr>
          <w:rFonts w:ascii="仿宋_GB2312" w:eastAsia="仿宋_GB2312" w:hAnsi="宋体" w:cs="仿宋_GB2312"/>
          <w:kern w:val="0"/>
          <w:sz w:val="32"/>
          <w:szCs w:val="32"/>
        </w:rPr>
        <w:lastRenderedPageBreak/>
        <w:t>村示范、百村整治</w:t>
      </w:r>
      <w:r>
        <w:rPr>
          <w:rFonts w:ascii="宋体" w:eastAsia="宋体" w:hAnsi="宋体" w:cs="宋体" w:hint="eastAsia"/>
          <w:kern w:val="0"/>
          <w:sz w:val="32"/>
          <w:szCs w:val="32"/>
        </w:rPr>
        <w:t>”</w:t>
      </w:r>
      <w:r>
        <w:rPr>
          <w:rFonts w:ascii="仿宋_GB2312" w:eastAsia="仿宋_GB2312" w:hAnsi="宋体" w:cs="仿宋_GB2312"/>
          <w:kern w:val="0"/>
          <w:sz w:val="32"/>
          <w:szCs w:val="32"/>
        </w:rPr>
        <w:t>工程，推进美丽乡村建设，推动农业全面升级、农村全面进步、农民全面发展，高水平实现农业农村现代化。</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②</w:t>
      </w:r>
      <w:r>
        <w:rPr>
          <w:rFonts w:ascii="仿宋_GB2312" w:eastAsia="仿宋_GB2312" w:hAnsi="宋体" w:cs="仿宋_GB2312"/>
          <w:kern w:val="0"/>
          <w:sz w:val="32"/>
          <w:szCs w:val="32"/>
        </w:rPr>
        <w:t>加强农产品质量安全和相关农业生产资料、农业投入品的监督管理，坚持最严谨的标准、最严格的监管、最严厉的处罚、最严肃的问责，严防、严管、严控质量安全风险，建立农产品质量安全智慧监管体系和协同处置机制，让人民群众吃得放心、安心。</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③</w:t>
      </w:r>
      <w:r>
        <w:rPr>
          <w:rFonts w:ascii="仿宋_GB2312" w:eastAsia="仿宋_GB2312" w:hAnsi="宋体" w:cs="仿宋_GB2312"/>
          <w:kern w:val="0"/>
          <w:sz w:val="32"/>
          <w:szCs w:val="32"/>
        </w:rPr>
        <w:t>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坚持建管并重，加强水利工程管理工作。</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④</w:t>
      </w:r>
      <w:r>
        <w:rPr>
          <w:rFonts w:ascii="仿宋_GB2312" w:eastAsia="仿宋_GB2312" w:hAnsi="宋体" w:cs="仿宋_GB2312"/>
          <w:kern w:val="0"/>
          <w:sz w:val="32"/>
          <w:szCs w:val="32"/>
        </w:rPr>
        <w:t>深入推进简政放权、放管结合、优化服务改革，推动</w:t>
      </w:r>
      <w:r>
        <w:rPr>
          <w:rFonts w:ascii="仿宋_GB2312" w:eastAsia="仿宋_GB2312" w:hAnsi="宋体" w:cs="宋体"/>
          <w:kern w:val="0"/>
          <w:sz w:val="32"/>
          <w:szCs w:val="32"/>
        </w:rPr>
        <w:t>“</w:t>
      </w:r>
      <w:r>
        <w:rPr>
          <w:rFonts w:ascii="仿宋_GB2312" w:eastAsia="仿宋_GB2312" w:hAnsi="宋体" w:cs="仿宋_GB2312"/>
          <w:kern w:val="0"/>
          <w:sz w:val="32"/>
          <w:szCs w:val="32"/>
        </w:rPr>
        <w:t>最多跑一次</w:t>
      </w:r>
      <w:r>
        <w:rPr>
          <w:rFonts w:ascii="宋体" w:eastAsia="宋体" w:hAnsi="宋体" w:cs="宋体" w:hint="eastAsia"/>
          <w:kern w:val="0"/>
          <w:sz w:val="32"/>
          <w:szCs w:val="32"/>
        </w:rPr>
        <w:t>”</w:t>
      </w:r>
      <w:r>
        <w:rPr>
          <w:rFonts w:ascii="仿宋_GB2312" w:eastAsia="仿宋_GB2312" w:hAnsi="宋体" w:cs="仿宋_GB2312"/>
          <w:kern w:val="0"/>
          <w:sz w:val="32"/>
          <w:szCs w:val="32"/>
        </w:rPr>
        <w:t>改革向纵深发展。推动数字化转型，实现</w:t>
      </w:r>
      <w:r>
        <w:rPr>
          <w:rFonts w:ascii="宋体" w:eastAsia="宋体" w:hAnsi="宋体" w:cs="宋体" w:hint="eastAsia"/>
          <w:kern w:val="0"/>
          <w:sz w:val="32"/>
          <w:szCs w:val="32"/>
        </w:rPr>
        <w:t>“</w:t>
      </w:r>
      <w:r>
        <w:rPr>
          <w:rFonts w:ascii="仿宋_GB2312" w:eastAsia="仿宋_GB2312" w:hAnsi="宋体" w:cs="仿宋_GB2312"/>
          <w:kern w:val="0"/>
          <w:sz w:val="32"/>
          <w:szCs w:val="32"/>
        </w:rPr>
        <w:t>掌上办事、掌上办公</w:t>
      </w:r>
      <w:r>
        <w:rPr>
          <w:rFonts w:ascii="宋体" w:eastAsia="宋体" w:hAnsi="宋体" w:cs="宋体" w:hint="eastAsia"/>
          <w:kern w:val="0"/>
          <w:sz w:val="32"/>
          <w:szCs w:val="32"/>
        </w:rPr>
        <w:t>”</w:t>
      </w:r>
      <w:r>
        <w:rPr>
          <w:rFonts w:ascii="仿宋_GB2312" w:eastAsia="仿宋_GB2312" w:hAnsi="宋体" w:cs="仿宋_GB2312"/>
          <w:kern w:val="0"/>
          <w:sz w:val="32"/>
          <w:szCs w:val="32"/>
        </w:rPr>
        <w:t>。加强农业投资项目的统筹整合，最大</w:t>
      </w:r>
      <w:r>
        <w:rPr>
          <w:rFonts w:ascii="仿宋_GB2312" w:eastAsia="仿宋_GB2312" w:hAnsi="宋体" w:cs="仿宋_GB2312"/>
          <w:kern w:val="0"/>
          <w:sz w:val="32"/>
          <w:szCs w:val="32"/>
        </w:rPr>
        <w:lastRenderedPageBreak/>
        <w:t>限度缩小项目审批范围，加强事中事后监管，切实提升支农政策效果和财政资金使用效益。</w:t>
      </w:r>
    </w:p>
    <w:p w:rsidR="00E676B7" w:rsidRDefault="00667A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⑤</w:t>
      </w:r>
      <w:r>
        <w:rPr>
          <w:rFonts w:ascii="仿宋_GB2312" w:eastAsia="仿宋_GB2312" w:hAnsi="宋体" w:cs="仿宋_GB2312"/>
          <w:kern w:val="0"/>
          <w:sz w:val="32"/>
          <w:szCs w:val="32"/>
        </w:rPr>
        <w:t>与市市场监督管理局有关职责分工。市农业农村和水利局负责食用农产品从种植养殖环节到进入批发、零售市场或生产加工企业前的质量安全监督管理。市市场监督管理局负责食用农产品进入批发、零售市场或生产加工企业后的监督管理。市农业农村和水利局负责动植物疫病防控、畜禽屠宰环节、生鲜乳收购环节质量安全的监督管理。两部门要建立食品安全产地准出、市场准入和追溯机制，加强协调配合和工作衔接，形成监管合力。</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（二）机构设置</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从预算单位构成看，本单位是温岭市农业农村和水利局单位下的二级预算单位。</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从预算单位构成看，本单位内设：办公室、党建工作科（直属机关党委）、人事科教科（人才科）、规划计划科（节约用水办公室）、行政审批科、乡村振兴建设科（社会发展科）、乡村产业科、农牧业管理科（农产品质量安全监管科）、建设科、运行管理科、财务科、市委市政府农业农村工作领导小组办公室秘书科、农村宅基地管理科、市农业综合行政</w:t>
      </w:r>
      <w:r>
        <w:rPr>
          <w:rFonts w:ascii="仿宋" w:eastAsia="仿宋" w:hAnsi="仿宋" w:cs="仿宋" w:hint="eastAsia"/>
          <w:kern w:val="0"/>
          <w:sz w:val="32"/>
          <w:szCs w:val="32"/>
          <w:shd w:val="clear" w:color="auto" w:fill="FFFFFF"/>
        </w:rPr>
        <w:lastRenderedPageBreak/>
        <w:t>执法队、市河道水保总站、市乡村振兴促进中心、市农村发展研究中心（市农村宅基地事务中心）、市农业技术推广总站、市农村经营总站、市水旱灾害防御中心（市水文中心）、市水库海塘总站、市农业水利建设总站、市节约用水服务中心、市农水大数据中心、市植保耕肥能源总站、市水利工程质量安全站、市城区农业农村和水利工作站、市泽大农业农村和水利工作站、市箬松农业农村和水利工作站、市新滨农业农村和水利工作站（市金清闸事务所）、市温西农业农村和水利工作站（市江厦排涝隧洞工程事务所）、市城南农业农村和水利工作站（市担屿塘事务所）、市东部农业农村和水利工作站（市东海塘事务所）、市湖漫水库事务所、市太湖水库事务所。</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黑体" w:eastAsia="黑体" w:hAnsi="宋体" w:cs="黑体" w:hint="eastAsia"/>
          <w:kern w:val="0"/>
          <w:sz w:val="32"/>
          <w:szCs w:val="32"/>
          <w:shd w:val="clear" w:color="auto" w:fill="FFFFFF"/>
        </w:rPr>
        <w:t>二、2020年度部门（单位）决算公开表</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详见附表。</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黑体" w:eastAsia="黑体" w:hAnsi="宋体" w:cs="黑体" w:hint="eastAsia"/>
          <w:kern w:val="0"/>
          <w:sz w:val="32"/>
          <w:szCs w:val="32"/>
          <w:shd w:val="clear" w:color="auto" w:fill="FFFFFF"/>
        </w:rPr>
        <w:t>三、2020年度部门（单位）决算情况说明</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（一）收入支出决算总体情况说明</w:t>
      </w:r>
    </w:p>
    <w:p w:rsidR="00E676B7" w:rsidRPr="00156F3B"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2020年度收入总计69,150.70万元，支出总计69,150.70万元,与2019年度相比，各减少1,188.69万元，下降1.69%。主要原因是：上下年规模</w:t>
      </w:r>
      <w:r w:rsidRPr="00156F3B">
        <w:rPr>
          <w:rFonts w:ascii="仿宋" w:eastAsia="仿宋" w:hAnsi="仿宋" w:cs="仿宋" w:hint="eastAsia"/>
          <w:kern w:val="0"/>
          <w:sz w:val="32"/>
          <w:szCs w:val="32"/>
          <w:shd w:val="clear" w:color="auto" w:fill="FFFFFF"/>
        </w:rPr>
        <w:t>基本一致</w:t>
      </w:r>
      <w:r w:rsidR="00AC78B0" w:rsidRPr="00156F3B">
        <w:rPr>
          <w:rFonts w:ascii="仿宋" w:eastAsia="仿宋" w:hAnsi="仿宋" w:cs="仿宋" w:hint="eastAsia"/>
          <w:kern w:val="0"/>
          <w:sz w:val="32"/>
          <w:szCs w:val="32"/>
          <w:shd w:val="clear" w:color="auto" w:fill="FFFFFF"/>
        </w:rPr>
        <w:t>，项目支出较上年</w:t>
      </w:r>
      <w:r w:rsidR="008774A6" w:rsidRPr="00156F3B">
        <w:rPr>
          <w:rFonts w:ascii="仿宋" w:eastAsia="仿宋" w:hAnsi="仿宋" w:cs="仿宋" w:hint="eastAsia"/>
          <w:kern w:val="0"/>
          <w:sz w:val="32"/>
          <w:szCs w:val="32"/>
          <w:shd w:val="clear" w:color="auto" w:fill="FFFFFF"/>
        </w:rPr>
        <w:t>有所</w:t>
      </w:r>
      <w:r w:rsidR="00AC78B0" w:rsidRPr="00156F3B">
        <w:rPr>
          <w:rFonts w:ascii="仿宋" w:eastAsia="仿宋" w:hAnsi="仿宋" w:cs="仿宋" w:hint="eastAsia"/>
          <w:kern w:val="0"/>
          <w:sz w:val="32"/>
          <w:szCs w:val="32"/>
          <w:shd w:val="clear" w:color="auto" w:fill="FFFFFF"/>
        </w:rPr>
        <w:t>减少</w:t>
      </w:r>
      <w:r w:rsidRPr="00156F3B">
        <w:rPr>
          <w:rFonts w:ascii="仿宋" w:eastAsia="仿宋" w:hAnsi="仿宋" w:cs="仿宋" w:hint="eastAsia"/>
          <w:kern w:val="0"/>
          <w:sz w:val="32"/>
          <w:szCs w:val="3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（二）收入决算情况说明</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lastRenderedPageBreak/>
        <w:t>本年收入合计69,150.70万元；包括财政拨款收入67,783.40万元（其中，一般公共预算42,028.34万元，政府性基金预算25,755.06万元,国有资本经营预算0万元），占收入合计98.02%；上级补助收入0万元，占收入合计0%；事业收入0万元，占收入合计0%；经营收入0万元，占收入合计0%；附属单位上缴收入0万元，占收入合计0%；其他收入1,367.30万元，占收入合计1.98%。</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（三）支出决算情况说明</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本年支出合计69,150.70万元，其中基本支出10,242.50万元，占14.81%；项目支出58,908.20万元，占85.19%；上缴上级支出0万元，占0%；经营支出0万元，占0%；对附属单位补助支出0万元，占0%。</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（四）财政拨款收入支出决算总体情况说明</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2020年度财政拨款收入总计67,783.40万元，支出总计67,783.40万元，与2019年相比，各减少2,0</w:t>
      </w:r>
      <w:r w:rsidRPr="00156F3B">
        <w:rPr>
          <w:rFonts w:ascii="仿宋" w:eastAsia="仿宋" w:hAnsi="仿宋" w:cs="仿宋" w:hint="eastAsia"/>
          <w:kern w:val="0"/>
          <w:sz w:val="32"/>
          <w:szCs w:val="32"/>
          <w:shd w:val="clear" w:color="auto" w:fill="FFFFFF"/>
        </w:rPr>
        <w:t>25.99万元，下降2.90%。主要原因是：上下年规模基本相近</w:t>
      </w:r>
      <w:r w:rsidR="00046CE3" w:rsidRPr="00156F3B">
        <w:rPr>
          <w:rFonts w:ascii="仿宋" w:eastAsia="仿宋" w:hAnsi="仿宋" w:cs="仿宋" w:hint="eastAsia"/>
          <w:kern w:val="0"/>
          <w:sz w:val="32"/>
          <w:szCs w:val="32"/>
          <w:shd w:val="clear" w:color="auto" w:fill="FFFFFF"/>
        </w:rPr>
        <w:t>，项目支出较上年有所减少</w:t>
      </w:r>
      <w:r w:rsidRPr="00156F3B">
        <w:rPr>
          <w:rFonts w:ascii="仿宋" w:eastAsia="仿宋" w:hAnsi="仿宋" w:cs="仿宋" w:hint="eastAsia"/>
          <w:kern w:val="0"/>
          <w:sz w:val="32"/>
          <w:szCs w:val="32"/>
          <w:shd w:val="clear" w:color="auto" w:fill="FFFFFF"/>
        </w:rPr>
        <w:t>；财政拨款支出年初预算数59908.22万</w:t>
      </w:r>
      <w:r>
        <w:rPr>
          <w:rFonts w:ascii="仿宋" w:eastAsia="仿宋" w:hAnsi="仿宋" w:cs="仿宋" w:hint="eastAsia"/>
          <w:kern w:val="0"/>
          <w:sz w:val="32"/>
          <w:szCs w:val="32"/>
          <w:shd w:val="clear" w:color="auto" w:fill="FFFFFF"/>
        </w:rPr>
        <w:t>元，完成年初预算的113.15%，</w:t>
      </w:r>
      <w:r>
        <w:rPr>
          <w:rFonts w:ascii="仿宋" w:eastAsia="仿宋" w:hAnsi="仿宋" w:cs="Arial" w:hint="eastAsia"/>
          <w:kern w:val="0"/>
          <w:sz w:val="32"/>
          <w:szCs w:val="32"/>
        </w:rPr>
        <w:t>主要原因</w:t>
      </w:r>
      <w:r>
        <w:rPr>
          <w:rFonts w:ascii="仿宋" w:eastAsia="仿宋" w:hAnsi="仿宋" w:cs="仿宋" w:hint="eastAsia"/>
          <w:kern w:val="0"/>
          <w:sz w:val="32"/>
          <w:szCs w:val="32"/>
          <w:shd w:val="clear" w:color="auto" w:fill="FFFFFF"/>
        </w:rPr>
        <w:t>是年中下达的省补资金净增加。</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（五）一般公共预算财政拨款支出决算情况说明</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仿宋" w:eastAsia="仿宋" w:hAnsi="仿宋" w:cs="仿宋" w:hint="eastAsia"/>
          <w:kern w:val="0"/>
          <w:sz w:val="32"/>
          <w:szCs w:val="32"/>
          <w:shd w:val="clear" w:color="auto" w:fill="FFFFFF"/>
        </w:rPr>
        <w:t>1.一般公共预算财政拨款支出决算总体情况。</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lastRenderedPageBreak/>
        <w:t>2020年度一般公共预算财政拨款支出42,028.34万元，占本年支出合计的60.78%。与2019年相比，一般公共预算财政拨款支出减少3,352.86万元，下降7.39%。主要原因是资金来源结构性调整。</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仿宋" w:eastAsia="仿宋" w:hAnsi="仿宋" w:cs="仿宋" w:hint="eastAsia"/>
          <w:kern w:val="0"/>
          <w:sz w:val="32"/>
          <w:szCs w:val="32"/>
          <w:shd w:val="clear" w:color="auto" w:fill="FFFFFF"/>
        </w:rPr>
        <w:t>2.一般公共预算财政拨款支出决算结构情况。</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2020年度一般公共预算财政拨款支出42,028.34万元，主要用于以下方面：一般公共服务（类）支出69.53万元，占0.17%；国防（类）支出0万元,占0%；公共安全（类）支出0万元,占0%；教育（类）支出10.10万元,占0.02%；科学技术（类）支出0万元,占0%；文化旅游体育与传媒（类）支出0万元,占0%；社会保障和就业（类）支出975.46万元,占2.32%；卫生健康（类）支出0万元,占0%；节能环保（类）支出0万元,占0%；城乡社区（类）支出0万元,占0%；农林水（类）支出38,881.97万元,占92.51%；交通运输（类）支出0万元,占0%；资源勘探工业信息等（类）支出0万元,占0%；商业服务业等（类）支出0万元,占0%；金融（类）支出0万元,占0%；援助其他地区（类）支出0万元,占0%；自然资源海洋气象等（类）支出48.77万元,占0.12%；住房保障（类）支出0万元,占0%；粮油物资储备（类）支出0万元,占0%；灾害防治及应急管理（类）支出2,042.51万元,占4.86%；其他（类）支出0万元,占0%；债务还本（类）支出0万元,占0%；债务付息（类）支出0万元,占0%。</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仿宋" w:eastAsia="仿宋" w:hAnsi="仿宋" w:cs="仿宋" w:hint="eastAsia"/>
          <w:kern w:val="0"/>
          <w:sz w:val="32"/>
          <w:szCs w:val="32"/>
          <w:shd w:val="clear" w:color="auto" w:fill="FFFFFF"/>
        </w:rPr>
        <w:lastRenderedPageBreak/>
        <w:t>3.一般公共预算财政拨款支出决算具体情况。</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2020年度一般公共预算财政拨款支出年初预算为29,448.22万元，支出决算为42,028.34万元,完成年初预算的142.72%，主要原因一是省补资金追加</w:t>
      </w:r>
      <w:r>
        <w:rPr>
          <w:rFonts w:ascii="仿宋" w:eastAsia="仿宋" w:hAnsi="仿宋" w:cs="Arial" w:hint="eastAsia"/>
          <w:kern w:val="0"/>
          <w:sz w:val="32"/>
          <w:szCs w:val="32"/>
        </w:rPr>
        <w:t>；二是存在上年结转但未纳入年初预算的资金</w:t>
      </w:r>
      <w:r>
        <w:rPr>
          <w:rFonts w:ascii="仿宋" w:eastAsia="仿宋" w:hAnsi="仿宋" w:cs="仿宋" w:hint="eastAsia"/>
          <w:kern w:val="0"/>
          <w:sz w:val="32"/>
          <w:szCs w:val="32"/>
          <w:shd w:val="clear" w:color="auto" w:fill="FFFFFF"/>
        </w:rPr>
        <w:t>。其中：</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一般公共服务支出（类）其他一般公共服务支出（款）其他一般公共服务支出（项）。年初预算为0万元，支出决算为69.53万元，决算数大于预算数的主要原因是车辆购置预算部门不安排，实际购买时追加，因此决算大于预算。</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教育支出（类）其他教育支出（款）其他教育支出（项）。年初预算为0万元，支出决算为10.10万元，决算数大于预算数的主要原因是年中省教育厅下达2020年学生资助补助经费16万元，支出10.10万元。</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社会保障和就业支出（类）行政事业单位养老支出（款）行政单位离退休（项）。年初预算为130.60万元，支出决算为111.73万元，完成年初预算的85.55%，决算数小于预算数的主要原因：部分支出列支在在职的个人家庭经费中，造成该项经费有结余。</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社会保障和就业支出（类）行政事业单位养老支出（款）机关事业单位基本养老保险缴费支出（项）。年初预算为606.44万元，支出决算为576.53万元，完成年初预算的</w:t>
      </w:r>
      <w:r>
        <w:rPr>
          <w:rFonts w:ascii="仿宋" w:eastAsia="仿宋" w:hAnsi="仿宋" w:cs="仿宋" w:hint="eastAsia"/>
          <w:kern w:val="0"/>
          <w:sz w:val="32"/>
          <w:szCs w:val="32"/>
          <w:shd w:val="clear" w:color="auto" w:fill="FFFFFF"/>
        </w:rPr>
        <w:lastRenderedPageBreak/>
        <w:t>95.07%，决算数同年初预算数基本一致，是因为严格执行年初预算的计划安排。</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社会保障和就业支出（类）行政事业单位养老支出（款）机关事业单位职业年金缴费支出（项）。年初预算为303.22万元，支出决算为287.20万元，完成年初预算的94.72%，决算数同年初预算数基本一致，是因为严格执行年初预算的计划安排。</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农林水支出（类）农业农村（款）行政运行（项）。年初预算为1,823.08万元，支出决算为1,854.13万元，完成年初预算的101.70%，决算数大于预算数的主要原因是因年中畜牧兽医所、农机总站部分人员编制调整至局本级，基本经费调整至局本级。</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农林水支出（类）农业农村（款）一般行政管理事务（项）。年初预算为895万元，支出决算为812.49万元，完成年初预算的89.33%，决算数小于预算数的主要原因取消农业科技信息宣传普及项目60万元、档案管理费核减5万元、办公楼及宿舍楼安全处置经费结余14.70万元。</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农林水支出（类）农业农村（款）事业运行（项）。年初预算为6,306.01万元，支出决算为6,303.34万元，完成年初预算的99.96%，决算数同年初预算数基本一致，是因为严格执行年初预算的计划安排。</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lastRenderedPageBreak/>
        <w:t>农林水支出（类）农业农村（款）科技转化与推广服务（项）。年初预算为286.08万元，支出决算为195.79万元，完成年初预算的68.44%，决算数小于预算数的主要原因是农作物种业发展核减15万元、人事科教工作经费（省补）60万元列入下一年计划。</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农林水支出（类）农业农村（款）病虫害控制（项）。年初预算为485万元，支出决算为413.5万元，完成年初预算的85.26%，决算数小于预算数的主要原因是预算编制时部分上年结转和省补资金支出“项”设置错误，其中45万元预算指标实际安排在其他农业农村支出项中，实际执行率93.98%，基本严格执行年初预算的计划安排。</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农林水支出（类）农业农村（款）农产品质量安全（项）。年初预算为55万元，支出决算为53.61万元，完成年初预算的97.47%，决算数同年初预算数基本一致，是因为严格执行年初预算的计划安排。</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农林水支出（类）农业农村（款）执法监管（项）。年初预算为200.01万元，支出决算为31.01万元，完成年初预算的15.50%，决算数小于预算数的主要原因是预算编制时部分上年结转和省补资金支出“项”设置错误，其中169万预算指标实际安排在其他农业农村支出项中，实际执行率为100%，严格执行年初预算的计划安排。</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lastRenderedPageBreak/>
        <w:t>农林水支出（类）农业农村（款）统计监测与信息服务（项）。年初预算为150.05万元，支出决算为51.92万元，完成年初预算的34.60%，决算数小于预算数的主要原因是预算编制时部分上年结转和省补资金支出“项”设置错误，其中98.05万元预算指标实际安排在其他农业农村支出项中，实际执行率为99.85%，决算数同年初预算数基本一致，是因为严格执行年初预算的计划安排。</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农林水支出（类）农业农村（款）防灾救灾（项）。年初预算为0万元，支出决算为7万元，决算数大于预算数的主要原因是年中省农业厅追加植保检疫经费7万元。</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农林水支出（类）农业农村（款）农业资源保护修复与利用（项）。年初预算为224.14万元，支出决算为28.75万元，完成年初预算的12.83%，决算数小于预算数的主要原因是其中171.15万元预算指标实际为国库其他资金；预算编制时部分上年结转和省补资金支出“项”设置错误，实际在农业资源保护修复与利用项中安排预算指标23.6万元。实际执行率为72.6%，当年工作任务已完成，资金结转下年。</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农林水支出（类）农业农村（款）农田建设（项）。年初预算为1392.67万元，支出决算为46.18万元，完成年初预算的3.32%，决算数小于预算数的主要原因是预算编制时部分上年结转和省补资金支出“项”设置错误，其中502.47万元预算指标实际安排在其他农业农村支出项中，又因为省</w:t>
      </w:r>
      <w:r>
        <w:rPr>
          <w:rFonts w:ascii="仿宋" w:eastAsia="仿宋" w:hAnsi="仿宋" w:cs="仿宋" w:hint="eastAsia"/>
          <w:kern w:val="0"/>
          <w:sz w:val="32"/>
          <w:szCs w:val="32"/>
          <w:shd w:val="clear" w:color="auto" w:fill="FFFFFF"/>
        </w:rPr>
        <w:lastRenderedPageBreak/>
        <w:t>补农田建设资金远大于工作任务，实际执行率为5.19%，部分多余资金省厅2021年已下文清回。</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农林水支出（类）农业农村（款）</w:t>
      </w:r>
      <w:r>
        <w:rPr>
          <w:rFonts w:ascii="仿宋" w:eastAsia="仿宋" w:hAnsi="仿宋" w:cs="Arial" w:hint="eastAsia"/>
          <w:kern w:val="0"/>
          <w:sz w:val="32"/>
          <w:szCs w:val="32"/>
        </w:rPr>
        <w:t>其他农业农村支出（项）。年初预算为9</w:t>
      </w:r>
      <w:r>
        <w:rPr>
          <w:rFonts w:ascii="仿宋" w:eastAsia="仿宋" w:hAnsi="仿宋" w:cs="仿宋" w:hint="eastAsia"/>
          <w:kern w:val="0"/>
          <w:sz w:val="32"/>
          <w:szCs w:val="32"/>
          <w:shd w:val="clear" w:color="auto" w:fill="FFFFFF"/>
        </w:rPr>
        <w:t>,</w:t>
      </w:r>
      <w:r>
        <w:rPr>
          <w:rFonts w:ascii="仿宋" w:eastAsia="仿宋" w:hAnsi="仿宋" w:cs="Arial" w:hint="eastAsia"/>
          <w:kern w:val="0"/>
          <w:sz w:val="32"/>
          <w:szCs w:val="32"/>
        </w:rPr>
        <w:t>414.42万元，支出决算为20</w:t>
      </w:r>
      <w:r>
        <w:rPr>
          <w:rFonts w:ascii="仿宋" w:eastAsia="仿宋" w:hAnsi="仿宋" w:cs="仿宋" w:hint="eastAsia"/>
          <w:kern w:val="0"/>
          <w:sz w:val="32"/>
          <w:szCs w:val="32"/>
          <w:shd w:val="clear" w:color="auto" w:fill="FFFFFF"/>
        </w:rPr>
        <w:t>,</w:t>
      </w:r>
      <w:r>
        <w:rPr>
          <w:rFonts w:ascii="仿宋" w:eastAsia="仿宋" w:hAnsi="仿宋" w:cs="Arial" w:hint="eastAsia"/>
          <w:kern w:val="0"/>
          <w:sz w:val="32"/>
          <w:szCs w:val="32"/>
        </w:rPr>
        <w:t>786.35万元，完成年初预算的220.79%，决算数大于预算数的主要原因是年中预算项目的资金来源调整。</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农林水支出（类）水利（款）</w:t>
      </w:r>
      <w:r>
        <w:rPr>
          <w:rFonts w:ascii="仿宋" w:eastAsia="仿宋" w:hAnsi="仿宋" w:cs="Arial" w:hint="eastAsia"/>
          <w:kern w:val="0"/>
          <w:sz w:val="32"/>
          <w:szCs w:val="32"/>
        </w:rPr>
        <w:t>水利工程建设（项）。年初预算为2</w:t>
      </w:r>
      <w:r>
        <w:rPr>
          <w:rFonts w:ascii="仿宋" w:eastAsia="仿宋" w:hAnsi="仿宋" w:cs="仿宋" w:hint="eastAsia"/>
          <w:kern w:val="0"/>
          <w:sz w:val="32"/>
          <w:szCs w:val="32"/>
          <w:shd w:val="clear" w:color="auto" w:fill="FFFFFF"/>
        </w:rPr>
        <w:t>,</w:t>
      </w:r>
      <w:r>
        <w:rPr>
          <w:rFonts w:ascii="仿宋" w:eastAsia="仿宋" w:hAnsi="仿宋" w:cs="Arial" w:hint="eastAsia"/>
          <w:kern w:val="0"/>
          <w:sz w:val="32"/>
          <w:szCs w:val="32"/>
        </w:rPr>
        <w:t>360万元，支出决算为1</w:t>
      </w:r>
      <w:r>
        <w:rPr>
          <w:rFonts w:ascii="仿宋" w:eastAsia="仿宋" w:hAnsi="仿宋" w:cs="仿宋" w:hint="eastAsia"/>
          <w:kern w:val="0"/>
          <w:sz w:val="32"/>
          <w:szCs w:val="32"/>
          <w:shd w:val="clear" w:color="auto" w:fill="FFFFFF"/>
        </w:rPr>
        <w:t>,</w:t>
      </w:r>
      <w:r>
        <w:rPr>
          <w:rFonts w:ascii="仿宋" w:eastAsia="仿宋" w:hAnsi="仿宋" w:cs="Arial" w:hint="eastAsia"/>
          <w:kern w:val="0"/>
          <w:sz w:val="32"/>
          <w:szCs w:val="32"/>
        </w:rPr>
        <w:t>346.60万元，完成年初预算的57.06%，决算数小于预算数的主要原因是</w:t>
      </w:r>
      <w:r>
        <w:rPr>
          <w:rFonts w:ascii="仿宋" w:eastAsia="仿宋" w:hAnsi="仿宋" w:cs="仿宋" w:hint="eastAsia"/>
          <w:kern w:val="0"/>
          <w:sz w:val="32"/>
          <w:szCs w:val="32"/>
          <w:shd w:val="clear" w:color="auto" w:fill="FFFFFF"/>
        </w:rPr>
        <w:t>预算编制时部分上年结转和省补资金支出“项”设置错误，</w:t>
      </w:r>
      <w:r>
        <w:rPr>
          <w:rFonts w:ascii="仿宋" w:eastAsia="仿宋" w:hAnsi="仿宋" w:cs="Arial" w:hint="eastAsia"/>
          <w:kern w:val="0"/>
          <w:sz w:val="32"/>
          <w:szCs w:val="32"/>
        </w:rPr>
        <w:t>其中800万元</w:t>
      </w:r>
      <w:r>
        <w:rPr>
          <w:rFonts w:ascii="仿宋" w:eastAsia="仿宋" w:hAnsi="仿宋" w:cs="仿宋" w:hint="eastAsia"/>
          <w:kern w:val="0"/>
          <w:sz w:val="32"/>
          <w:szCs w:val="32"/>
          <w:shd w:val="clear" w:color="auto" w:fill="FFFFFF"/>
        </w:rPr>
        <w:t>预算指标实际安排在防汛项中，又因水库海塘部分项目尚未完工拨付，实际执行率为85.77%。</w:t>
      </w:r>
    </w:p>
    <w:p w:rsidR="00E676B7" w:rsidRDefault="00667A95">
      <w:pPr>
        <w:widowControl/>
        <w:shd w:val="clear" w:color="auto" w:fill="FFFFFF"/>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shd w:val="clear" w:color="auto" w:fill="FFFFFF"/>
        </w:rPr>
        <w:t>农林水支出（类）水利（款）</w:t>
      </w:r>
      <w:r>
        <w:rPr>
          <w:rFonts w:ascii="仿宋" w:eastAsia="仿宋" w:hAnsi="仿宋" w:cs="Arial" w:hint="eastAsia"/>
          <w:kern w:val="0"/>
          <w:sz w:val="32"/>
          <w:szCs w:val="32"/>
        </w:rPr>
        <w:t>水利工程运行与维护（项）。年初预算为2</w:t>
      </w:r>
      <w:r>
        <w:rPr>
          <w:rFonts w:ascii="仿宋" w:eastAsia="仿宋" w:hAnsi="仿宋" w:cs="仿宋" w:hint="eastAsia"/>
          <w:kern w:val="0"/>
          <w:sz w:val="32"/>
          <w:szCs w:val="32"/>
          <w:shd w:val="clear" w:color="auto" w:fill="FFFFFF"/>
        </w:rPr>
        <w:t>,</w:t>
      </w:r>
      <w:r>
        <w:rPr>
          <w:rFonts w:ascii="仿宋" w:eastAsia="仿宋" w:hAnsi="仿宋" w:cs="Arial" w:hint="eastAsia"/>
          <w:kern w:val="0"/>
          <w:sz w:val="32"/>
          <w:szCs w:val="32"/>
        </w:rPr>
        <w:t>301.86万元，支出决算为1</w:t>
      </w:r>
      <w:r>
        <w:rPr>
          <w:rFonts w:ascii="仿宋" w:eastAsia="仿宋" w:hAnsi="仿宋" w:cs="仿宋" w:hint="eastAsia"/>
          <w:kern w:val="0"/>
          <w:sz w:val="32"/>
          <w:szCs w:val="32"/>
          <w:shd w:val="clear" w:color="auto" w:fill="FFFFFF"/>
        </w:rPr>
        <w:t>,</w:t>
      </w:r>
      <w:r>
        <w:rPr>
          <w:rFonts w:ascii="仿宋" w:eastAsia="仿宋" w:hAnsi="仿宋" w:cs="Arial" w:hint="eastAsia"/>
          <w:kern w:val="0"/>
          <w:sz w:val="32"/>
          <w:szCs w:val="32"/>
        </w:rPr>
        <w:t>566.62万元，完成年初预算的68.06%，决算数小于预算数的主要原因是</w:t>
      </w:r>
      <w:r>
        <w:rPr>
          <w:rFonts w:ascii="仿宋" w:eastAsia="仿宋" w:hAnsi="仿宋" w:cs="仿宋" w:hint="eastAsia"/>
          <w:kern w:val="0"/>
          <w:sz w:val="32"/>
          <w:szCs w:val="32"/>
          <w:shd w:val="clear" w:color="auto" w:fill="FFFFFF"/>
        </w:rPr>
        <w:t>预算编制时部分上年结转和省补资金支出“项”设置错误，其中</w:t>
      </w:r>
      <w:r>
        <w:rPr>
          <w:rFonts w:ascii="仿宋" w:eastAsia="仿宋" w:hAnsi="仿宋" w:cs="Arial" w:hint="eastAsia"/>
          <w:kern w:val="0"/>
          <w:sz w:val="32"/>
          <w:szCs w:val="32"/>
        </w:rPr>
        <w:t>249.09万元实际安排在其他自然灾害救灾及恢复重建支出项中；年中经费核减，其中东海塘工程养护维护及运行经费核减100万元、江厦隧洞工程养护维护及运行经费核减180万元、太湖水库养护维护及运行经费核减46万元等。本项实际到位预算1</w:t>
      </w:r>
      <w:r>
        <w:rPr>
          <w:rFonts w:ascii="仿宋" w:eastAsia="仿宋" w:hAnsi="仿宋" w:cs="仿宋" w:hint="eastAsia"/>
          <w:kern w:val="0"/>
          <w:sz w:val="32"/>
          <w:szCs w:val="32"/>
          <w:shd w:val="clear" w:color="auto" w:fill="FFFFFF"/>
        </w:rPr>
        <w:t>,</w:t>
      </w:r>
      <w:r>
        <w:rPr>
          <w:rFonts w:ascii="仿宋" w:eastAsia="仿宋" w:hAnsi="仿宋" w:cs="Arial" w:hint="eastAsia"/>
          <w:kern w:val="0"/>
          <w:sz w:val="32"/>
          <w:szCs w:val="32"/>
        </w:rPr>
        <w:t>588万元，实际执行率98.65%，</w:t>
      </w:r>
      <w:r>
        <w:rPr>
          <w:rFonts w:ascii="仿宋" w:eastAsia="仿宋" w:hAnsi="仿宋" w:cs="仿宋" w:hint="eastAsia"/>
          <w:kern w:val="0"/>
          <w:sz w:val="32"/>
          <w:szCs w:val="32"/>
          <w:shd w:val="clear" w:color="auto" w:fill="FFFFFF"/>
        </w:rPr>
        <w:t>决算数同年初预算数基本一致，严格执行年初预算的计划安排</w:t>
      </w:r>
      <w:r>
        <w:rPr>
          <w:rFonts w:ascii="仿宋" w:eastAsia="仿宋" w:hAnsi="仿宋" w:cs="Arial" w:hint="eastAsia"/>
          <w:kern w:val="0"/>
          <w:sz w:val="32"/>
          <w:szCs w:val="32"/>
        </w:rPr>
        <w:t>。</w:t>
      </w:r>
    </w:p>
    <w:p w:rsidR="00E676B7" w:rsidRDefault="00667A95">
      <w:pPr>
        <w:widowControl/>
        <w:shd w:val="clear" w:color="auto" w:fill="FFFFFF"/>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shd w:val="clear" w:color="auto" w:fill="FFFFFF"/>
        </w:rPr>
        <w:lastRenderedPageBreak/>
        <w:t>农林水支出（类）水利（款）</w:t>
      </w:r>
      <w:r>
        <w:rPr>
          <w:rFonts w:ascii="仿宋" w:eastAsia="仿宋" w:hAnsi="仿宋" w:cs="Arial" w:hint="eastAsia"/>
          <w:kern w:val="0"/>
          <w:sz w:val="32"/>
          <w:szCs w:val="32"/>
        </w:rPr>
        <w:t>水利前期工作（项）。年初预算为230万元，支出决算为161.21万元，完成年初预算的70.09%，决算数小于预算数的主要原因是规划前期的部分合同没有达到预期，资金跨年支付。</w:t>
      </w:r>
    </w:p>
    <w:p w:rsidR="00E676B7" w:rsidRDefault="00667A95">
      <w:pPr>
        <w:widowControl/>
        <w:shd w:val="clear" w:color="auto" w:fill="FFFFFF"/>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shd w:val="clear" w:color="auto" w:fill="FFFFFF"/>
        </w:rPr>
        <w:t>农林水支出（类）水利（款）</w:t>
      </w:r>
      <w:r>
        <w:rPr>
          <w:rFonts w:ascii="仿宋" w:eastAsia="仿宋" w:hAnsi="仿宋" w:cs="Arial" w:hint="eastAsia"/>
          <w:kern w:val="0"/>
          <w:sz w:val="32"/>
          <w:szCs w:val="32"/>
        </w:rPr>
        <w:t>水土保持（项）。年初预算为100万元，支出决算为100万元，完成年初预算的100%，</w:t>
      </w:r>
      <w:r>
        <w:rPr>
          <w:rFonts w:ascii="仿宋" w:eastAsia="仿宋" w:hAnsi="仿宋" w:cs="仿宋" w:hint="eastAsia"/>
          <w:kern w:val="0"/>
          <w:sz w:val="32"/>
          <w:szCs w:val="32"/>
          <w:shd w:val="clear" w:color="auto" w:fill="FFFFFF"/>
        </w:rPr>
        <w:t>决算数同年初预算数一致，严格执行年初预算的计划安排</w:t>
      </w:r>
      <w:r>
        <w:rPr>
          <w:rFonts w:ascii="仿宋" w:eastAsia="仿宋" w:hAnsi="仿宋" w:cs="Arial" w:hint="eastAsia"/>
          <w:kern w:val="0"/>
          <w:sz w:val="32"/>
          <w:szCs w:val="32"/>
        </w:rPr>
        <w:t>。</w:t>
      </w:r>
    </w:p>
    <w:p w:rsidR="00E676B7" w:rsidRDefault="00667A95">
      <w:pPr>
        <w:widowControl/>
        <w:shd w:val="clear" w:color="auto" w:fill="FFFFFF"/>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shd w:val="clear" w:color="auto" w:fill="FFFFFF"/>
        </w:rPr>
        <w:t>农林水支出（类）水利（款）</w:t>
      </w:r>
      <w:r>
        <w:rPr>
          <w:rFonts w:ascii="仿宋" w:eastAsia="仿宋" w:hAnsi="仿宋" w:cs="Arial" w:hint="eastAsia"/>
          <w:kern w:val="0"/>
          <w:sz w:val="32"/>
          <w:szCs w:val="32"/>
        </w:rPr>
        <w:t>水资源节约管理与保护（项）。年初预算为1</w:t>
      </w:r>
      <w:r>
        <w:rPr>
          <w:rFonts w:ascii="仿宋" w:eastAsia="仿宋" w:hAnsi="仿宋" w:cs="仿宋" w:hint="eastAsia"/>
          <w:kern w:val="0"/>
          <w:sz w:val="32"/>
          <w:szCs w:val="32"/>
          <w:shd w:val="clear" w:color="auto" w:fill="FFFFFF"/>
        </w:rPr>
        <w:t>,</w:t>
      </w:r>
      <w:r>
        <w:rPr>
          <w:rFonts w:ascii="仿宋" w:eastAsia="仿宋" w:hAnsi="仿宋" w:cs="Arial" w:hint="eastAsia"/>
          <w:kern w:val="0"/>
          <w:sz w:val="32"/>
          <w:szCs w:val="32"/>
        </w:rPr>
        <w:t>125万元，支出决算为1</w:t>
      </w:r>
      <w:r>
        <w:rPr>
          <w:rFonts w:ascii="仿宋" w:eastAsia="仿宋" w:hAnsi="仿宋" w:cs="仿宋" w:hint="eastAsia"/>
          <w:kern w:val="0"/>
          <w:sz w:val="32"/>
          <w:szCs w:val="32"/>
          <w:shd w:val="clear" w:color="auto" w:fill="FFFFFF"/>
        </w:rPr>
        <w:t>,</w:t>
      </w:r>
      <w:r>
        <w:rPr>
          <w:rFonts w:ascii="仿宋" w:eastAsia="仿宋" w:hAnsi="仿宋" w:cs="Arial" w:hint="eastAsia"/>
          <w:kern w:val="0"/>
          <w:sz w:val="32"/>
          <w:szCs w:val="32"/>
        </w:rPr>
        <w:t>086.40万元，完成年初预算的96.57%，决算数小于预算数的主要原因是太湖水库水资源保护经费核减30万元，实际执行率99.21%，</w:t>
      </w:r>
      <w:r>
        <w:rPr>
          <w:rFonts w:ascii="仿宋" w:eastAsia="仿宋" w:hAnsi="仿宋" w:cs="仿宋" w:hint="eastAsia"/>
          <w:kern w:val="0"/>
          <w:sz w:val="32"/>
          <w:szCs w:val="32"/>
          <w:shd w:val="clear" w:color="auto" w:fill="FFFFFF"/>
        </w:rPr>
        <w:t>决算数同年初预算数基本一致，严格执行年初预算的计划安排</w:t>
      </w:r>
      <w:r>
        <w:rPr>
          <w:rFonts w:ascii="仿宋" w:eastAsia="仿宋" w:hAnsi="仿宋" w:cs="Arial" w:hint="eastAsia"/>
          <w:kern w:val="0"/>
          <w:sz w:val="32"/>
          <w:szCs w:val="32"/>
        </w:rPr>
        <w:t>。</w:t>
      </w:r>
    </w:p>
    <w:p w:rsidR="00E676B7" w:rsidRDefault="00667A95">
      <w:pPr>
        <w:widowControl/>
        <w:shd w:val="clear" w:color="auto" w:fill="FFFFFF"/>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shd w:val="clear" w:color="auto" w:fill="FFFFFF"/>
        </w:rPr>
        <w:t>农林水支出（类）水利（款）</w:t>
      </w:r>
      <w:r>
        <w:rPr>
          <w:rFonts w:ascii="仿宋" w:eastAsia="仿宋" w:hAnsi="仿宋" w:cs="Arial" w:hint="eastAsia"/>
          <w:kern w:val="0"/>
          <w:sz w:val="32"/>
          <w:szCs w:val="32"/>
        </w:rPr>
        <w:t>水文测报（项）。年初预算为640万元，支出决算为640万元，完成年初预算的100%，</w:t>
      </w:r>
      <w:r>
        <w:rPr>
          <w:rFonts w:ascii="仿宋" w:eastAsia="仿宋" w:hAnsi="仿宋" w:cs="仿宋" w:hint="eastAsia"/>
          <w:kern w:val="0"/>
          <w:sz w:val="32"/>
          <w:szCs w:val="32"/>
          <w:shd w:val="clear" w:color="auto" w:fill="FFFFFF"/>
        </w:rPr>
        <w:t>决算数同年初预算数一致，严格执行年初预算的计划安排</w:t>
      </w:r>
      <w:r>
        <w:rPr>
          <w:rFonts w:ascii="仿宋" w:eastAsia="仿宋" w:hAnsi="仿宋" w:cs="Arial" w:hint="eastAsia"/>
          <w:kern w:val="0"/>
          <w:sz w:val="32"/>
          <w:szCs w:val="32"/>
        </w:rPr>
        <w:t>。</w:t>
      </w:r>
    </w:p>
    <w:p w:rsidR="00E676B7" w:rsidRDefault="00667A95">
      <w:pPr>
        <w:widowControl/>
        <w:shd w:val="clear" w:color="auto" w:fill="FFFFFF"/>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shd w:val="clear" w:color="auto" w:fill="FFFFFF"/>
        </w:rPr>
        <w:t>农林水支出（类）水利（款）</w:t>
      </w:r>
      <w:r>
        <w:rPr>
          <w:rFonts w:ascii="仿宋" w:eastAsia="仿宋" w:hAnsi="仿宋" w:cs="Arial" w:hint="eastAsia"/>
          <w:kern w:val="0"/>
          <w:sz w:val="32"/>
          <w:szCs w:val="32"/>
        </w:rPr>
        <w:t>防汛（项）。年初预算为0万元，支出决算为800万元，决算数大于预算数的主要原因是该项预算指标资金来源调整。</w:t>
      </w:r>
    </w:p>
    <w:p w:rsidR="00E676B7" w:rsidRDefault="00667A95">
      <w:pPr>
        <w:widowControl/>
        <w:shd w:val="clear" w:color="auto" w:fill="FFFFFF"/>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shd w:val="clear" w:color="auto" w:fill="FFFFFF"/>
        </w:rPr>
        <w:t>农林水支出（类）水利（款）</w:t>
      </w:r>
      <w:r>
        <w:rPr>
          <w:rFonts w:ascii="仿宋" w:eastAsia="仿宋" w:hAnsi="仿宋" w:cs="Arial" w:hint="eastAsia"/>
          <w:kern w:val="0"/>
          <w:sz w:val="32"/>
          <w:szCs w:val="32"/>
        </w:rPr>
        <w:t>其他水利支出（项）。年初预算为419.64万元，支出决算为1</w:t>
      </w:r>
      <w:r>
        <w:rPr>
          <w:rFonts w:ascii="仿宋" w:eastAsia="仿宋" w:hAnsi="仿宋" w:cs="仿宋" w:hint="eastAsia"/>
          <w:kern w:val="0"/>
          <w:sz w:val="32"/>
          <w:szCs w:val="32"/>
          <w:shd w:val="clear" w:color="auto" w:fill="FFFFFF"/>
        </w:rPr>
        <w:t>,</w:t>
      </w:r>
      <w:r>
        <w:rPr>
          <w:rFonts w:ascii="仿宋" w:eastAsia="仿宋" w:hAnsi="仿宋" w:cs="Arial" w:hint="eastAsia"/>
          <w:kern w:val="0"/>
          <w:sz w:val="32"/>
          <w:szCs w:val="32"/>
        </w:rPr>
        <w:t>487.49万元，完成年初预算的354.47%，决算数大于预算数的主要原因是</w:t>
      </w:r>
      <w:r>
        <w:rPr>
          <w:rFonts w:ascii="仿宋" w:eastAsia="仿宋" w:hAnsi="仿宋" w:cs="仿宋" w:hint="eastAsia"/>
          <w:kern w:val="0"/>
          <w:sz w:val="32"/>
          <w:szCs w:val="32"/>
          <w:shd w:val="clear" w:color="auto" w:fill="FFFFFF"/>
        </w:rPr>
        <w:t>年中经</w:t>
      </w:r>
      <w:r>
        <w:rPr>
          <w:rFonts w:ascii="仿宋" w:eastAsia="仿宋" w:hAnsi="仿宋" w:cs="仿宋" w:hint="eastAsia"/>
          <w:kern w:val="0"/>
          <w:sz w:val="32"/>
          <w:szCs w:val="32"/>
          <w:shd w:val="clear" w:color="auto" w:fill="FFFFFF"/>
        </w:rPr>
        <w:lastRenderedPageBreak/>
        <w:t>费追加，</w:t>
      </w:r>
      <w:r>
        <w:rPr>
          <w:rFonts w:ascii="仿宋" w:eastAsia="仿宋" w:hAnsi="仿宋" w:cs="Arial" w:hint="eastAsia"/>
          <w:kern w:val="0"/>
          <w:sz w:val="32"/>
          <w:szCs w:val="32"/>
        </w:rPr>
        <w:t>追加江厦大港生态拦截沟渠工程300万元，省补资金追加775万元。</w:t>
      </w:r>
    </w:p>
    <w:p w:rsidR="00E676B7" w:rsidRDefault="00667A95">
      <w:pPr>
        <w:widowControl/>
        <w:shd w:val="clear" w:color="auto" w:fill="FFFFFF"/>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shd w:val="clear" w:color="auto" w:fill="FFFFFF"/>
        </w:rPr>
        <w:t>农林水支出（类）</w:t>
      </w:r>
      <w:r>
        <w:rPr>
          <w:rFonts w:ascii="仿宋" w:eastAsia="仿宋" w:hAnsi="仿宋" w:cs="Arial" w:hint="eastAsia"/>
          <w:kern w:val="0"/>
          <w:sz w:val="32"/>
          <w:szCs w:val="32"/>
        </w:rPr>
        <w:t>其他农林水支出（款）其他农林水支出（项）。年初预算为0万元，支出决算为1</w:t>
      </w:r>
      <w:r>
        <w:rPr>
          <w:rFonts w:ascii="仿宋" w:eastAsia="仿宋" w:hAnsi="仿宋" w:cs="仿宋" w:hint="eastAsia"/>
          <w:kern w:val="0"/>
          <w:sz w:val="32"/>
          <w:szCs w:val="32"/>
          <w:shd w:val="clear" w:color="auto" w:fill="FFFFFF"/>
        </w:rPr>
        <w:t>,</w:t>
      </w:r>
      <w:r>
        <w:rPr>
          <w:rFonts w:ascii="仿宋" w:eastAsia="仿宋" w:hAnsi="仿宋" w:cs="Arial" w:hint="eastAsia"/>
          <w:kern w:val="0"/>
          <w:sz w:val="32"/>
          <w:szCs w:val="32"/>
        </w:rPr>
        <w:t>109.57万元，</w:t>
      </w:r>
      <w:r w:rsidR="00EC52FC" w:rsidRPr="00156F3B">
        <w:rPr>
          <w:rFonts w:ascii="仿宋" w:eastAsia="仿宋" w:hAnsi="仿宋" w:cs="Arial" w:hint="eastAsia"/>
          <w:kern w:val="0"/>
          <w:sz w:val="32"/>
          <w:szCs w:val="32"/>
        </w:rPr>
        <w:t>决算数大于预算数的主要原因</w:t>
      </w:r>
      <w:r w:rsidRPr="00156F3B">
        <w:rPr>
          <w:rFonts w:ascii="仿宋" w:eastAsia="仿宋" w:hAnsi="仿宋" w:cs="Arial" w:hint="eastAsia"/>
          <w:kern w:val="0"/>
          <w:sz w:val="32"/>
          <w:szCs w:val="32"/>
        </w:rPr>
        <w:t>为追加</w:t>
      </w:r>
      <w:r w:rsidR="00EC52FC" w:rsidRPr="00156F3B">
        <w:rPr>
          <w:rFonts w:ascii="仿宋" w:eastAsia="仿宋" w:hAnsi="仿宋" w:cs="Arial" w:hint="eastAsia"/>
          <w:kern w:val="0"/>
          <w:sz w:val="32"/>
          <w:szCs w:val="32"/>
        </w:rPr>
        <w:t>了</w:t>
      </w:r>
      <w:r w:rsidRPr="00156F3B">
        <w:rPr>
          <w:rFonts w:ascii="仿宋" w:eastAsia="仿宋" w:hAnsi="仿宋" w:cs="Arial" w:hint="eastAsia"/>
          <w:kern w:val="0"/>
          <w:sz w:val="32"/>
          <w:szCs w:val="32"/>
        </w:rPr>
        <w:t>人</w:t>
      </w:r>
      <w:r>
        <w:rPr>
          <w:rFonts w:ascii="仿宋" w:eastAsia="仿宋" w:hAnsi="仿宋" w:cs="Arial" w:hint="eastAsia"/>
          <w:kern w:val="0"/>
          <w:sz w:val="32"/>
          <w:szCs w:val="32"/>
        </w:rPr>
        <w:t>员经费。</w:t>
      </w:r>
    </w:p>
    <w:p w:rsidR="00E676B7" w:rsidRDefault="00667A95">
      <w:pPr>
        <w:widowControl/>
        <w:shd w:val="clear" w:color="auto" w:fill="FFFFFF"/>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自然资源海洋气象等支出（类）自然资源事务（款）自然资源利用与保护（项）。年初预算为0万元，支出决算为48.77万元，决算数大于预算数的主要原因是均为上年结转但未纳入年初预算，上年结转52.61万元，执行率92.70%，基本完成工作任务。</w:t>
      </w:r>
    </w:p>
    <w:p w:rsidR="00E676B7" w:rsidRDefault="00667A95">
      <w:pPr>
        <w:widowControl/>
        <w:shd w:val="clear" w:color="auto" w:fill="FFFFFF"/>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灾害防治及应急管理支出（类）自然灾害救灾及恢复重建支出（款）其他自然灾害救灾及恢复重建支出（项）。年初预算为0万元，支出决算为2</w:t>
      </w:r>
      <w:r>
        <w:rPr>
          <w:rFonts w:ascii="仿宋" w:eastAsia="仿宋" w:hAnsi="仿宋" w:cs="仿宋" w:hint="eastAsia"/>
          <w:kern w:val="0"/>
          <w:sz w:val="32"/>
          <w:szCs w:val="32"/>
          <w:shd w:val="clear" w:color="auto" w:fill="FFFFFF"/>
        </w:rPr>
        <w:t>,</w:t>
      </w:r>
      <w:r>
        <w:rPr>
          <w:rFonts w:ascii="仿宋" w:eastAsia="仿宋" w:hAnsi="仿宋" w:cs="Arial" w:hint="eastAsia"/>
          <w:kern w:val="0"/>
          <w:sz w:val="32"/>
          <w:szCs w:val="32"/>
        </w:rPr>
        <w:t>042.51万元，决算数大于预算数的主要原因是省补追加资金2063.67万元，执行率98.97%，完成工作任务。</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（六）一般公共预算财政拨款基本支出决算情况说明</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2020年度一般公共预算财政拨款基本支出10,242.50万元，其中：</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人员经费9,251.14万元，主要包括：基本工资、津贴补贴、奖金、绩效工资、机关事业单位基本养老保险缴费、职业年金缴费、职工基本医疗保险缴费、公务员医疗补助缴费、其他社会保障缴费、住房公积金、医疗费、其他工资福</w:t>
      </w:r>
      <w:r>
        <w:rPr>
          <w:rFonts w:ascii="仿宋" w:eastAsia="仿宋" w:hAnsi="仿宋" w:cs="仿宋" w:hint="eastAsia"/>
          <w:kern w:val="0"/>
          <w:sz w:val="32"/>
          <w:szCs w:val="32"/>
          <w:shd w:val="clear" w:color="auto" w:fill="FFFFFF"/>
        </w:rPr>
        <w:lastRenderedPageBreak/>
        <w:t>利支出、离休费、抚恤金、生活补助、医疗费补助、奖励金、其他对个人和家庭的补助。</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公用经费991.37万元，主要包括：办公费、印刷费、水费、电费、邮电费、差旅费、维修（护）费、会议费、培训费、公务接待费、专用材料费、劳务费、委托业务费、工会经费、福利费、公务用车运行维护费、其他交通费用、其他商品和服务支出、办公设备购置、专用设备购置。</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（七）政府性基金预算财政拨款支出决算总体情况</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仿宋" w:eastAsia="仿宋" w:hAnsi="仿宋" w:cs="仿宋" w:hint="eastAsia"/>
          <w:kern w:val="0"/>
          <w:sz w:val="32"/>
          <w:szCs w:val="32"/>
          <w:shd w:val="clear" w:color="auto" w:fill="FFFFFF"/>
        </w:rPr>
        <w:t>1.政府性基金预算财政拨款支出决算总体情况。</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2020年度政府性基金预算财政拨款支出25,755.06万元，占本年支出合计的37.24%。与2019年相比，政府性基金预算财政拨款支出增加1,326.88万元，增长5.43%。主要原因是：结构性调整。</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仿宋" w:eastAsia="仿宋" w:hAnsi="仿宋" w:cs="仿宋" w:hint="eastAsia"/>
          <w:kern w:val="0"/>
          <w:sz w:val="32"/>
          <w:szCs w:val="32"/>
          <w:shd w:val="clear" w:color="auto" w:fill="FFFFFF"/>
        </w:rPr>
        <w:t>2.政府性基金预算财政拨款支出决算结构情况。</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2020年度政府性基金预算财政拨款支出25,755.06万元，主要用于以下方面：科学技术（类）支出0万元,占0%；文化旅游体育与传媒（类）支出0万元,占0%；社会保障和就业（类）支出0万元,占0%；节能环保（类）支出0万元,占0%；城乡社区（类）支出15,015.95万元,占58.30%；农林水（类）支出0万元,占0%；交通运输（类）支出0万元,占0%；资源勘探信息等（类）支出0万元,占0%；金融（类）支出0万元,占0%；其他（类）支出10,739.11万元,占41.70%；</w:t>
      </w:r>
      <w:r>
        <w:rPr>
          <w:rFonts w:ascii="仿宋" w:eastAsia="仿宋" w:hAnsi="仿宋" w:cs="仿宋" w:hint="eastAsia"/>
          <w:kern w:val="0"/>
          <w:sz w:val="32"/>
          <w:szCs w:val="32"/>
          <w:shd w:val="clear" w:color="auto" w:fill="FFFFFF"/>
        </w:rPr>
        <w:lastRenderedPageBreak/>
        <w:t>债务付息（类）支出0万元,占0%；抗疫特别国债安排（类）支出0万元,占0%。</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仿宋" w:eastAsia="仿宋" w:hAnsi="仿宋" w:cs="仿宋" w:hint="eastAsia"/>
          <w:kern w:val="0"/>
          <w:sz w:val="32"/>
          <w:szCs w:val="32"/>
          <w:shd w:val="clear" w:color="auto" w:fill="FFFFFF"/>
        </w:rPr>
        <w:t>3.政府性基金预算财政拨款支出决算具体情况。</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2020年度政府性基金预算财政拨款支出年初预算为19,830.00万元，支出决算为25,755.06万元,完成年初预算的129.88%，主要原因是追加村庄环境整治奖补资金5500万元、担屿围涂工程1700万元。其中：</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城乡社区支出（类）国有土地使用权出让收入安排的支出（款）农村基础设施建设支出（项）。年初预算为14,000.00万元，支出决算为13,985.48万元，完成年初预算的99.90%，决算数同年初预算数基本一致，是因为严格执行年初预算的计划安排。</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城乡社区支出（类）农业土地开发资金安排的支出（款）农业土地开发资金安排的支出（项）。年初预算为1,030.00万元，支出决算为1,030.47万元，完成年初预算的100.05%，决算数大于预算数的主要原因是上年结转0.47万元未纳入预算，决算数同年初预算数基本一致。</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其他支出（类）其他政府性基金及对应专项债务收入安排的支出（款）其他政府性基金安排的支出（项）。年初预算为4,800.00万元，支出决算为10,739.11万元，完成年初预算的223.73%，决算数大于预算数的主要原因是追加村庄环境整治奖补资金5500万元、担屿围涂工程1700万元、</w:t>
      </w:r>
      <w:r>
        <w:rPr>
          <w:rFonts w:ascii="仿宋" w:eastAsia="仿宋" w:hAnsi="仿宋" w:cs="仿宋" w:hint="eastAsia"/>
          <w:kern w:val="0"/>
          <w:sz w:val="32"/>
          <w:szCs w:val="32"/>
          <w:shd w:val="clear" w:color="auto" w:fill="FFFFFF"/>
        </w:rPr>
        <w:lastRenderedPageBreak/>
        <w:t>种植业保障补贴及综合生产能力提升建设480万元，调整农村生活垃圾治理656万元的预算科目为其他农业农村支出，金清二期工程600万元预算安排在我单位但决算不在我单位，金清港清淤及堤防加固工程480万元项目取消，因此实际到位预算10,744万元，实际执行率99.95%，决算数同预算数基本一致，严格执行年初预算的计划安排。</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（八）国有资本经营预算财政拨款支出决算总体情况</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本单位2020年度无国有资本经营预算财政拨款收支安排，故无相关数据。</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（九）一般公共预算财政拨款“三公”经费支出决算情况说明</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仿宋" w:eastAsia="仿宋" w:hAnsi="仿宋" w:cs="仿宋" w:hint="eastAsia"/>
          <w:kern w:val="0"/>
          <w:sz w:val="32"/>
          <w:szCs w:val="32"/>
          <w:shd w:val="clear" w:color="auto" w:fill="FFFFFF"/>
        </w:rPr>
        <w:t>1.“三公”经费一般公共预算财政拨款支出决算总体情况说明。</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2020年度“三公”经费一般公共预算财政拨款支出预算为179.12万元，支出决算为128.52万元，完成预算的71.75%,2020年度“三公”经费支出决算数小于预算数的主要原因是</w:t>
      </w:r>
      <w:r>
        <w:rPr>
          <w:rFonts w:ascii="仿宋" w:eastAsia="仿宋" w:hAnsi="仿宋" w:cs="仿宋" w:hint="eastAsia"/>
          <w:kern w:val="0"/>
          <w:sz w:val="32"/>
          <w:szCs w:val="32"/>
        </w:rPr>
        <w:t>我单位厉行节约、严格控制三公支出</w:t>
      </w:r>
      <w:r>
        <w:rPr>
          <w:rFonts w:ascii="仿宋" w:eastAsia="仿宋" w:hAnsi="仿宋" w:cs="仿宋" w:hint="eastAsia"/>
          <w:kern w:val="0"/>
          <w:sz w:val="32"/>
          <w:szCs w:val="3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仿宋" w:eastAsia="仿宋" w:hAnsi="仿宋" w:cs="仿宋" w:hint="eastAsia"/>
          <w:kern w:val="0"/>
          <w:sz w:val="32"/>
          <w:szCs w:val="32"/>
          <w:shd w:val="clear" w:color="auto" w:fill="FFFFFF"/>
        </w:rPr>
        <w:t>2.“三公”经费一般公共预算财政拨款支出决算具体情况说明。</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2020年度“三公”经费一般公共预算财政拨款支出决算中，因公出国（境）费用支出决算为0万元，占0%，与2019年度相比，无变化，主要原因是</w:t>
      </w:r>
      <w:r>
        <w:rPr>
          <w:rFonts w:ascii="仿宋" w:eastAsia="仿宋" w:hAnsi="仿宋" w:cs="Arial" w:hint="eastAsia"/>
          <w:kern w:val="0"/>
          <w:sz w:val="32"/>
          <w:szCs w:val="32"/>
        </w:rPr>
        <w:t>未发生因公出国（境）业务</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lastRenderedPageBreak/>
        <w:t>公务用车购置及运行维护费支出决算为113.68万元，占88.45%，与2019年度相比，增加62.69万元，增长122.95%，主要原因是</w:t>
      </w:r>
      <w:r>
        <w:rPr>
          <w:rFonts w:ascii="仿宋" w:eastAsia="仿宋" w:hAnsi="仿宋" w:cs="仿宋" w:hint="eastAsia"/>
          <w:kern w:val="0"/>
          <w:sz w:val="32"/>
          <w:szCs w:val="32"/>
        </w:rPr>
        <w:t>购置经批准的</w:t>
      </w:r>
      <w:r>
        <w:rPr>
          <w:rFonts w:ascii="仿宋" w:eastAsia="仿宋" w:hAnsi="仿宋" w:cs="Arial" w:hint="eastAsia"/>
          <w:kern w:val="0"/>
          <w:sz w:val="32"/>
          <w:szCs w:val="32"/>
        </w:rPr>
        <w:t>3辆公务用车</w:t>
      </w:r>
      <w:r>
        <w:rPr>
          <w:rFonts w:ascii="仿宋" w:eastAsia="仿宋" w:hAnsi="仿宋" w:cs="仿宋" w:hint="eastAsia"/>
          <w:kern w:val="0"/>
          <w:sz w:val="32"/>
          <w:szCs w:val="32"/>
          <w:shd w:val="clear" w:color="auto" w:fill="FFFFFF"/>
        </w:rPr>
        <w:t>；公务接待费支出决算为14.84万元，占11.55%，与2019年度相比，减少4.44万元，下降23.01%，主要原因是</w:t>
      </w:r>
      <w:r>
        <w:rPr>
          <w:rFonts w:ascii="仿宋" w:eastAsia="仿宋" w:hAnsi="仿宋" w:cs="仿宋" w:hint="eastAsia"/>
          <w:kern w:val="0"/>
          <w:sz w:val="32"/>
          <w:szCs w:val="32"/>
        </w:rPr>
        <w:t>我单位厉行节约、严格控制三公支出</w:t>
      </w:r>
      <w:r>
        <w:rPr>
          <w:rFonts w:ascii="仿宋" w:eastAsia="仿宋" w:hAnsi="仿宋" w:cs="仿宋" w:hint="eastAsia"/>
          <w:kern w:val="0"/>
          <w:sz w:val="32"/>
          <w:szCs w:val="32"/>
          <w:shd w:val="clear" w:color="auto" w:fill="FFFFFF"/>
        </w:rPr>
        <w:t>。具体情况如下：</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1）因公出国（境）费预算数为0万元，支出决算为0万元。完成预算的100%。主要用于机关及下属预算单位人员等公务出国（境）的住宿费、国际旅费、培训费、公杂费等支出。决算数等于预算数。全年使用一般公共预算财政拨款支出涉及因公出国(境)团组0个；累计0人次。</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（2）公务用车购置及运行维护费预算数为122.53万元，支出决算为113.68万元，完成预算的92.78%。决算数小于预算数的主要原因是</w:t>
      </w:r>
      <w:r>
        <w:rPr>
          <w:rFonts w:ascii="仿宋" w:eastAsia="仿宋" w:hAnsi="仿宋" w:cs="仿宋" w:hint="eastAsia"/>
          <w:kern w:val="0"/>
          <w:sz w:val="32"/>
          <w:szCs w:val="32"/>
        </w:rPr>
        <w:t>我单位厉行节约、严格控制三公支出</w:t>
      </w:r>
      <w:r>
        <w:rPr>
          <w:rFonts w:ascii="仿宋" w:eastAsia="仿宋" w:hAnsi="仿宋" w:cs="仿宋" w:hint="eastAsia"/>
          <w:kern w:val="0"/>
          <w:sz w:val="32"/>
          <w:szCs w:val="32"/>
          <w:shd w:val="clear" w:color="auto" w:fill="FFFFFF"/>
        </w:rPr>
        <w:t>。</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公务用车购置预算数为69.53万元，支出决算为69.53万元（含购置税等附加费用），完成预算的100%。决算数等于预算数。主要用于经批准购置的3辆公务用车；</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公务用车运行维护费预算数为53.00万元，支出44.15万元，完成预算的83.30%。决算数大于预算数的主要原因是</w:t>
      </w:r>
      <w:r>
        <w:rPr>
          <w:rFonts w:ascii="仿宋" w:eastAsia="仿宋" w:hAnsi="仿宋" w:cs="仿宋" w:hint="eastAsia"/>
          <w:kern w:val="0"/>
          <w:sz w:val="32"/>
          <w:szCs w:val="32"/>
        </w:rPr>
        <w:t>我单位厉行节约、严格控制三公支出</w:t>
      </w:r>
      <w:r>
        <w:rPr>
          <w:rFonts w:ascii="仿宋" w:eastAsia="仿宋" w:hAnsi="仿宋" w:cs="仿宋" w:hint="eastAsia"/>
          <w:kern w:val="0"/>
          <w:sz w:val="32"/>
          <w:szCs w:val="32"/>
          <w:shd w:val="clear" w:color="auto" w:fill="FFFFFF"/>
        </w:rPr>
        <w:t>。主要用于执法、出差、会议等所需的公务用车燃料费、维修费、过路过桥费、保险</w:t>
      </w:r>
      <w:r>
        <w:rPr>
          <w:rFonts w:ascii="仿宋" w:eastAsia="仿宋" w:hAnsi="仿宋" w:cs="仿宋" w:hint="eastAsia"/>
          <w:kern w:val="0"/>
          <w:sz w:val="32"/>
          <w:szCs w:val="32"/>
          <w:shd w:val="clear" w:color="auto" w:fill="FFFFFF"/>
        </w:rPr>
        <w:lastRenderedPageBreak/>
        <w:t>费、安全奖励费用等支出；2020年度，本级及所属单位开支一般公共预算财政拨款的公务用车保有量为20辆。</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（3）公务接待费预算数为56.59万元，支出决算为14.84万元，完成预算的26.22%。主要用于接待</w:t>
      </w:r>
      <w:r>
        <w:rPr>
          <w:rFonts w:ascii="仿宋" w:eastAsia="仿宋" w:hAnsi="仿宋" w:cs="仿宋" w:hint="eastAsia"/>
          <w:kern w:val="0"/>
          <w:sz w:val="32"/>
          <w:szCs w:val="32"/>
        </w:rPr>
        <w:t>上级部门、业务单位</w:t>
      </w:r>
      <w:r>
        <w:rPr>
          <w:rFonts w:ascii="仿宋" w:eastAsia="仿宋" w:hAnsi="仿宋" w:cs="仿宋" w:hint="eastAsia"/>
          <w:kern w:val="0"/>
          <w:sz w:val="32"/>
          <w:szCs w:val="32"/>
          <w:shd w:val="clear" w:color="auto" w:fill="FFFFFF"/>
        </w:rPr>
        <w:t>等支出。决算数小于预算数的主要原因是</w:t>
      </w:r>
      <w:r>
        <w:rPr>
          <w:rFonts w:ascii="仿宋" w:eastAsia="仿宋" w:hAnsi="仿宋" w:cs="仿宋" w:hint="eastAsia"/>
          <w:kern w:val="0"/>
          <w:sz w:val="32"/>
          <w:szCs w:val="32"/>
        </w:rPr>
        <w:t>我单位厉行节约、严格控制三公支出。</w:t>
      </w:r>
      <w:r>
        <w:rPr>
          <w:rFonts w:ascii="仿宋" w:eastAsia="仿宋" w:hAnsi="仿宋" w:cs="仿宋" w:hint="eastAsia"/>
          <w:kern w:val="0"/>
          <w:sz w:val="32"/>
          <w:szCs w:val="32"/>
          <w:shd w:val="clear" w:color="auto" w:fill="FFFFFF"/>
        </w:rPr>
        <w:t>全年使用一般公共预算财政拨款国内公务接待153团组，累计1,104人次。</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外宾接待支出0万元，接待0团组，0人次。</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其他国内公务接待支出14.84万元，主要用于接待上级部门、业务单位。接待153团组，1,104人次。</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（十）机关运行经费支出说明</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2020年度机关运行经费年初预算数为999.64万元，支出决算为991.37万元，完成年初预算的99.17%，决算数同年初预算数基本一致，是因为严格执行年初预算的计划安排；比2019年度减少146.17万元，下降12.85%，主要原因是人员减少和预算标准降低。</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（十一）政府采购支出说明</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2020年度政府采购支出总额3,052.32万元，其中：政府采购货物支出625.79万元、政府采购工程支出0万元、政府采购服务支出2,426.53万元。授予中小企业合同金额3,052.32万元，占政府采购支出总额的100.00%。其中，授</w:t>
      </w:r>
      <w:r>
        <w:rPr>
          <w:rFonts w:ascii="仿宋" w:eastAsia="仿宋" w:hAnsi="仿宋" w:cs="仿宋" w:hint="eastAsia"/>
          <w:kern w:val="0"/>
          <w:sz w:val="32"/>
          <w:szCs w:val="32"/>
          <w:shd w:val="clear" w:color="auto" w:fill="FFFFFF"/>
        </w:rPr>
        <w:lastRenderedPageBreak/>
        <w:t>予小微企业合同金额3,052.32万元，占政府采购支出总额的100.00%。</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（十二）国有资产占有情况说明</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截至2020年12月31日，温岭市农业农村和水利局本级及所属各单位共有车辆20辆，其中，副部（省）级及以上领导用车0辆、主要领导干部用车0辆、机要通信用车0辆、应急保障用车0辆、执法执勤用车1辆、特种专业技术用车0辆、离退休干部用车0辆、其他用车19辆,其他用车主要是</w:t>
      </w:r>
      <w:r>
        <w:rPr>
          <w:rFonts w:ascii="仿宋" w:eastAsia="仿宋" w:hAnsi="仿宋" w:cs="仿宋" w:hint="eastAsia"/>
          <w:kern w:val="0"/>
          <w:sz w:val="32"/>
          <w:szCs w:val="32"/>
        </w:rPr>
        <w:t>执法用车、一般公务用车</w:t>
      </w:r>
      <w:r>
        <w:rPr>
          <w:rFonts w:ascii="仿宋" w:eastAsia="仿宋" w:hAnsi="仿宋" w:cs="仿宋" w:hint="eastAsia"/>
          <w:kern w:val="0"/>
          <w:sz w:val="32"/>
          <w:szCs w:val="32"/>
          <w:shd w:val="clear" w:color="auto" w:fill="FFFFFF"/>
        </w:rPr>
        <w:t>；单价50万元以上通用设备6台（套），单价100万元以上专用设备1台（套）。</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楷体" w:eastAsia="楷体" w:hAnsi="楷体" w:cs="楷体" w:hint="eastAsia"/>
          <w:kern w:val="0"/>
          <w:sz w:val="32"/>
          <w:szCs w:val="32"/>
          <w:shd w:val="clear" w:color="auto" w:fill="FFFFFF"/>
        </w:rPr>
        <w:t>（十三）预算绩效情况说明</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仿宋" w:eastAsia="仿宋" w:hAnsi="仿宋" w:cs="仿宋" w:hint="eastAsia"/>
          <w:kern w:val="0"/>
          <w:sz w:val="32"/>
          <w:szCs w:val="32"/>
          <w:shd w:val="clear" w:color="auto" w:fill="FFFFFF"/>
        </w:rPr>
        <w:t>1.预算绩效管理工作开展情况。</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根据预算绩效管理要求，温岭市农业农村和水利局组织对2020年度一般公共预算项目支出全面开展绩效自评，涉及项目50个，共涉及资金48,001.63万元，占一般公共预算项目支出总额的92.8%。组织对2020年度村庄环境整治奖补资金、农村饮用水和资源管理保护等13个政府性基金预算项目支出开展绩效自评，共涉及资金12,830.39万元，占政府性基金预算项目支出总额的99.8%。</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本年无部门评价。</w:t>
      </w:r>
    </w:p>
    <w:p w:rsidR="00E676B7" w:rsidRDefault="00667A95">
      <w:pPr>
        <w:widowControl/>
        <w:shd w:val="clear" w:color="auto" w:fill="FFFFFF"/>
        <w:spacing w:line="600" w:lineRule="atLeast"/>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lastRenderedPageBreak/>
        <w:t>组织对本单位开展整体支出绩效评价试点，从评价情况来看，自评分97分，在职人员控制率、三公经费控制率有扣分，评价等级“优”。</w:t>
      </w:r>
    </w:p>
    <w:p w:rsidR="007B420B" w:rsidRPr="00156F3B" w:rsidRDefault="007B420B" w:rsidP="007B420B">
      <w:pPr>
        <w:pStyle w:val="Default"/>
        <w:ind w:firstLineChars="200" w:firstLine="640"/>
        <w:rPr>
          <w:rFonts w:ascii="仿宋" w:eastAsia="仿宋" w:hAnsi="仿宋" w:cs="仿宋" w:hint="default"/>
          <w:color w:val="auto"/>
          <w:sz w:val="32"/>
          <w:szCs w:val="32"/>
          <w:shd w:val="clear" w:color="auto" w:fill="FFFFFF"/>
        </w:rPr>
      </w:pPr>
      <w:r w:rsidRPr="00156F3B">
        <w:rPr>
          <w:rFonts w:ascii="仿宋" w:eastAsia="仿宋" w:hAnsi="仿宋" w:cs="仿宋"/>
          <w:color w:val="auto"/>
          <w:sz w:val="32"/>
          <w:szCs w:val="32"/>
          <w:shd w:val="clear" w:color="auto" w:fill="FFFFFF"/>
        </w:rPr>
        <w:t>本部门无下属部门或单位整体支出绩效评价</w:t>
      </w:r>
    </w:p>
    <w:p w:rsidR="00E676B7" w:rsidRDefault="00667A95">
      <w:pPr>
        <w:widowControl/>
        <w:shd w:val="clear" w:color="auto" w:fill="FFFFFF"/>
        <w:spacing w:line="600" w:lineRule="atLeast"/>
        <w:ind w:firstLine="640"/>
        <w:rPr>
          <w:rFonts w:ascii="Arial" w:eastAsia="Arial" w:hAnsi="Arial" w:cs="Arial"/>
          <w:sz w:val="18"/>
          <w:szCs w:val="18"/>
        </w:rPr>
      </w:pPr>
      <w:r>
        <w:rPr>
          <w:rStyle w:val="a6"/>
          <w:rFonts w:ascii="仿宋" w:eastAsia="仿宋" w:hAnsi="仿宋" w:cs="仿宋"/>
          <w:kern w:val="0"/>
          <w:sz w:val="32"/>
          <w:szCs w:val="32"/>
          <w:shd w:val="clear" w:color="auto" w:fill="FFFFFF"/>
        </w:rPr>
        <w:t>2.单位决算中项目绩效自评结果</w:t>
      </w:r>
    </w:p>
    <w:p w:rsidR="00E676B7" w:rsidRDefault="00667A95">
      <w:pPr>
        <w:widowControl/>
        <w:shd w:val="clear" w:color="auto" w:fill="FFFFFF"/>
        <w:spacing w:line="600" w:lineRule="atLeast"/>
        <w:ind w:firstLine="640"/>
        <w:rPr>
          <w:rFonts w:ascii="Arial" w:eastAsia="仿宋" w:hAnsi="Arial" w:cs="Arial"/>
          <w:kern w:val="0"/>
          <w:sz w:val="18"/>
          <w:szCs w:val="18"/>
          <w:shd w:val="clear" w:color="auto" w:fill="FFFFFF"/>
        </w:rPr>
      </w:pPr>
      <w:r>
        <w:rPr>
          <w:rFonts w:ascii="仿宋" w:eastAsia="仿宋" w:hAnsi="仿宋" w:cs="仿宋" w:hint="eastAsia"/>
          <w:kern w:val="0"/>
          <w:sz w:val="32"/>
          <w:szCs w:val="32"/>
          <w:shd w:val="clear" w:color="auto" w:fill="FFFFFF"/>
        </w:rPr>
        <w:t>温岭市农业农村和水利局在2020年度单位决算中反映“美丽乡村”建设专项资金及</w:t>
      </w:r>
      <w:r w:rsidR="00DF730E">
        <w:rPr>
          <w:rFonts w:ascii="仿宋" w:eastAsia="仿宋" w:hAnsi="仿宋" w:cs="仿宋" w:hint="eastAsia"/>
          <w:kern w:val="0"/>
          <w:sz w:val="32"/>
          <w:szCs w:val="32"/>
          <w:shd w:val="clear" w:color="auto" w:fill="FFFFFF"/>
        </w:rPr>
        <w:t>“农村生活垃圾治理补助”</w:t>
      </w:r>
      <w:r>
        <w:rPr>
          <w:rFonts w:ascii="仿宋" w:eastAsia="仿宋" w:hAnsi="仿宋" w:cs="仿宋" w:hint="eastAsia"/>
          <w:kern w:val="0"/>
          <w:sz w:val="32"/>
          <w:szCs w:val="32"/>
          <w:shd w:val="clear" w:color="auto" w:fill="FFFFFF"/>
        </w:rPr>
        <w:t>项目绩效自评结果，详细报告及绩效自评表见附件一、附件二。</w:t>
      </w:r>
    </w:p>
    <w:p w:rsidR="00E676B7" w:rsidRDefault="00DF730E">
      <w:pPr>
        <w:spacing w:line="520" w:lineRule="auto"/>
        <w:ind w:firstLine="560"/>
        <w:rPr>
          <w:rFonts w:ascii="仿宋" w:eastAsia="仿宋" w:hAnsi="仿宋" w:cs="仿宋" w:hint="eastAsia"/>
          <w:kern w:val="0"/>
          <w:sz w:val="32"/>
          <w:szCs w:val="32"/>
          <w:shd w:val="clear" w:color="auto" w:fill="FFFFFF"/>
        </w:rPr>
      </w:pPr>
      <w:r>
        <w:rPr>
          <w:rFonts w:ascii="仿宋" w:eastAsia="仿宋" w:hAnsi="仿宋" w:cs="仿宋" w:hint="eastAsia"/>
          <w:kern w:val="0"/>
          <w:sz w:val="32"/>
          <w:szCs w:val="32"/>
          <w:shd w:val="clear" w:color="auto" w:fill="FFFFFF"/>
        </w:rPr>
        <w:t xml:space="preserve"> </w:t>
      </w:r>
      <w:r w:rsidR="00667A95">
        <w:rPr>
          <w:rFonts w:ascii="仿宋" w:eastAsia="仿宋" w:hAnsi="仿宋" w:cs="仿宋" w:hint="eastAsia"/>
          <w:kern w:val="0"/>
          <w:sz w:val="32"/>
          <w:szCs w:val="32"/>
          <w:shd w:val="clear" w:color="auto" w:fill="FFFFFF"/>
        </w:rPr>
        <w:t>“美丽乡村”建设专项资金项目绩效自评综述：根据年初设定的绩效目标，项目自评得分89分，自评结论为“良”。项目全年预算数为5,914.97万元，执行数为5,063.06万元，完成预算的85.6%。项目绩效目标完成情况：一是已完成创建精品村6个并通过台州市验收、精品线路1条、美丽乡村示范镇1个、创建16000多户美丽庭院；二是完成第五批历史文化村落保护利用重点村1个并通过省级验收、一般村5个；三是完成石屋保护利用一般村1个。发现的问题及原因：一是规划不完善，特色不突显；二是各地有差异，推进不平衡；三是重硬件建设，轻文化软实力。下一步改进措施：一是坚持规划引领，抓好美丽乡村创建项目；二是强化责任意识，注重协调配合；三是重视建后管护，改变乡风陋习。</w:t>
      </w:r>
    </w:p>
    <w:tbl>
      <w:tblPr>
        <w:tblW w:w="8551" w:type="dxa"/>
        <w:tblLayout w:type="fixed"/>
        <w:tblCellMar>
          <w:left w:w="10" w:type="dxa"/>
          <w:right w:w="10" w:type="dxa"/>
        </w:tblCellMar>
        <w:tblLook w:val="04A0"/>
      </w:tblPr>
      <w:tblGrid>
        <w:gridCol w:w="1400"/>
        <w:gridCol w:w="851"/>
        <w:gridCol w:w="1502"/>
        <w:gridCol w:w="478"/>
        <w:gridCol w:w="743"/>
        <w:gridCol w:w="1155"/>
        <w:gridCol w:w="652"/>
        <w:gridCol w:w="1770"/>
      </w:tblGrid>
      <w:tr w:rsidR="00156F3B" w:rsidTr="005B2745">
        <w:trPr>
          <w:trHeight w:val="448"/>
        </w:trPr>
        <w:tc>
          <w:tcPr>
            <w:tcW w:w="855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sz w:val="24"/>
              </w:rPr>
            </w:pPr>
            <w:r>
              <w:rPr>
                <w:rFonts w:ascii="仿宋" w:eastAsia="仿宋" w:hAnsi="仿宋" w:cs="仿宋"/>
                <w:b/>
                <w:sz w:val="24"/>
              </w:rPr>
              <w:t>一、项 目 基 本 概 况</w:t>
            </w:r>
          </w:p>
        </w:tc>
      </w:tr>
      <w:tr w:rsidR="00156F3B" w:rsidTr="005B2745">
        <w:trPr>
          <w:trHeight w:val="468"/>
        </w:trPr>
        <w:tc>
          <w:tcPr>
            <w:tcW w:w="22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sz w:val="24"/>
              </w:rPr>
            </w:pPr>
            <w:r>
              <w:rPr>
                <w:rFonts w:ascii="仿宋" w:eastAsia="仿宋" w:hAnsi="仿宋" w:cs="仿宋"/>
                <w:sz w:val="24"/>
              </w:rPr>
              <w:lastRenderedPageBreak/>
              <w:t>项目负责人</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宋体" w:hAnsi="宋体" w:cs="宋体"/>
                <w:sz w:val="24"/>
              </w:rPr>
            </w:pPr>
          </w:p>
        </w:tc>
        <w:tc>
          <w:tcPr>
            <w:tcW w:w="18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sz w:val="24"/>
              </w:rPr>
            </w:pPr>
            <w:r>
              <w:rPr>
                <w:rFonts w:ascii="仿宋" w:eastAsia="仿宋" w:hAnsi="仿宋" w:cs="仿宋"/>
                <w:sz w:val="24"/>
              </w:rPr>
              <w:t>联系电话</w:t>
            </w:r>
          </w:p>
        </w:tc>
        <w:tc>
          <w:tcPr>
            <w:tcW w:w="24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宋体" w:hAnsi="宋体" w:cs="宋体"/>
                <w:sz w:val="24"/>
              </w:rPr>
            </w:pPr>
          </w:p>
        </w:tc>
      </w:tr>
      <w:tr w:rsidR="00156F3B" w:rsidTr="005B2745">
        <w:trPr>
          <w:cantSplit/>
          <w:trHeight w:val="503"/>
        </w:trPr>
        <w:tc>
          <w:tcPr>
            <w:tcW w:w="22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sz w:val="24"/>
              </w:rPr>
            </w:pPr>
            <w:r>
              <w:rPr>
                <w:rFonts w:ascii="仿宋" w:eastAsia="仿宋" w:hAnsi="仿宋" w:cs="仿宋"/>
                <w:sz w:val="24"/>
              </w:rPr>
              <w:t>地     址</w:t>
            </w:r>
          </w:p>
        </w:tc>
        <w:tc>
          <w:tcPr>
            <w:tcW w:w="38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sz w:val="24"/>
              </w:rPr>
            </w:pPr>
            <w:r>
              <w:rPr>
                <w:rFonts w:ascii="仿宋" w:eastAsia="仿宋" w:hAnsi="仿宋" w:cs="仿宋" w:hint="eastAsia"/>
                <w:sz w:val="24"/>
              </w:rPr>
              <w:t>温岭市农业农村和水利局大楼</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sz w:val="24"/>
              </w:rPr>
            </w:pPr>
            <w:r>
              <w:rPr>
                <w:rFonts w:ascii="仿宋" w:eastAsia="仿宋" w:hAnsi="仿宋" w:cs="仿宋"/>
                <w:sz w:val="24"/>
              </w:rPr>
              <w:t>邮编</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sz w:val="24"/>
              </w:rPr>
            </w:pPr>
            <w:r>
              <w:rPr>
                <w:rFonts w:ascii="仿宋" w:eastAsia="仿宋" w:hAnsi="仿宋" w:cs="仿宋"/>
                <w:sz w:val="24"/>
              </w:rPr>
              <w:t>317500</w:t>
            </w:r>
          </w:p>
        </w:tc>
      </w:tr>
      <w:tr w:rsidR="00156F3B" w:rsidTr="005B2745">
        <w:trPr>
          <w:cantSplit/>
          <w:trHeight w:val="495"/>
        </w:trPr>
        <w:tc>
          <w:tcPr>
            <w:tcW w:w="22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sz w:val="24"/>
              </w:rPr>
            </w:pPr>
            <w:r>
              <w:rPr>
                <w:rFonts w:ascii="仿宋" w:eastAsia="仿宋" w:hAnsi="仿宋" w:cs="仿宋"/>
                <w:sz w:val="24"/>
              </w:rPr>
              <w:t>项目起止时间</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sz w:val="24"/>
              </w:rPr>
            </w:pPr>
            <w:r>
              <w:rPr>
                <w:rFonts w:ascii="仿宋" w:eastAsia="仿宋" w:hAnsi="仿宋" w:cs="仿宋"/>
                <w:sz w:val="24"/>
              </w:rPr>
              <w:t>20</w:t>
            </w:r>
            <w:r>
              <w:rPr>
                <w:rFonts w:ascii="仿宋" w:eastAsia="仿宋" w:hAnsi="仿宋" w:cs="仿宋" w:hint="eastAsia"/>
                <w:sz w:val="24"/>
              </w:rPr>
              <w:t>20</w:t>
            </w:r>
            <w:r>
              <w:rPr>
                <w:rFonts w:ascii="仿宋" w:eastAsia="仿宋" w:hAnsi="仿宋" w:cs="仿宋"/>
                <w:sz w:val="24"/>
              </w:rPr>
              <w:t>年1月1日至20</w:t>
            </w:r>
            <w:r>
              <w:rPr>
                <w:rFonts w:ascii="仿宋" w:eastAsia="仿宋" w:hAnsi="仿宋" w:cs="仿宋" w:hint="eastAsia"/>
                <w:sz w:val="24"/>
              </w:rPr>
              <w:t>20</w:t>
            </w:r>
            <w:r>
              <w:rPr>
                <w:rFonts w:ascii="仿宋" w:eastAsia="仿宋" w:hAnsi="仿宋" w:cs="仿宋"/>
                <w:sz w:val="24"/>
              </w:rPr>
              <w:t>年12月31日</w:t>
            </w:r>
          </w:p>
        </w:tc>
      </w:tr>
      <w:tr w:rsidR="00156F3B" w:rsidTr="005B2745">
        <w:trPr>
          <w:trHeight w:val="892"/>
        </w:trPr>
        <w:tc>
          <w:tcPr>
            <w:tcW w:w="22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400" w:lineRule="auto"/>
              <w:jc w:val="center"/>
              <w:rPr>
                <w:rFonts w:ascii="仿宋" w:eastAsia="仿宋" w:hAnsi="仿宋" w:cs="仿宋"/>
                <w:sz w:val="24"/>
              </w:rPr>
            </w:pPr>
            <w:r>
              <w:rPr>
                <w:rFonts w:ascii="仿宋" w:eastAsia="仿宋" w:hAnsi="仿宋" w:cs="仿宋"/>
                <w:sz w:val="24"/>
              </w:rPr>
              <w:t>计划安排</w:t>
            </w:r>
          </w:p>
          <w:p w:rsidR="00156F3B" w:rsidRDefault="00156F3B" w:rsidP="005B2745">
            <w:pPr>
              <w:spacing w:line="400" w:lineRule="auto"/>
              <w:jc w:val="center"/>
              <w:rPr>
                <w:sz w:val="24"/>
              </w:rPr>
            </w:pPr>
            <w:r>
              <w:rPr>
                <w:rFonts w:ascii="仿宋" w:eastAsia="仿宋" w:hAnsi="仿宋" w:cs="仿宋"/>
                <w:sz w:val="24"/>
              </w:rPr>
              <w:t>资金（万元）</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400" w:lineRule="auto"/>
              <w:jc w:val="center"/>
              <w:rPr>
                <w:rFonts w:ascii="仿宋" w:eastAsia="仿宋" w:hAnsi="仿宋" w:cs="仿宋"/>
                <w:sz w:val="24"/>
              </w:rPr>
            </w:pPr>
            <w:r>
              <w:rPr>
                <w:rFonts w:ascii="仿宋" w:eastAsia="仿宋" w:hAnsi="仿宋" w:cs="仿宋" w:hint="eastAsia"/>
                <w:sz w:val="24"/>
              </w:rPr>
              <w:t>5914.97</w:t>
            </w:r>
          </w:p>
        </w:tc>
        <w:tc>
          <w:tcPr>
            <w:tcW w:w="255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400" w:lineRule="auto"/>
              <w:jc w:val="center"/>
              <w:rPr>
                <w:rFonts w:ascii="仿宋" w:eastAsia="仿宋" w:hAnsi="仿宋" w:cs="仿宋"/>
                <w:sz w:val="24"/>
              </w:rPr>
            </w:pPr>
            <w:r>
              <w:rPr>
                <w:rFonts w:ascii="仿宋" w:eastAsia="仿宋" w:hAnsi="仿宋" w:cs="仿宋" w:hint="eastAsia"/>
                <w:sz w:val="24"/>
              </w:rPr>
              <w:t>实际到位</w:t>
            </w:r>
          </w:p>
          <w:p w:rsidR="00156F3B" w:rsidRDefault="00156F3B" w:rsidP="005B2745">
            <w:pPr>
              <w:spacing w:line="400" w:lineRule="auto"/>
              <w:jc w:val="center"/>
              <w:rPr>
                <w:rFonts w:ascii="仿宋" w:eastAsia="仿宋" w:hAnsi="仿宋" w:cs="仿宋"/>
                <w:sz w:val="24"/>
              </w:rPr>
            </w:pPr>
            <w:r>
              <w:rPr>
                <w:rFonts w:ascii="仿宋" w:eastAsia="仿宋" w:hAnsi="仿宋" w:cs="仿宋" w:hint="eastAsia"/>
                <w:sz w:val="24"/>
              </w:rPr>
              <w:t>资金(万元)</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400" w:lineRule="auto"/>
              <w:jc w:val="center"/>
              <w:rPr>
                <w:rFonts w:ascii="仿宋" w:eastAsia="仿宋" w:hAnsi="仿宋" w:cs="仿宋"/>
                <w:sz w:val="24"/>
              </w:rPr>
            </w:pPr>
            <w:r>
              <w:rPr>
                <w:rFonts w:ascii="仿宋" w:eastAsia="仿宋" w:hAnsi="仿宋" w:cs="仿宋" w:hint="eastAsia"/>
                <w:sz w:val="24"/>
              </w:rPr>
              <w:t>5063.0648</w:t>
            </w:r>
          </w:p>
        </w:tc>
      </w:tr>
      <w:tr w:rsidR="00156F3B" w:rsidTr="005B2745">
        <w:trPr>
          <w:trHeight w:val="368"/>
        </w:trPr>
        <w:tc>
          <w:tcPr>
            <w:tcW w:w="22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sz w:val="24"/>
              </w:rPr>
            </w:pPr>
            <w:r>
              <w:rPr>
                <w:rFonts w:ascii="仿宋" w:eastAsia="仿宋" w:hAnsi="仿宋" w:cs="仿宋"/>
                <w:sz w:val="24"/>
              </w:rPr>
              <w:t>其中：中央财政</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p>
        </w:tc>
        <w:tc>
          <w:tcPr>
            <w:tcW w:w="255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r>
              <w:rPr>
                <w:rFonts w:ascii="仿宋" w:eastAsia="仿宋" w:hAnsi="仿宋" w:cs="仿宋" w:hint="eastAsia"/>
                <w:sz w:val="24"/>
              </w:rPr>
              <w:t>其中：中央财政</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p>
        </w:tc>
      </w:tr>
      <w:tr w:rsidR="00156F3B" w:rsidTr="005B2745">
        <w:trPr>
          <w:trHeight w:val="452"/>
        </w:trPr>
        <w:tc>
          <w:tcPr>
            <w:tcW w:w="22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ind w:firstLine="887"/>
              <w:jc w:val="center"/>
              <w:rPr>
                <w:sz w:val="24"/>
              </w:rPr>
            </w:pPr>
            <w:r>
              <w:rPr>
                <w:rFonts w:ascii="仿宋" w:eastAsia="仿宋" w:hAnsi="仿宋" w:cs="仿宋"/>
                <w:sz w:val="24"/>
              </w:rPr>
              <w:t>省财政</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r>
              <w:rPr>
                <w:rFonts w:ascii="仿宋" w:eastAsia="仿宋" w:hAnsi="仿宋" w:cs="仿宋" w:hint="eastAsia"/>
                <w:sz w:val="24"/>
              </w:rPr>
              <w:t>114.7609</w:t>
            </w:r>
          </w:p>
        </w:tc>
        <w:tc>
          <w:tcPr>
            <w:tcW w:w="255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ind w:firstLine="887"/>
              <w:jc w:val="center"/>
              <w:rPr>
                <w:rFonts w:ascii="仿宋" w:eastAsia="仿宋" w:hAnsi="仿宋" w:cs="仿宋"/>
                <w:sz w:val="24"/>
              </w:rPr>
            </w:pPr>
            <w:r>
              <w:rPr>
                <w:rFonts w:ascii="仿宋" w:eastAsia="仿宋" w:hAnsi="仿宋" w:cs="仿宋" w:hint="eastAsia"/>
                <w:sz w:val="24"/>
              </w:rPr>
              <w:t>省财政</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r>
              <w:rPr>
                <w:rFonts w:ascii="仿宋" w:eastAsia="仿宋" w:hAnsi="仿宋" w:cs="仿宋" w:hint="eastAsia"/>
                <w:sz w:val="24"/>
              </w:rPr>
              <w:t>114.7609</w:t>
            </w:r>
          </w:p>
        </w:tc>
      </w:tr>
      <w:tr w:rsidR="00156F3B" w:rsidTr="005B2745">
        <w:trPr>
          <w:trHeight w:val="407"/>
        </w:trPr>
        <w:tc>
          <w:tcPr>
            <w:tcW w:w="22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ind w:firstLine="887"/>
              <w:jc w:val="center"/>
              <w:rPr>
                <w:sz w:val="24"/>
              </w:rPr>
            </w:pPr>
            <w:r>
              <w:rPr>
                <w:rFonts w:ascii="仿宋" w:eastAsia="仿宋" w:hAnsi="仿宋" w:cs="仿宋"/>
                <w:sz w:val="24"/>
              </w:rPr>
              <w:t>市县财政</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r>
              <w:rPr>
                <w:rFonts w:ascii="仿宋" w:eastAsia="仿宋" w:hAnsi="仿宋" w:cs="仿宋" w:hint="eastAsia"/>
                <w:sz w:val="24"/>
              </w:rPr>
              <w:t>3096.258</w:t>
            </w:r>
          </w:p>
        </w:tc>
        <w:tc>
          <w:tcPr>
            <w:tcW w:w="255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ind w:firstLine="887"/>
              <w:jc w:val="center"/>
              <w:rPr>
                <w:rFonts w:ascii="仿宋" w:eastAsia="仿宋" w:hAnsi="仿宋" w:cs="仿宋"/>
                <w:sz w:val="24"/>
              </w:rPr>
            </w:pPr>
            <w:r>
              <w:rPr>
                <w:rFonts w:ascii="仿宋" w:eastAsia="仿宋" w:hAnsi="仿宋" w:cs="仿宋" w:hint="eastAsia"/>
                <w:sz w:val="24"/>
              </w:rPr>
              <w:t>市县财政</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r>
              <w:rPr>
                <w:rFonts w:ascii="仿宋" w:eastAsia="仿宋" w:hAnsi="仿宋" w:cs="仿宋" w:hint="eastAsia"/>
                <w:sz w:val="24"/>
              </w:rPr>
              <w:t>3044.3528</w:t>
            </w:r>
          </w:p>
        </w:tc>
      </w:tr>
      <w:tr w:rsidR="00156F3B" w:rsidTr="005B2745">
        <w:tc>
          <w:tcPr>
            <w:tcW w:w="22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ind w:firstLine="887"/>
              <w:jc w:val="center"/>
              <w:rPr>
                <w:sz w:val="24"/>
              </w:rPr>
            </w:pPr>
            <w:r>
              <w:rPr>
                <w:rFonts w:ascii="仿宋" w:eastAsia="仿宋" w:hAnsi="仿宋" w:cs="仿宋"/>
                <w:sz w:val="24"/>
              </w:rPr>
              <w:t>其它</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r>
              <w:rPr>
                <w:rFonts w:ascii="仿宋" w:eastAsia="仿宋" w:hAnsi="仿宋" w:cs="仿宋" w:hint="eastAsia"/>
                <w:sz w:val="24"/>
              </w:rPr>
              <w:t>1903.9511</w:t>
            </w:r>
          </w:p>
        </w:tc>
        <w:tc>
          <w:tcPr>
            <w:tcW w:w="255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ind w:firstLine="887"/>
              <w:jc w:val="center"/>
              <w:rPr>
                <w:rFonts w:ascii="仿宋" w:eastAsia="仿宋" w:hAnsi="仿宋" w:cs="仿宋"/>
                <w:sz w:val="24"/>
              </w:rPr>
            </w:pPr>
            <w:r>
              <w:rPr>
                <w:rFonts w:ascii="仿宋" w:eastAsia="仿宋" w:hAnsi="仿宋" w:cs="仿宋" w:hint="eastAsia"/>
                <w:sz w:val="24"/>
              </w:rPr>
              <w:t>其它</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r>
              <w:rPr>
                <w:rFonts w:ascii="仿宋" w:eastAsia="仿宋" w:hAnsi="仿宋" w:cs="仿宋" w:hint="eastAsia"/>
                <w:sz w:val="24"/>
              </w:rPr>
              <w:t>1903.9511</w:t>
            </w:r>
          </w:p>
        </w:tc>
      </w:tr>
      <w:tr w:rsidR="00156F3B" w:rsidTr="005B2745">
        <w:trPr>
          <w:trHeight w:val="418"/>
        </w:trPr>
        <w:tc>
          <w:tcPr>
            <w:tcW w:w="22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400" w:lineRule="auto"/>
              <w:jc w:val="center"/>
              <w:rPr>
                <w:sz w:val="24"/>
              </w:rPr>
            </w:pPr>
            <w:r>
              <w:rPr>
                <w:rFonts w:ascii="仿宋" w:eastAsia="仿宋" w:hAnsi="仿宋" w:cs="仿宋"/>
                <w:sz w:val="24"/>
              </w:rPr>
              <w:t>实际支出(万元)</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r>
              <w:rPr>
                <w:rFonts w:ascii="仿宋" w:eastAsia="仿宋" w:hAnsi="仿宋" w:cs="仿宋" w:hint="eastAsia"/>
                <w:sz w:val="24"/>
              </w:rPr>
              <w:t>5063.0648</w:t>
            </w:r>
          </w:p>
        </w:tc>
      </w:tr>
      <w:tr w:rsidR="00156F3B" w:rsidTr="005B2745">
        <w:trPr>
          <w:cantSplit/>
          <w:trHeight w:val="488"/>
        </w:trPr>
        <w:tc>
          <w:tcPr>
            <w:tcW w:w="855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sz w:val="24"/>
              </w:rPr>
            </w:pPr>
            <w:r>
              <w:rPr>
                <w:rFonts w:ascii="仿宋" w:eastAsia="仿宋" w:hAnsi="仿宋" w:cs="仿宋"/>
                <w:b/>
                <w:sz w:val="24"/>
              </w:rPr>
              <w:t>二、项目支出明细情况</w:t>
            </w:r>
          </w:p>
        </w:tc>
      </w:tr>
      <w:tr w:rsidR="00156F3B" w:rsidTr="005B2745">
        <w:trPr>
          <w:cantSplit/>
          <w:trHeight w:val="877"/>
        </w:trPr>
        <w:tc>
          <w:tcPr>
            <w:tcW w:w="37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400" w:lineRule="auto"/>
              <w:jc w:val="center"/>
              <w:rPr>
                <w:rFonts w:ascii="仿宋" w:eastAsia="仿宋" w:hAnsi="仿宋" w:cs="仿宋"/>
                <w:sz w:val="24"/>
              </w:rPr>
            </w:pPr>
            <w:r>
              <w:rPr>
                <w:rFonts w:ascii="仿宋" w:eastAsia="仿宋" w:hAnsi="仿宋" w:cs="仿宋"/>
                <w:sz w:val="24"/>
              </w:rPr>
              <w:t>支出内容</w:t>
            </w:r>
          </w:p>
          <w:p w:rsidR="00156F3B" w:rsidRDefault="00156F3B" w:rsidP="005B2745">
            <w:pPr>
              <w:spacing w:line="400" w:lineRule="auto"/>
              <w:jc w:val="center"/>
              <w:rPr>
                <w:sz w:val="24"/>
              </w:rPr>
            </w:pPr>
            <w:r>
              <w:rPr>
                <w:rFonts w:ascii="仿宋" w:eastAsia="仿宋" w:hAnsi="仿宋" w:cs="仿宋"/>
                <w:sz w:val="24"/>
              </w:rPr>
              <w:t>（经济科目）</w:t>
            </w:r>
          </w:p>
        </w:tc>
        <w:tc>
          <w:tcPr>
            <w:tcW w:w="23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400" w:lineRule="auto"/>
              <w:jc w:val="center"/>
              <w:rPr>
                <w:sz w:val="24"/>
              </w:rPr>
            </w:pPr>
            <w:r>
              <w:rPr>
                <w:rFonts w:ascii="仿宋" w:eastAsia="仿宋" w:hAnsi="仿宋" w:cs="仿宋"/>
                <w:sz w:val="24"/>
              </w:rPr>
              <w:t>计划支出数（万元）</w:t>
            </w:r>
          </w:p>
        </w:tc>
        <w:tc>
          <w:tcPr>
            <w:tcW w:w="24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sz w:val="24"/>
              </w:rPr>
            </w:pPr>
            <w:r>
              <w:rPr>
                <w:rFonts w:ascii="仿宋" w:eastAsia="仿宋" w:hAnsi="仿宋" w:cs="仿宋"/>
                <w:sz w:val="24"/>
              </w:rPr>
              <w:t>实际支出数(万元)</w:t>
            </w:r>
          </w:p>
        </w:tc>
      </w:tr>
      <w:tr w:rsidR="00156F3B" w:rsidTr="005B2745">
        <w:trPr>
          <w:cantSplit/>
          <w:trHeight w:val="543"/>
        </w:trPr>
        <w:tc>
          <w:tcPr>
            <w:tcW w:w="37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r>
              <w:rPr>
                <w:rFonts w:ascii="仿宋" w:eastAsia="仿宋" w:hAnsi="仿宋" w:cs="仿宋"/>
                <w:sz w:val="24"/>
              </w:rPr>
              <w:t>美丽乡村建设资金</w:t>
            </w:r>
          </w:p>
        </w:tc>
        <w:tc>
          <w:tcPr>
            <w:tcW w:w="23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r>
              <w:rPr>
                <w:rFonts w:ascii="仿宋" w:eastAsia="仿宋" w:hAnsi="仿宋" w:cs="仿宋" w:hint="eastAsia"/>
                <w:sz w:val="24"/>
              </w:rPr>
              <w:t>5914.97</w:t>
            </w:r>
          </w:p>
        </w:tc>
        <w:tc>
          <w:tcPr>
            <w:tcW w:w="24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r>
              <w:rPr>
                <w:rFonts w:ascii="仿宋" w:eastAsia="仿宋" w:hAnsi="仿宋" w:cs="仿宋" w:hint="eastAsia"/>
                <w:sz w:val="24"/>
              </w:rPr>
              <w:t>5063.0648</w:t>
            </w:r>
          </w:p>
        </w:tc>
      </w:tr>
      <w:tr w:rsidR="00156F3B" w:rsidTr="005B2745">
        <w:trPr>
          <w:cantSplit/>
          <w:trHeight w:val="598"/>
        </w:trPr>
        <w:tc>
          <w:tcPr>
            <w:tcW w:w="37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sz w:val="24"/>
              </w:rPr>
            </w:pPr>
            <w:r>
              <w:rPr>
                <w:rFonts w:ascii="仿宋" w:eastAsia="仿宋" w:hAnsi="仿宋" w:cs="仿宋"/>
                <w:sz w:val="24"/>
              </w:rPr>
              <w:t>支出合计</w:t>
            </w:r>
          </w:p>
        </w:tc>
        <w:tc>
          <w:tcPr>
            <w:tcW w:w="23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r>
              <w:rPr>
                <w:rFonts w:ascii="仿宋" w:eastAsia="仿宋" w:hAnsi="仿宋" w:cs="仿宋" w:hint="eastAsia"/>
                <w:sz w:val="24"/>
              </w:rPr>
              <w:t>5914.97</w:t>
            </w:r>
          </w:p>
        </w:tc>
        <w:tc>
          <w:tcPr>
            <w:tcW w:w="24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jc w:val="center"/>
              <w:rPr>
                <w:rFonts w:ascii="仿宋" w:eastAsia="仿宋" w:hAnsi="仿宋" w:cs="仿宋"/>
                <w:sz w:val="24"/>
              </w:rPr>
            </w:pPr>
            <w:r>
              <w:rPr>
                <w:rFonts w:ascii="仿宋" w:eastAsia="仿宋" w:hAnsi="仿宋" w:cs="仿宋" w:hint="eastAsia"/>
                <w:sz w:val="24"/>
              </w:rPr>
              <w:t>5063.0648</w:t>
            </w:r>
          </w:p>
        </w:tc>
      </w:tr>
      <w:tr w:rsidR="00156F3B" w:rsidTr="005B2745">
        <w:trPr>
          <w:cantSplit/>
          <w:trHeight w:val="425"/>
        </w:trPr>
        <w:tc>
          <w:tcPr>
            <w:tcW w:w="855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440" w:lineRule="auto"/>
              <w:jc w:val="center"/>
              <w:rPr>
                <w:sz w:val="24"/>
              </w:rPr>
            </w:pPr>
            <w:r>
              <w:rPr>
                <w:rFonts w:ascii="仿宋" w:eastAsia="仿宋" w:hAnsi="仿宋" w:cs="仿宋"/>
                <w:b/>
                <w:sz w:val="24"/>
              </w:rPr>
              <w:t>三、项目绩效情况</w:t>
            </w:r>
          </w:p>
        </w:tc>
      </w:tr>
      <w:tr w:rsidR="00156F3B" w:rsidTr="005B2745">
        <w:trPr>
          <w:cantSplit/>
        </w:trPr>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360" w:lineRule="auto"/>
              <w:ind w:firstLine="560"/>
              <w:jc w:val="center"/>
              <w:rPr>
                <w:rFonts w:ascii="宋体" w:hAnsi="宋体" w:cs="宋体"/>
                <w:sz w:val="24"/>
              </w:rPr>
            </w:pPr>
          </w:p>
        </w:tc>
        <w:tc>
          <w:tcPr>
            <w:tcW w:w="35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360" w:lineRule="auto"/>
              <w:jc w:val="center"/>
              <w:rPr>
                <w:sz w:val="24"/>
              </w:rPr>
            </w:pPr>
            <w:r>
              <w:rPr>
                <w:rFonts w:ascii="仿宋" w:eastAsia="仿宋" w:hAnsi="仿宋" w:cs="仿宋"/>
                <w:sz w:val="24"/>
              </w:rPr>
              <w:t>预  期</w:t>
            </w:r>
          </w:p>
        </w:tc>
        <w:tc>
          <w:tcPr>
            <w:tcW w:w="35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360" w:lineRule="auto"/>
              <w:jc w:val="center"/>
              <w:rPr>
                <w:sz w:val="24"/>
              </w:rPr>
            </w:pPr>
            <w:r>
              <w:rPr>
                <w:rFonts w:ascii="仿宋" w:eastAsia="仿宋" w:hAnsi="仿宋" w:cs="仿宋"/>
                <w:sz w:val="24"/>
              </w:rPr>
              <w:t>实  际</w:t>
            </w:r>
          </w:p>
        </w:tc>
      </w:tr>
      <w:tr w:rsidR="00156F3B" w:rsidTr="005B2745">
        <w:trPr>
          <w:cantSplit/>
          <w:trHeight w:val="4832"/>
        </w:trPr>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420" w:lineRule="auto"/>
              <w:jc w:val="center"/>
              <w:rPr>
                <w:sz w:val="24"/>
              </w:rPr>
            </w:pPr>
            <w:r>
              <w:rPr>
                <w:rFonts w:ascii="仿宋" w:eastAsia="仿宋" w:hAnsi="仿宋" w:cs="仿宋"/>
                <w:sz w:val="24"/>
              </w:rPr>
              <w:t>项目绩效目标及实施计划完成情况</w:t>
            </w:r>
          </w:p>
        </w:tc>
        <w:tc>
          <w:tcPr>
            <w:tcW w:w="35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420" w:lineRule="auto"/>
              <w:ind w:firstLine="480"/>
              <w:jc w:val="left"/>
              <w:rPr>
                <w:sz w:val="24"/>
              </w:rPr>
            </w:pPr>
            <w:r>
              <w:rPr>
                <w:rFonts w:ascii="仿宋" w:eastAsia="仿宋" w:hAnsi="仿宋" w:cs="仿宋"/>
                <w:sz w:val="24"/>
              </w:rPr>
              <w:t>计划启动</w:t>
            </w:r>
            <w:r>
              <w:rPr>
                <w:rFonts w:ascii="仿宋" w:eastAsia="仿宋" w:hAnsi="仿宋" w:cs="仿宋" w:hint="eastAsia"/>
                <w:sz w:val="24"/>
              </w:rPr>
              <w:t>精品村5个村、特色村40个村、精品线路2条</w:t>
            </w:r>
            <w:r>
              <w:rPr>
                <w:rFonts w:ascii="仿宋" w:eastAsia="仿宋" w:hAnsi="仿宋" w:cs="仿宋"/>
                <w:sz w:val="24"/>
              </w:rPr>
              <w:t>；启</w:t>
            </w:r>
            <w:r>
              <w:rPr>
                <w:rFonts w:ascii="仿宋" w:eastAsia="仿宋" w:hAnsi="仿宋" w:cs="仿宋" w:hint="eastAsia"/>
                <w:sz w:val="24"/>
              </w:rPr>
              <w:t>动</w:t>
            </w:r>
            <w:r>
              <w:rPr>
                <w:rFonts w:ascii="仿宋" w:eastAsia="仿宋" w:hAnsi="仿宋" w:cs="仿宋"/>
                <w:sz w:val="24"/>
              </w:rPr>
              <w:t>石屋保护利用一般村</w:t>
            </w:r>
            <w:r>
              <w:rPr>
                <w:rFonts w:ascii="仿宋" w:eastAsia="仿宋" w:hAnsi="仿宋" w:cs="仿宋" w:hint="eastAsia"/>
                <w:sz w:val="24"/>
              </w:rPr>
              <w:t>2</w:t>
            </w:r>
            <w:r>
              <w:rPr>
                <w:rFonts w:ascii="仿宋" w:eastAsia="仿宋" w:hAnsi="仿宋" w:cs="仿宋"/>
                <w:sz w:val="24"/>
              </w:rPr>
              <w:t>个</w:t>
            </w:r>
            <w:r>
              <w:rPr>
                <w:rFonts w:ascii="仿宋" w:eastAsia="仿宋" w:hAnsi="仿宋" w:cs="仿宋" w:hint="eastAsia"/>
                <w:sz w:val="24"/>
              </w:rPr>
              <w:t>；市级美丽庭院示范村30个；创建台州市级美丽乡村示范乡镇1个；创建新时代美丽乡村特色区块1个；支付以前年度启动未完工的项目奖补资金</w:t>
            </w:r>
            <w:r>
              <w:rPr>
                <w:rFonts w:ascii="仿宋" w:eastAsia="仿宋" w:hAnsi="仿宋" w:cs="仿宋"/>
                <w:sz w:val="24"/>
              </w:rPr>
              <w:t>。</w:t>
            </w:r>
          </w:p>
        </w:tc>
        <w:tc>
          <w:tcPr>
            <w:tcW w:w="35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6F3B" w:rsidRDefault="00156F3B" w:rsidP="005B2745">
            <w:pPr>
              <w:spacing w:line="420" w:lineRule="auto"/>
              <w:ind w:firstLine="480"/>
              <w:jc w:val="left"/>
              <w:rPr>
                <w:rFonts w:eastAsia="仿宋"/>
                <w:sz w:val="24"/>
              </w:rPr>
            </w:pPr>
            <w:r>
              <w:rPr>
                <w:rFonts w:ascii="仿宋" w:eastAsia="仿宋" w:hAnsi="仿宋" w:cs="仿宋" w:hint="eastAsia"/>
                <w:sz w:val="24"/>
              </w:rPr>
              <w:t>已完成创建精品村6个并通过台州市验收、精品线路1条、美丽乡村示范镇1个、创建</w:t>
            </w:r>
            <w:r>
              <w:rPr>
                <w:rFonts w:ascii="仿宋" w:eastAsia="仿宋" w:hAnsi="仿宋" w:cs="仿宋"/>
                <w:sz w:val="24"/>
              </w:rPr>
              <w:t>1</w:t>
            </w:r>
            <w:r>
              <w:rPr>
                <w:rFonts w:ascii="仿宋" w:eastAsia="仿宋" w:hAnsi="仿宋" w:cs="仿宋" w:hint="eastAsia"/>
                <w:sz w:val="24"/>
              </w:rPr>
              <w:t>6</w:t>
            </w:r>
            <w:r>
              <w:rPr>
                <w:rFonts w:ascii="仿宋" w:eastAsia="仿宋" w:hAnsi="仿宋" w:cs="仿宋"/>
                <w:sz w:val="24"/>
              </w:rPr>
              <w:t>000</w:t>
            </w:r>
            <w:r>
              <w:rPr>
                <w:rFonts w:ascii="仿宋" w:eastAsia="仿宋" w:hAnsi="仿宋" w:cs="仿宋" w:hint="eastAsia"/>
                <w:sz w:val="24"/>
              </w:rPr>
              <w:t>多户美丽庭院</w:t>
            </w:r>
            <w:r>
              <w:rPr>
                <w:rFonts w:ascii="仿宋" w:eastAsia="仿宋" w:hAnsi="仿宋" w:cs="仿宋"/>
                <w:sz w:val="24"/>
              </w:rPr>
              <w:t>；</w:t>
            </w:r>
            <w:r>
              <w:rPr>
                <w:rFonts w:ascii="仿宋" w:eastAsia="仿宋" w:hAnsi="仿宋" w:cs="仿宋" w:hint="eastAsia"/>
                <w:sz w:val="24"/>
              </w:rPr>
              <w:t>完成第五批</w:t>
            </w:r>
            <w:r>
              <w:rPr>
                <w:rFonts w:ascii="仿宋" w:eastAsia="仿宋" w:hAnsi="仿宋" w:cs="仿宋"/>
                <w:sz w:val="24"/>
              </w:rPr>
              <w:t>历史文化村落保护利用重点村1个</w:t>
            </w:r>
            <w:r>
              <w:rPr>
                <w:rFonts w:ascii="仿宋" w:eastAsia="仿宋" w:hAnsi="仿宋" w:cs="仿宋" w:hint="eastAsia"/>
                <w:sz w:val="24"/>
              </w:rPr>
              <w:t>并通过省级验收</w:t>
            </w:r>
            <w:r>
              <w:rPr>
                <w:rFonts w:ascii="仿宋" w:eastAsia="仿宋" w:hAnsi="仿宋" w:cs="仿宋"/>
                <w:sz w:val="24"/>
              </w:rPr>
              <w:t>、一般村</w:t>
            </w:r>
            <w:r>
              <w:rPr>
                <w:rFonts w:ascii="仿宋" w:eastAsia="仿宋" w:hAnsi="仿宋" w:cs="仿宋" w:hint="eastAsia"/>
                <w:sz w:val="24"/>
              </w:rPr>
              <w:t>5</w:t>
            </w:r>
            <w:r>
              <w:rPr>
                <w:rFonts w:ascii="仿宋" w:eastAsia="仿宋" w:hAnsi="仿宋" w:cs="仿宋"/>
                <w:sz w:val="24"/>
              </w:rPr>
              <w:t>个；</w:t>
            </w:r>
            <w:r>
              <w:rPr>
                <w:rFonts w:ascii="仿宋" w:eastAsia="仿宋" w:hAnsi="仿宋" w:cs="仿宋" w:hint="eastAsia"/>
                <w:sz w:val="24"/>
              </w:rPr>
              <w:t>完成</w:t>
            </w:r>
            <w:r>
              <w:rPr>
                <w:rFonts w:ascii="仿宋" w:eastAsia="仿宋" w:hAnsi="仿宋" w:cs="仿宋"/>
                <w:sz w:val="24"/>
              </w:rPr>
              <w:t>石屋保护利用一般村</w:t>
            </w:r>
            <w:r>
              <w:rPr>
                <w:rFonts w:ascii="仿宋" w:eastAsia="仿宋" w:hAnsi="仿宋" w:cs="仿宋" w:hint="eastAsia"/>
                <w:sz w:val="24"/>
              </w:rPr>
              <w:t>1</w:t>
            </w:r>
            <w:r>
              <w:rPr>
                <w:rFonts w:ascii="仿宋" w:eastAsia="仿宋" w:hAnsi="仿宋" w:cs="仿宋"/>
                <w:sz w:val="24"/>
              </w:rPr>
              <w:t>个。</w:t>
            </w:r>
          </w:p>
        </w:tc>
      </w:tr>
    </w:tbl>
    <w:tbl>
      <w:tblPr>
        <w:tblpPr w:leftFromText="180" w:rightFromText="180" w:vertAnchor="text" w:horzAnchor="page" w:tblpX="1668" w:tblpY="78"/>
        <w:tblOverlap w:val="never"/>
        <w:tblW w:w="8583" w:type="dxa"/>
        <w:tblLayout w:type="fixed"/>
        <w:tblCellMar>
          <w:left w:w="10" w:type="dxa"/>
          <w:right w:w="10" w:type="dxa"/>
        </w:tblCellMar>
        <w:tblLook w:val="04A0"/>
      </w:tblPr>
      <w:tblGrid>
        <w:gridCol w:w="403"/>
        <w:gridCol w:w="560"/>
        <w:gridCol w:w="1050"/>
        <w:gridCol w:w="5520"/>
        <w:gridCol w:w="540"/>
        <w:gridCol w:w="510"/>
      </w:tblGrid>
      <w:tr w:rsidR="00156F3B" w:rsidTr="005B2745">
        <w:trPr>
          <w:trHeight w:val="90"/>
        </w:trPr>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b/>
                <w:color w:val="000000"/>
                <w:sz w:val="20"/>
                <w:szCs w:val="20"/>
              </w:rPr>
              <w:lastRenderedPageBreak/>
              <w:t>评价指标</w:t>
            </w:r>
          </w:p>
        </w:tc>
        <w:tc>
          <w:tcPr>
            <w:tcW w:w="55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b/>
                <w:color w:val="000000"/>
                <w:sz w:val="20"/>
                <w:szCs w:val="20"/>
              </w:rPr>
              <w:t>分值评价内容（标准）</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b/>
                <w:color w:val="000000"/>
                <w:sz w:val="20"/>
                <w:szCs w:val="20"/>
              </w:rPr>
              <w:t>指标分值</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b/>
                <w:color w:val="000000"/>
                <w:sz w:val="20"/>
                <w:szCs w:val="20"/>
              </w:rPr>
              <w:t>评价得分</w:t>
            </w:r>
          </w:p>
        </w:tc>
      </w:tr>
      <w:tr w:rsidR="00156F3B" w:rsidTr="005B2745">
        <w:tc>
          <w:tcPr>
            <w:tcW w:w="403"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b/>
                <w:color w:val="000000"/>
                <w:sz w:val="20"/>
                <w:szCs w:val="20"/>
              </w:rPr>
              <w:t>一级</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b/>
                <w:color w:val="000000"/>
                <w:sz w:val="20"/>
                <w:szCs w:val="20"/>
              </w:rPr>
              <w:t>二级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b/>
                <w:color w:val="000000"/>
                <w:sz w:val="20"/>
                <w:szCs w:val="20"/>
              </w:rPr>
              <w:t>三级</w:t>
            </w:r>
          </w:p>
        </w:tc>
        <w:tc>
          <w:tcPr>
            <w:tcW w:w="552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r>
      <w:tr w:rsidR="00156F3B" w:rsidTr="005B2745">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color w:val="000000"/>
                <w:sz w:val="20"/>
                <w:szCs w:val="20"/>
              </w:rPr>
              <w:t>目标</w:t>
            </w:r>
            <w:r>
              <w:rPr>
                <w:rFonts w:ascii="仿宋_GB2312" w:eastAsia="仿宋_GB2312" w:hAnsi="宋体" w:cs="仿宋_GB2312" w:hint="eastAsia"/>
                <w:color w:val="000000"/>
                <w:sz w:val="20"/>
                <w:szCs w:val="20"/>
              </w:rPr>
              <w:br/>
              <w:t>管理</w:t>
            </w:r>
            <w:r>
              <w:rPr>
                <w:rFonts w:ascii="仿宋_GB2312" w:eastAsia="仿宋_GB2312" w:hAnsi="宋体" w:cs="仿宋_GB2312" w:hint="eastAsia"/>
                <w:color w:val="000000"/>
                <w:sz w:val="20"/>
                <w:szCs w:val="20"/>
              </w:rPr>
              <w:br/>
              <w:t>(15分)</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立项依据</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textAlignment w:val="center"/>
            </w:pPr>
            <w:r>
              <w:rPr>
                <w:rFonts w:ascii="仿宋_GB2312" w:eastAsia="仿宋_GB2312" w:hAnsi="宋体" w:cs="仿宋_GB2312" w:hint="eastAsia"/>
                <w:sz w:val="20"/>
                <w:szCs w:val="20"/>
              </w:rPr>
              <w:t>依据的充分性</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项目目标设定依据是否充分，充分得3分，不充分的不得分。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rPr>
                <w:rFonts w:ascii="宋体" w:hAnsi="宋体" w:cs="宋体"/>
                <w:sz w:val="22"/>
              </w:rPr>
            </w:pPr>
            <w:r>
              <w:rPr>
                <w:rFonts w:ascii="仿宋_GB2312" w:eastAsia="仿宋_GB2312" w:hAnsi="宋体" w:cs="仿宋_GB2312" w:hint="eastAsia"/>
                <w:sz w:val="20"/>
                <w:szCs w:val="20"/>
              </w:rPr>
              <w:t>决策程序</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textAlignment w:val="center"/>
            </w:pPr>
            <w:r>
              <w:rPr>
                <w:rFonts w:ascii="仿宋_GB2312" w:eastAsia="仿宋_GB2312" w:hAnsi="宋体" w:cs="仿宋_GB2312" w:hint="eastAsia"/>
                <w:sz w:val="20"/>
                <w:szCs w:val="20"/>
              </w:rPr>
              <w:t>程序合规</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计划项目建设任务的决策程序是否合规，合规得3分，有一项不合规的，扣1分，扣完为止。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rPr>
                <w:rFonts w:ascii="宋体" w:hAnsi="宋体" w:cs="宋体"/>
                <w:sz w:val="22"/>
              </w:rPr>
            </w:pPr>
            <w:r>
              <w:rPr>
                <w:rFonts w:ascii="仿宋_GB2312" w:eastAsia="仿宋_GB2312" w:hAnsi="宋体" w:cs="仿宋_GB2312" w:hint="eastAsia"/>
                <w:sz w:val="20"/>
                <w:szCs w:val="20"/>
              </w:rPr>
              <w:t>目标设定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目标合理性</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项目申报的目标经过各镇（街道）摸排上报的为1分，未经上报的不得分；项目申报经过审核、审批的为2分，未审核、审批的不得分。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目标明确性</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 xml:space="preserve">计划目标建设村、线路明确得3分；年度目标有一项不明确的，扣1分，扣完为止。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目标可量化</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计划目标建设乡村振兴的村创建完成有具体量化指标的得3分，有一项不可量化的，扣1分，扣完为止。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rPr>
                <w:rFonts w:ascii="宋体" w:hAnsi="宋体" w:cs="宋体"/>
                <w:sz w:val="22"/>
              </w:rPr>
            </w:pPr>
            <w:r>
              <w:rPr>
                <w:rFonts w:ascii="仿宋_GB2312" w:eastAsia="仿宋_GB2312" w:hAnsi="宋体" w:cs="仿宋_GB2312" w:hint="eastAsia"/>
                <w:color w:val="000000"/>
                <w:sz w:val="20"/>
                <w:szCs w:val="20"/>
              </w:rPr>
              <w:t>组织实施</w:t>
            </w:r>
            <w:r>
              <w:rPr>
                <w:rFonts w:ascii="仿宋_GB2312" w:eastAsia="仿宋_GB2312" w:hAnsi="宋体" w:cs="仿宋_GB2312" w:hint="eastAsia"/>
                <w:color w:val="000000"/>
                <w:sz w:val="20"/>
                <w:szCs w:val="20"/>
              </w:rPr>
              <w:br/>
              <w:t>(20分)</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组织支撑</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制度建设</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专项资金管理、项目管理、考核验收办法等制度健全规范的为3分，发现少一项制度扣0.5分，扣完为止。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人员建设</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各级领导小组成员单位分工明确，工作协商机制完善的为3分，分工基本明确、工作协调机制基本完善的为2分，分工不明确和工作机制不完善的为0分。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项目实施</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项目招标</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按规定组织项目通过公开招标方式确定施工，有公开招标得3分，每发现一例未进行的扣1分，扣完为止。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规划设计</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按规定组织项目通过规划设计，设计方案通过村集体会议通过</w:t>
            </w:r>
            <w:r>
              <w:rPr>
                <w:rFonts w:ascii="仿宋_GB2312" w:eastAsia="仿宋_GB2312" w:hAnsi="宋体" w:cs="仿宋_GB2312" w:hint="eastAsia"/>
                <w:sz w:val="20"/>
                <w:szCs w:val="20"/>
              </w:rPr>
              <w:lastRenderedPageBreak/>
              <w:t>得3分，每发现一例未进行的扣1分，扣完为止。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lastRenderedPageBreak/>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1050" w:type="dxa"/>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实施管理程序</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项目是否按资金管理办法的规定实行工程预（决）算制、法人负责制、监理制、合同管理制、质量监督制等管理制度得3分，每发现有一项未建立的扣0.5分，未建立的不得分。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2.5</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1050" w:type="dxa"/>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监督管理</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rPr>
                <w:rFonts w:ascii="宋体" w:hAnsi="宋体" w:cs="宋体"/>
                <w:sz w:val="22"/>
              </w:rPr>
            </w:pPr>
            <w:r>
              <w:rPr>
                <w:rFonts w:ascii="仿宋_GB2312" w:eastAsia="仿宋_GB2312" w:hAnsi="宋体" w:cs="仿宋_GB2312" w:hint="eastAsia"/>
                <w:sz w:val="20"/>
                <w:szCs w:val="20"/>
              </w:rPr>
              <w:t>项目实施过程中，建立项目监督制度，建立执行得1分，未执行不得分；项目完工后，进行考核、验收，相关记录齐全的为2分，不齐全的不得分。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2</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1050" w:type="dxa"/>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项目后续运行</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rPr>
                <w:rFonts w:ascii="宋体" w:hAnsi="宋体" w:cs="宋体"/>
                <w:sz w:val="22"/>
              </w:rPr>
            </w:pPr>
            <w:r>
              <w:rPr>
                <w:rFonts w:ascii="仿宋_GB2312" w:eastAsia="仿宋_GB2312" w:hAnsi="宋体" w:cs="仿宋_GB2312" w:hint="eastAsia"/>
                <w:sz w:val="20"/>
                <w:szCs w:val="20"/>
              </w:rPr>
              <w:t>项目完工后，建立健全的长效运行管理制度，并落实管理措施确保项目持续运行，满足持续运行需要的得2分，每发现一例后续管理措施不到位的扣0.5分，扣完为止。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1.5</w:t>
            </w:r>
          </w:p>
        </w:tc>
      </w:tr>
      <w:tr w:rsidR="00156F3B" w:rsidTr="005B2745">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rPr>
                <w:rFonts w:ascii="宋体" w:hAnsi="宋体" w:cs="宋体"/>
                <w:sz w:val="22"/>
              </w:rPr>
            </w:pPr>
            <w:r>
              <w:rPr>
                <w:rFonts w:ascii="仿宋_GB2312" w:eastAsia="仿宋_GB2312" w:hAnsi="宋体" w:cs="仿宋_GB2312" w:hint="eastAsia"/>
                <w:color w:val="000000"/>
                <w:sz w:val="20"/>
                <w:szCs w:val="20"/>
              </w:rPr>
              <w:t>资金</w:t>
            </w:r>
            <w:r>
              <w:rPr>
                <w:rFonts w:ascii="仿宋_GB2312" w:eastAsia="仿宋_GB2312" w:hAnsi="宋体" w:cs="仿宋_GB2312" w:hint="eastAsia"/>
                <w:color w:val="000000"/>
                <w:sz w:val="20"/>
                <w:szCs w:val="20"/>
              </w:rPr>
              <w:br/>
              <w:t>管理</w:t>
            </w:r>
            <w:r>
              <w:rPr>
                <w:rFonts w:ascii="仿宋_GB2312" w:eastAsia="仿宋_GB2312" w:hAnsi="宋体" w:cs="仿宋_GB2312" w:hint="eastAsia"/>
                <w:color w:val="000000"/>
                <w:sz w:val="20"/>
                <w:szCs w:val="20"/>
              </w:rPr>
              <w:br/>
              <w:t>(15分)</w:t>
            </w:r>
          </w:p>
        </w:tc>
        <w:tc>
          <w:tcPr>
            <w:tcW w:w="560" w:type="dxa"/>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rPr>
                <w:rFonts w:ascii="宋体" w:hAnsi="宋体" w:cs="宋体"/>
                <w:sz w:val="22"/>
              </w:rPr>
            </w:pPr>
            <w:r>
              <w:rPr>
                <w:rFonts w:ascii="仿宋_GB2312" w:eastAsia="仿宋_GB2312" w:hAnsi="宋体" w:cs="仿宋_GB2312" w:hint="eastAsia"/>
                <w:sz w:val="20"/>
                <w:szCs w:val="20"/>
              </w:rPr>
              <w:t>资金落实情况</w:t>
            </w:r>
          </w:p>
        </w:tc>
        <w:tc>
          <w:tcPr>
            <w:tcW w:w="1050" w:type="dxa"/>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资金到位率</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财政资金到位：到位100%的得2分；90%至100%的得1.5分；70%至90%的得1分；70%以下不得分。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2</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rPr>
                <w:rFonts w:ascii="宋体" w:hAnsi="宋体" w:cs="宋体"/>
                <w:sz w:val="22"/>
              </w:rPr>
            </w:pPr>
            <w:r>
              <w:rPr>
                <w:rFonts w:ascii="仿宋_GB2312" w:eastAsia="仿宋_GB2312" w:hAnsi="宋体" w:cs="仿宋_GB2312" w:hint="eastAsia"/>
                <w:sz w:val="20"/>
                <w:szCs w:val="20"/>
              </w:rPr>
              <w:t>实际支出情况</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资金使用率</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rPr>
                <w:rFonts w:ascii="宋体" w:hAnsi="宋体" w:cs="宋体"/>
                <w:sz w:val="22"/>
              </w:rPr>
            </w:pPr>
            <w:r>
              <w:rPr>
                <w:rFonts w:ascii="仿宋_GB2312" w:eastAsia="仿宋_GB2312" w:hAnsi="宋体" w:cs="仿宋_GB2312" w:hint="eastAsia"/>
                <w:sz w:val="20"/>
                <w:szCs w:val="20"/>
              </w:rPr>
              <w:t>资金实际使用率＝项目累计实际支出/项目预算资金，资金使用率95%及以上的得3分；85%—94.99%得2分；75%—84.99%得1分；未达到75%的不得分。</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支出相符性</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rPr>
                <w:rFonts w:ascii="宋体" w:hAnsi="宋体" w:cs="宋体"/>
                <w:sz w:val="22"/>
              </w:rPr>
            </w:pPr>
            <w:r>
              <w:rPr>
                <w:rFonts w:ascii="仿宋_GB2312" w:eastAsia="仿宋_GB2312" w:hAnsi="宋体" w:cs="仿宋_GB2312" w:hint="eastAsia"/>
                <w:sz w:val="20"/>
                <w:szCs w:val="20"/>
              </w:rPr>
              <w:t>项目实际支出与资金项目内容是否相符，项目完成按预定用途使用、手续齐全的得2分；基本相符的得1分；部分符合的得0.5分；性质严重的，本项目为不合格。</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2</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支出合规性</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项目资金的使用符合国家财经法律法规的得1分，发现有截留、贪污、挪用等违法行为的不得分；项目资金使用符合专项资金管理办法规定、专款专用的得1分，每发现一例违规现象(包括</w:t>
            </w:r>
            <w:r>
              <w:rPr>
                <w:rFonts w:ascii="仿宋_GB2312" w:eastAsia="仿宋_GB2312" w:hAnsi="宋体" w:cs="仿宋_GB2312" w:hint="eastAsia"/>
                <w:sz w:val="20"/>
                <w:szCs w:val="20"/>
              </w:rPr>
              <w:lastRenderedPageBreak/>
              <w:t>对象和标准违规等)的扣0.2分，扣完为止。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lastRenderedPageBreak/>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2</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rPr>
                <w:rFonts w:ascii="宋体" w:hAnsi="宋体" w:cs="宋体"/>
                <w:sz w:val="22"/>
              </w:rPr>
            </w:pPr>
            <w:r>
              <w:rPr>
                <w:rFonts w:ascii="仿宋_GB2312" w:eastAsia="仿宋_GB2312" w:hAnsi="宋体" w:cs="仿宋_GB2312" w:hint="eastAsia"/>
                <w:sz w:val="20"/>
                <w:szCs w:val="20"/>
              </w:rPr>
              <w:t>财务管理状况</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财务管理制度</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rPr>
                <w:rFonts w:ascii="宋体" w:hAnsi="宋体" w:cs="宋体"/>
                <w:sz w:val="22"/>
              </w:rPr>
            </w:pPr>
            <w:r>
              <w:rPr>
                <w:rFonts w:ascii="仿宋_GB2312" w:eastAsia="仿宋_GB2312" w:hAnsi="宋体" w:cs="仿宋_GB2312" w:hint="eastAsia"/>
                <w:sz w:val="20"/>
                <w:szCs w:val="20"/>
              </w:rPr>
              <w:t>项目内部控制制度非常健全，符合财务会计管理制度得2分,比较健全得1.5分,基本健全得1分,没有得0分。</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2</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管理有效性</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rPr>
                <w:rFonts w:ascii="宋体" w:hAnsi="宋体" w:cs="宋体"/>
                <w:sz w:val="22"/>
              </w:rPr>
            </w:pPr>
            <w:r>
              <w:rPr>
                <w:rFonts w:ascii="仿宋_GB2312" w:eastAsia="仿宋_GB2312" w:hAnsi="宋体" w:cs="仿宋_GB2312" w:hint="eastAsia"/>
                <w:sz w:val="20"/>
                <w:szCs w:val="20"/>
              </w:rPr>
              <w:t>内部控制制度、财务会计制度是否有效执行，有效执行得2分，比较规范得1.5分，基本规范得1分，不规范不得分。</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1.5</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会计信息质量</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rPr>
                <w:rFonts w:ascii="宋体" w:hAnsi="宋体" w:cs="宋体"/>
                <w:sz w:val="22"/>
              </w:rPr>
            </w:pPr>
            <w:r>
              <w:rPr>
                <w:rFonts w:ascii="仿宋_GB2312" w:eastAsia="仿宋_GB2312" w:hAnsi="宋体" w:cs="仿宋_GB2312" w:hint="eastAsia"/>
                <w:sz w:val="20"/>
                <w:szCs w:val="20"/>
              </w:rPr>
              <w:t>财务会计信息真实、规范为2分；比较真实规范得1.5分，基本真实规范得1分，不真实不规范得0分。</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1.5</w:t>
            </w:r>
          </w:p>
        </w:tc>
      </w:tr>
      <w:tr w:rsidR="00156F3B" w:rsidTr="005B2745">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rPr>
                <w:rFonts w:ascii="宋体" w:hAnsi="宋体" w:cs="宋体"/>
                <w:sz w:val="22"/>
              </w:rPr>
            </w:pPr>
            <w:r>
              <w:rPr>
                <w:rFonts w:ascii="仿宋_GB2312" w:eastAsia="仿宋_GB2312" w:hAnsi="宋体" w:cs="仿宋_GB2312" w:hint="eastAsia"/>
                <w:color w:val="000000"/>
                <w:sz w:val="20"/>
                <w:szCs w:val="20"/>
              </w:rPr>
              <w:t>项目</w:t>
            </w:r>
            <w:r>
              <w:rPr>
                <w:rFonts w:ascii="仿宋_GB2312" w:eastAsia="仿宋_GB2312" w:hAnsi="宋体" w:cs="仿宋_GB2312" w:hint="eastAsia"/>
                <w:color w:val="000000"/>
                <w:sz w:val="20"/>
                <w:szCs w:val="20"/>
              </w:rPr>
              <w:br/>
              <w:t>产出(15分)</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rPr>
                <w:rFonts w:ascii="宋体" w:hAnsi="宋体" w:cs="宋体"/>
                <w:sz w:val="22"/>
              </w:rPr>
            </w:pPr>
            <w:r>
              <w:rPr>
                <w:rFonts w:ascii="仿宋_GB2312" w:eastAsia="仿宋_GB2312" w:hAnsi="宋体" w:cs="仿宋_GB2312" w:hint="eastAsia"/>
                <w:sz w:val="20"/>
                <w:szCs w:val="20"/>
              </w:rPr>
              <w:t>及时性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项目完成及时性</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示范村、培育村、示范线路、文化村落保护利用村、石屋保护利用各按进度及时完成的，并且进度按计划完成100%的得3分，大部分按进度完成的得2分，完成一般的得1分，大部分进度滞后不得分。</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2</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rPr>
                <w:rFonts w:ascii="宋体" w:hAnsi="宋体" w:cs="宋体"/>
                <w:sz w:val="22"/>
              </w:rPr>
            </w:pPr>
            <w:r>
              <w:rPr>
                <w:rFonts w:ascii="仿宋_GB2312" w:eastAsia="仿宋_GB2312" w:hAnsi="宋体" w:cs="仿宋_GB2312" w:hint="eastAsia"/>
                <w:sz w:val="20"/>
                <w:szCs w:val="20"/>
              </w:rPr>
              <w:t>项目完成率</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目标完成率</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示范村、培育村、示范线路、文化村落保护利用村、石屋保护利用均按计划完成的，完成率100%的得4分，完成率在85%(含）-99%的得3分，完成率在70%(含）-84%的得2分，完成率在60%(含）-70%的得1分，完成率在60%以下的不得分。</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rPr>
                <w:rFonts w:ascii="宋体" w:hAnsi="宋体" w:cs="宋体"/>
                <w:sz w:val="22"/>
              </w:rPr>
            </w:pPr>
            <w:r>
              <w:rPr>
                <w:rFonts w:ascii="仿宋_GB2312" w:eastAsia="仿宋_GB2312" w:hAnsi="宋体" w:cs="仿宋_GB2312" w:hint="eastAsia"/>
                <w:sz w:val="20"/>
                <w:szCs w:val="20"/>
              </w:rPr>
              <w:t>完成质量</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项目实施对象</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项目对象完全符合相关要求的得4分，每发现1例实施对象与下达的建设计划不相符的扣0.5分，扣完为止。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项目实施程序</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项目按计划实施，无擅自调整建设规模、内容和标准等现象的为4分，每发现一处擅自调整现象的扣0.5分，扣完为止。</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r>
      <w:tr w:rsidR="00156F3B" w:rsidTr="005B2745">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color w:val="000000"/>
                <w:sz w:val="20"/>
                <w:szCs w:val="20"/>
              </w:rPr>
              <w:t>项目实</w:t>
            </w:r>
            <w:r>
              <w:rPr>
                <w:rFonts w:ascii="仿宋_GB2312" w:eastAsia="仿宋_GB2312" w:hAnsi="宋体" w:cs="仿宋_GB2312" w:hint="eastAsia"/>
                <w:color w:val="000000"/>
                <w:sz w:val="20"/>
                <w:szCs w:val="20"/>
              </w:rPr>
              <w:lastRenderedPageBreak/>
              <w:t>施效益  （35分）</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lastRenderedPageBreak/>
              <w:t>社会效益</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改善农村村容村貌</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项目实施创建精品村、特色村等，改善了农村村容村貌，非常有效果的得4分，有效果的得3分，效果一般的得2分，无效果的得0分。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提升农村人居环境</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项目实施高标准精品村、特色村及美丽庭院，能够提升农村人居环境，非常有效果的得4分，有效果的得3分，效果一般的得2分，无效果的得0分。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拓展风景观光线路</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项目实施完成精品线路，增加了乡村休闲观光带，非常有效果的得4分，有效果的得3分，效果一般的得2分，无效果的得0分。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保护温岭石屋特色</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项目实施石屋保护利用重点村和一般村，进一步保护了温岭石屋特色，非常有效果的得4分，有效果的得3分，效果一般的得2分，无效果的得0分。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传承温岭历史文化</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项目实施了历史文化村落保护利用重点村，挖掘历史文化主题，传承温岭历史文化，非常有效果的得4分，有效果的得3分，效果一般的得2分，无效果的得0分。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经济效益</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促进乡村特色产业</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项目实施精品示范村、带（区）建设，以产业发展带动城乡居民收入持续增长，非常有效果的得4分，有效果的得3分，效果一般的得2分，无效果的得0分。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rPr>
                <w:rFonts w:ascii="宋体" w:hAnsi="宋体" w:cs="宋体"/>
                <w:sz w:val="22"/>
              </w:rPr>
            </w:pPr>
            <w:r>
              <w:rPr>
                <w:rFonts w:ascii="仿宋_GB2312" w:eastAsia="仿宋_GB2312" w:hAnsi="宋体" w:cs="仿宋_GB2312" w:hint="eastAsia"/>
                <w:sz w:val="20"/>
                <w:szCs w:val="20"/>
              </w:rPr>
              <w:t>生态效益</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生态环境改善</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项目实施村庄绿化、道路硬化、卫生改厕、清扫保洁、污水处理，对保护农村生态环境及卫生条件的改善的效果，非常有效果的得4分，有效果的得3分，效果一般的得2分，无效果的得0分。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rPr>
                <w:rFonts w:ascii="宋体" w:hAnsi="宋体" w:cs="宋体"/>
                <w:sz w:val="22"/>
              </w:rPr>
            </w:pPr>
            <w:r>
              <w:rPr>
                <w:rFonts w:ascii="仿宋_GB2312" w:eastAsia="仿宋_GB2312" w:hAnsi="宋体" w:cs="仿宋_GB2312" w:hint="eastAsia"/>
                <w:sz w:val="20"/>
                <w:szCs w:val="20"/>
              </w:rPr>
              <w:t>可持续发展</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提高农民生活品质</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项目实施后对提高农民生活品质，加快城乡一体化进程的可持续影响显著的，影响显著的得5分，比较显著的得3.5分，一般的得2分，没有影响的得0分。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403"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jc w:val="center"/>
              <w:rPr>
                <w:rFonts w:ascii="宋体" w:hAnsi="宋体" w:cs="宋体"/>
                <w:sz w:val="22"/>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rPr>
                <w:rFonts w:ascii="宋体" w:hAnsi="宋体" w:cs="宋体"/>
                <w:sz w:val="22"/>
              </w:rPr>
            </w:pPr>
            <w:r>
              <w:rPr>
                <w:rFonts w:ascii="仿宋_GB2312" w:eastAsia="仿宋_GB2312" w:hAnsi="宋体" w:cs="仿宋_GB2312" w:hint="eastAsia"/>
                <w:sz w:val="20"/>
                <w:szCs w:val="20"/>
              </w:rPr>
              <w:t>满意度</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rPr>
                <w:rFonts w:ascii="宋体" w:hAnsi="宋体" w:cs="宋体"/>
                <w:sz w:val="22"/>
              </w:rPr>
            </w:pPr>
            <w:r>
              <w:rPr>
                <w:rFonts w:ascii="仿宋_GB2312" w:eastAsia="仿宋_GB2312" w:hAnsi="宋体" w:cs="仿宋_GB2312" w:hint="eastAsia"/>
                <w:sz w:val="20"/>
                <w:szCs w:val="20"/>
              </w:rPr>
              <w:t>公众满意度</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left"/>
              <w:textAlignment w:val="center"/>
            </w:pPr>
            <w:r>
              <w:rPr>
                <w:rFonts w:ascii="仿宋_GB2312" w:eastAsia="仿宋_GB2312" w:hAnsi="宋体" w:cs="仿宋_GB2312" w:hint="eastAsia"/>
                <w:sz w:val="20"/>
                <w:szCs w:val="20"/>
              </w:rPr>
              <w:t>美丽乡村建设对村庄环境整治、文化休闲景观建设，满足公众日益增长的物质文化需要，公众满意度不断上升，非常满意的得4分，满意的得3分，一般的得2分，不满意的得0分。。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4</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sz w:val="20"/>
                <w:szCs w:val="20"/>
              </w:rPr>
              <w:t>3</w:t>
            </w:r>
          </w:p>
        </w:tc>
      </w:tr>
      <w:tr w:rsidR="00156F3B" w:rsidTr="005B2745">
        <w:tc>
          <w:tcPr>
            <w:tcW w:w="7533" w:type="dxa"/>
            <w:gridSpan w:val="4"/>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color w:val="000000"/>
                <w:sz w:val="20"/>
                <w:szCs w:val="20"/>
              </w:rPr>
              <w:t>综合得分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b/>
                <w:color w:val="000000"/>
                <w:sz w:val="20"/>
                <w:szCs w:val="20"/>
              </w:rPr>
              <w:t>100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b/>
                <w:color w:val="000000"/>
                <w:sz w:val="20"/>
                <w:szCs w:val="20"/>
              </w:rPr>
              <w:t>89</w:t>
            </w:r>
          </w:p>
        </w:tc>
      </w:tr>
      <w:tr w:rsidR="00156F3B" w:rsidTr="005B2745">
        <w:tc>
          <w:tcPr>
            <w:tcW w:w="7533" w:type="dxa"/>
            <w:gridSpan w:val="4"/>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仿宋" w:hint="eastAsia"/>
                <w:sz w:val="24"/>
              </w:rPr>
              <w:t>优（</w:t>
            </w:r>
            <w:r>
              <w:rPr>
                <w:rFonts w:ascii="仿宋_GB2312" w:eastAsia="仿宋_GB2312" w:hAnsi="仿宋"/>
                <w:sz w:val="24"/>
              </w:rPr>
              <w:t>S</w:t>
            </w:r>
            <w:r>
              <w:rPr>
                <w:rFonts w:ascii="仿宋_GB2312" w:eastAsia="仿宋_GB2312" w:hAnsi="仿宋" w:hint="eastAsia"/>
                <w:sz w:val="24"/>
              </w:rPr>
              <w:t>≥</w:t>
            </w:r>
            <w:r>
              <w:rPr>
                <w:rFonts w:ascii="仿宋_GB2312" w:eastAsia="仿宋_GB2312" w:hAnsi="仿宋"/>
                <w:sz w:val="24"/>
              </w:rPr>
              <w:t>90</w:t>
            </w:r>
            <w:r>
              <w:rPr>
                <w:rFonts w:ascii="仿宋_GB2312" w:eastAsia="仿宋_GB2312" w:hAnsi="仿宋" w:hint="eastAsia"/>
                <w:sz w:val="24"/>
              </w:rPr>
              <w:t>）、良（</w:t>
            </w:r>
            <w:r>
              <w:rPr>
                <w:rFonts w:ascii="仿宋_GB2312" w:eastAsia="仿宋_GB2312" w:hAnsi="仿宋"/>
                <w:sz w:val="24"/>
              </w:rPr>
              <w:t>90</w:t>
            </w:r>
            <w:r>
              <w:rPr>
                <w:rFonts w:ascii="仿宋_GB2312" w:eastAsia="仿宋_GB2312" w:hAnsi="仿宋" w:hint="eastAsia"/>
                <w:sz w:val="24"/>
              </w:rPr>
              <w:t>＞</w:t>
            </w:r>
            <w:r>
              <w:rPr>
                <w:rFonts w:ascii="仿宋_GB2312" w:eastAsia="仿宋_GB2312" w:hAnsi="仿宋"/>
                <w:sz w:val="24"/>
              </w:rPr>
              <w:t>S</w:t>
            </w:r>
            <w:r>
              <w:rPr>
                <w:rFonts w:ascii="仿宋_GB2312" w:eastAsia="仿宋_GB2312" w:hAnsi="仿宋" w:hint="eastAsia"/>
                <w:sz w:val="24"/>
              </w:rPr>
              <w:t>≥</w:t>
            </w:r>
            <w:r>
              <w:rPr>
                <w:rFonts w:ascii="仿宋_GB2312" w:eastAsia="仿宋_GB2312" w:hAnsi="仿宋"/>
                <w:sz w:val="24"/>
              </w:rPr>
              <w:t>80</w:t>
            </w:r>
            <w:r>
              <w:rPr>
                <w:rFonts w:ascii="仿宋_GB2312" w:eastAsia="仿宋_GB2312" w:hAnsi="仿宋" w:hint="eastAsia"/>
                <w:sz w:val="24"/>
              </w:rPr>
              <w:t>）、中（</w:t>
            </w:r>
            <w:r>
              <w:rPr>
                <w:rFonts w:ascii="仿宋_GB2312" w:eastAsia="仿宋_GB2312" w:hAnsi="仿宋"/>
                <w:sz w:val="24"/>
              </w:rPr>
              <w:t>80</w:t>
            </w:r>
            <w:r>
              <w:rPr>
                <w:rFonts w:ascii="仿宋_GB2312" w:eastAsia="仿宋_GB2312" w:hAnsi="仿宋" w:hint="eastAsia"/>
                <w:sz w:val="24"/>
              </w:rPr>
              <w:t>＞</w:t>
            </w:r>
            <w:r>
              <w:rPr>
                <w:rFonts w:ascii="仿宋_GB2312" w:eastAsia="仿宋_GB2312" w:hAnsi="仿宋"/>
                <w:sz w:val="24"/>
              </w:rPr>
              <w:t>S</w:t>
            </w:r>
            <w:r>
              <w:rPr>
                <w:rFonts w:ascii="仿宋_GB2312" w:eastAsia="仿宋_GB2312" w:hAnsi="仿宋" w:hint="eastAsia"/>
                <w:sz w:val="24"/>
              </w:rPr>
              <w:t>≥</w:t>
            </w:r>
            <w:r>
              <w:rPr>
                <w:rFonts w:ascii="仿宋_GB2312" w:eastAsia="仿宋_GB2312" w:hAnsi="仿宋"/>
                <w:sz w:val="24"/>
              </w:rPr>
              <w:t>60</w:t>
            </w:r>
            <w:r>
              <w:rPr>
                <w:rFonts w:ascii="仿宋_GB2312" w:eastAsia="仿宋_GB2312" w:hAnsi="仿宋" w:hint="eastAsia"/>
                <w:sz w:val="24"/>
              </w:rPr>
              <w:t>）、差（</w:t>
            </w:r>
            <w:r>
              <w:rPr>
                <w:rFonts w:ascii="仿宋_GB2312" w:eastAsia="仿宋_GB2312" w:hAnsi="仿宋"/>
                <w:sz w:val="24"/>
              </w:rPr>
              <w:t>S&lt;60</w:t>
            </w:r>
            <w:r>
              <w:rPr>
                <w:rFonts w:ascii="仿宋_GB2312" w:eastAsia="仿宋_GB2312" w:hAnsi="仿宋" w:hint="eastAsia"/>
                <w:sz w:val="24"/>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tc>
        <w:tc>
          <w:tcPr>
            <w:tcW w:w="510"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156F3B" w:rsidRDefault="00156F3B" w:rsidP="005B2745">
            <w:pPr>
              <w:widowControl/>
              <w:jc w:val="center"/>
              <w:textAlignment w:val="center"/>
            </w:pPr>
            <w:r>
              <w:rPr>
                <w:rFonts w:ascii="仿宋_GB2312" w:eastAsia="仿宋_GB2312" w:hAnsi="宋体" w:cs="仿宋_GB2312" w:hint="eastAsia"/>
                <w:color w:val="000000"/>
                <w:sz w:val="20"/>
                <w:szCs w:val="20"/>
              </w:rPr>
              <w:t>良</w:t>
            </w:r>
          </w:p>
        </w:tc>
      </w:tr>
    </w:tbl>
    <w:p w:rsidR="00156F3B" w:rsidRPr="00156F3B" w:rsidRDefault="00156F3B" w:rsidP="00156F3B">
      <w:pPr>
        <w:pStyle w:val="Default"/>
      </w:pPr>
    </w:p>
    <w:p w:rsidR="00E676B7" w:rsidRDefault="00667A95">
      <w:pPr>
        <w:snapToGrid w:val="0"/>
        <w:spacing w:line="360" w:lineRule="auto"/>
        <w:ind w:firstLineChars="200" w:firstLine="640"/>
        <w:rPr>
          <w:rFonts w:ascii="仿宋" w:eastAsia="仿宋" w:hAnsi="仿宋" w:cs="仿宋" w:hint="eastAsia"/>
          <w:kern w:val="0"/>
          <w:sz w:val="32"/>
          <w:szCs w:val="32"/>
          <w:shd w:val="clear" w:color="auto" w:fill="FFFFFF"/>
        </w:rPr>
      </w:pPr>
      <w:r>
        <w:rPr>
          <w:rFonts w:ascii="仿宋" w:eastAsia="仿宋" w:hAnsi="仿宋" w:cs="仿宋" w:hint="eastAsia"/>
          <w:kern w:val="0"/>
          <w:sz w:val="32"/>
          <w:szCs w:val="32"/>
          <w:shd w:val="clear" w:color="auto" w:fill="FFFFFF"/>
        </w:rPr>
        <w:t>农村生活垃堆治理补助项目绩效自评综述：根据年初设定的绩效目标，项目自评得分89分，自评结论为“良”。项目全年预算数为4,630.47万元，执行数为4,630.47万元，完成预算的100%。项目绩效目标完成情况：一是全市非城镇村实施生活垃圾分类处理基本全覆盖，共建有机器快速成肥处理站17个，阳光房14个；二是全市终端可腐烂垃圾平均单日处理量约130吨；三是创建省高标准生活垃圾分类示范村3个、台州市农村生活垃圾分类处理示范村8个，温岭市级垃圾分类处理示范村10个。发现的问题及原因：一是源头分类不理想；二是主体作用不到位；三是政策与措施缺少，示范引领不明显。下一步改进措施：一是加大宣传力度，提高垃圾分类认知意识；二是坚持行政推动，加强垃圾分类监督检查；三是加强示范引领，推动垃圾分类运营管理；四提升设备性能，确保设施终端长效运行。</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850"/>
        <w:gridCol w:w="239"/>
        <w:gridCol w:w="470"/>
        <w:gridCol w:w="177"/>
        <w:gridCol w:w="1099"/>
        <w:gridCol w:w="837"/>
        <w:gridCol w:w="661"/>
        <w:gridCol w:w="510"/>
        <w:gridCol w:w="391"/>
        <w:gridCol w:w="640"/>
        <w:gridCol w:w="345"/>
        <w:gridCol w:w="507"/>
        <w:gridCol w:w="851"/>
        <w:gridCol w:w="210"/>
      </w:tblGrid>
      <w:tr w:rsidR="00156F3B" w:rsidTr="00156F3B">
        <w:trPr>
          <w:trHeight w:val="397"/>
          <w:jc w:val="center"/>
        </w:trPr>
        <w:tc>
          <w:tcPr>
            <w:tcW w:w="8595" w:type="dxa"/>
            <w:gridSpan w:val="1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_GB2312" w:eastAsia="仿宋_GB2312" w:hint="eastAsia"/>
                <w:b/>
              </w:rPr>
              <w:t>一、项 目 基 本 信息</w:t>
            </w:r>
          </w:p>
        </w:tc>
      </w:tr>
      <w:tr w:rsidR="00156F3B" w:rsidTr="00156F3B">
        <w:trPr>
          <w:trHeight w:hRule="exact" w:val="397"/>
          <w:jc w:val="center"/>
        </w:trPr>
        <w:tc>
          <w:tcPr>
            <w:tcW w:w="25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_GB2312" w:eastAsia="仿宋_GB2312" w:hint="eastAsia"/>
              </w:rPr>
              <w:t>项目负责人</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 w:eastAsia="仿宋" w:hAnsi="仿宋"/>
                <w:sz w:val="24"/>
              </w:rPr>
              <w:t>林雄升</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_GB2312" w:eastAsia="仿宋_GB2312" w:hint="eastAsia"/>
              </w:rPr>
              <w:t>联系电话</w:t>
            </w:r>
          </w:p>
        </w:tc>
        <w:tc>
          <w:tcPr>
            <w:tcW w:w="2553"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 w:eastAsia="仿宋" w:hAnsi="仿宋" w:hint="eastAsia"/>
                <w:sz w:val="24"/>
              </w:rPr>
              <w:t>13867680033</w:t>
            </w:r>
          </w:p>
        </w:tc>
      </w:tr>
      <w:tr w:rsidR="00156F3B" w:rsidTr="00156F3B">
        <w:trPr>
          <w:trHeight w:hRule="exact" w:val="397"/>
          <w:jc w:val="center"/>
        </w:trPr>
        <w:tc>
          <w:tcPr>
            <w:tcW w:w="25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_GB2312" w:eastAsia="仿宋_GB2312" w:hint="eastAsia"/>
              </w:rPr>
              <w:t>地     址</w:t>
            </w:r>
          </w:p>
        </w:tc>
        <w:tc>
          <w:tcPr>
            <w:tcW w:w="3498"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p>
        </w:tc>
        <w:tc>
          <w:tcPr>
            <w:tcW w:w="985"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_GB2312" w:eastAsia="仿宋_GB2312" w:hint="eastAsia"/>
              </w:rPr>
              <w:t>邮编</w:t>
            </w: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 w:eastAsia="仿宋" w:hAnsi="仿宋" w:hint="eastAsia"/>
                <w:sz w:val="24"/>
              </w:rPr>
              <w:t>317500</w:t>
            </w:r>
          </w:p>
        </w:tc>
      </w:tr>
      <w:tr w:rsidR="00156F3B" w:rsidTr="00156F3B">
        <w:trPr>
          <w:trHeight w:hRule="exact" w:val="397"/>
          <w:jc w:val="center"/>
        </w:trPr>
        <w:tc>
          <w:tcPr>
            <w:tcW w:w="25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_GB2312" w:eastAsia="仿宋_GB2312" w:hint="eastAsia"/>
              </w:rPr>
              <w:lastRenderedPageBreak/>
              <w:t>项目起止时间</w:t>
            </w:r>
          </w:p>
        </w:tc>
        <w:tc>
          <w:tcPr>
            <w:tcW w:w="6051" w:type="dxa"/>
            <w:gridSpan w:val="10"/>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 w:eastAsia="仿宋" w:hAnsi="仿宋" w:hint="eastAsia"/>
                <w:sz w:val="24"/>
              </w:rPr>
              <w:t>2020年1月1日～2020年12月31日</w:t>
            </w:r>
          </w:p>
        </w:tc>
      </w:tr>
      <w:tr w:rsidR="00156F3B" w:rsidTr="00156F3B">
        <w:trPr>
          <w:trHeight w:hRule="exact" w:val="397"/>
          <w:jc w:val="center"/>
        </w:trPr>
        <w:tc>
          <w:tcPr>
            <w:tcW w:w="25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r>
              <w:rPr>
                <w:rFonts w:ascii="仿宋_GB2312" w:eastAsia="仿宋_GB2312" w:hint="eastAsia"/>
              </w:rPr>
              <w:t>计划安排资金（万元）</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r>
              <w:rPr>
                <w:rFonts w:ascii="仿宋" w:eastAsia="仿宋" w:hAnsi="仿宋" w:hint="eastAsia"/>
                <w:sz w:val="24"/>
              </w:rPr>
              <w:t>4630.47</w:t>
            </w:r>
          </w:p>
        </w:tc>
        <w:tc>
          <w:tcPr>
            <w:tcW w:w="2547"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r>
              <w:rPr>
                <w:rFonts w:ascii="仿宋_GB2312" w:eastAsia="仿宋_GB2312" w:hint="eastAsia"/>
              </w:rPr>
              <w:t>实际到位资金（万元）</w:t>
            </w: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r>
              <w:rPr>
                <w:rFonts w:ascii="仿宋" w:eastAsia="仿宋" w:hAnsi="仿宋" w:hint="eastAsia"/>
                <w:sz w:val="24"/>
              </w:rPr>
              <w:t>4630.47</w:t>
            </w:r>
          </w:p>
        </w:tc>
      </w:tr>
      <w:tr w:rsidR="00156F3B" w:rsidTr="00156F3B">
        <w:trPr>
          <w:trHeight w:hRule="exact" w:val="397"/>
          <w:jc w:val="center"/>
        </w:trPr>
        <w:tc>
          <w:tcPr>
            <w:tcW w:w="25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r>
              <w:rPr>
                <w:rFonts w:ascii="仿宋_GB2312" w:eastAsia="仿宋_GB2312" w:hint="eastAsia"/>
              </w:rPr>
              <w:t>其中：中央财政</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p>
        </w:tc>
        <w:tc>
          <w:tcPr>
            <w:tcW w:w="2547"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r>
              <w:rPr>
                <w:rFonts w:ascii="仿宋_GB2312" w:eastAsia="仿宋_GB2312" w:hint="eastAsia"/>
              </w:rPr>
              <w:t>其中：中央财政</w:t>
            </w: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p>
        </w:tc>
      </w:tr>
      <w:tr w:rsidR="00156F3B" w:rsidTr="00156F3B">
        <w:trPr>
          <w:trHeight w:hRule="exact" w:val="397"/>
          <w:jc w:val="center"/>
        </w:trPr>
        <w:tc>
          <w:tcPr>
            <w:tcW w:w="25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ind w:firstLineChars="317" w:firstLine="666"/>
              <w:rPr>
                <w:rFonts w:ascii="仿宋_GB2312" w:eastAsia="仿宋_GB2312"/>
              </w:rPr>
            </w:pPr>
            <w:r>
              <w:rPr>
                <w:rFonts w:ascii="仿宋_GB2312" w:eastAsia="仿宋_GB2312" w:hint="eastAsia"/>
              </w:rPr>
              <w:t>省财政</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p>
        </w:tc>
        <w:tc>
          <w:tcPr>
            <w:tcW w:w="2547"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ind w:firstLineChars="317" w:firstLine="666"/>
              <w:rPr>
                <w:rFonts w:ascii="仿宋_GB2312" w:eastAsia="仿宋_GB2312"/>
              </w:rPr>
            </w:pPr>
            <w:r>
              <w:rPr>
                <w:rFonts w:ascii="仿宋_GB2312" w:eastAsia="仿宋_GB2312" w:hint="eastAsia"/>
              </w:rPr>
              <w:t>省财政</w:t>
            </w: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p>
        </w:tc>
      </w:tr>
      <w:tr w:rsidR="00156F3B" w:rsidTr="00156F3B">
        <w:trPr>
          <w:trHeight w:hRule="exact" w:val="397"/>
          <w:jc w:val="center"/>
        </w:trPr>
        <w:tc>
          <w:tcPr>
            <w:tcW w:w="25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ind w:firstLineChars="317" w:firstLine="666"/>
              <w:rPr>
                <w:rFonts w:ascii="仿宋_GB2312" w:eastAsia="仿宋_GB2312"/>
              </w:rPr>
            </w:pPr>
            <w:r>
              <w:rPr>
                <w:rFonts w:ascii="仿宋_GB2312" w:eastAsia="仿宋_GB2312" w:hint="eastAsia"/>
              </w:rPr>
              <w:t>市县财政</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r>
              <w:rPr>
                <w:rFonts w:ascii="仿宋_GB2312" w:eastAsia="仿宋_GB2312" w:hint="eastAsia"/>
              </w:rPr>
              <w:t>4630.47</w:t>
            </w:r>
          </w:p>
        </w:tc>
        <w:tc>
          <w:tcPr>
            <w:tcW w:w="2547"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ind w:firstLineChars="317" w:firstLine="666"/>
              <w:rPr>
                <w:rFonts w:ascii="仿宋_GB2312" w:eastAsia="仿宋_GB2312"/>
              </w:rPr>
            </w:pPr>
            <w:r>
              <w:rPr>
                <w:rFonts w:ascii="仿宋_GB2312" w:eastAsia="仿宋_GB2312" w:hint="eastAsia"/>
              </w:rPr>
              <w:t>市县财政</w:t>
            </w: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r>
              <w:rPr>
                <w:rFonts w:ascii="仿宋_GB2312" w:eastAsia="仿宋_GB2312" w:hint="eastAsia"/>
              </w:rPr>
              <w:t>4630.47</w:t>
            </w:r>
          </w:p>
        </w:tc>
      </w:tr>
      <w:tr w:rsidR="00156F3B" w:rsidTr="00156F3B">
        <w:trPr>
          <w:trHeight w:hRule="exact" w:val="397"/>
          <w:jc w:val="center"/>
        </w:trPr>
        <w:tc>
          <w:tcPr>
            <w:tcW w:w="25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ind w:firstLineChars="317" w:firstLine="666"/>
              <w:rPr>
                <w:rFonts w:ascii="仿宋_GB2312" w:eastAsia="仿宋_GB2312"/>
              </w:rPr>
            </w:pPr>
            <w:r>
              <w:rPr>
                <w:rFonts w:ascii="仿宋_GB2312" w:eastAsia="仿宋_GB2312" w:hint="eastAsia"/>
              </w:rPr>
              <w:t>其它</w:t>
            </w: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p>
        </w:tc>
        <w:tc>
          <w:tcPr>
            <w:tcW w:w="2547"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ind w:firstLineChars="317" w:firstLine="666"/>
              <w:rPr>
                <w:rFonts w:ascii="仿宋_GB2312" w:eastAsia="仿宋_GB2312"/>
              </w:rPr>
            </w:pPr>
            <w:r>
              <w:rPr>
                <w:rFonts w:ascii="仿宋_GB2312" w:eastAsia="仿宋_GB2312" w:hint="eastAsia"/>
              </w:rPr>
              <w:t>其它</w:t>
            </w: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p>
        </w:tc>
      </w:tr>
      <w:tr w:rsidR="00156F3B" w:rsidTr="00156F3B">
        <w:trPr>
          <w:trHeight w:hRule="exact" w:val="397"/>
          <w:jc w:val="center"/>
        </w:trPr>
        <w:tc>
          <w:tcPr>
            <w:tcW w:w="25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r>
              <w:rPr>
                <w:rFonts w:ascii="仿宋_GB2312" w:eastAsia="仿宋_GB2312" w:hint="eastAsia"/>
              </w:rPr>
              <w:t>实际支出（万元）</w:t>
            </w:r>
          </w:p>
        </w:tc>
        <w:tc>
          <w:tcPr>
            <w:tcW w:w="6051" w:type="dxa"/>
            <w:gridSpan w:val="10"/>
            <w:tcBorders>
              <w:top w:val="single" w:sz="4" w:space="0" w:color="auto"/>
              <w:left w:val="single" w:sz="4" w:space="0" w:color="auto"/>
              <w:bottom w:val="single" w:sz="4" w:space="0" w:color="auto"/>
              <w:right w:val="single" w:sz="4" w:space="0" w:color="auto"/>
            </w:tcBorders>
            <w:vAlign w:val="center"/>
          </w:tcPr>
          <w:p w:rsidR="00156F3B" w:rsidRDefault="00156F3B" w:rsidP="005B2745">
            <w:pPr>
              <w:rPr>
                <w:rFonts w:ascii="仿宋_GB2312" w:eastAsia="仿宋_GB2312"/>
              </w:rPr>
            </w:pPr>
            <w:r>
              <w:rPr>
                <w:rFonts w:ascii="仿宋" w:eastAsia="仿宋" w:hAnsi="仿宋" w:hint="eastAsia"/>
                <w:sz w:val="24"/>
              </w:rPr>
              <w:t>4630.47</w:t>
            </w:r>
          </w:p>
        </w:tc>
      </w:tr>
      <w:tr w:rsidR="00156F3B" w:rsidTr="00156F3B">
        <w:trPr>
          <w:cantSplit/>
          <w:trHeight w:val="554"/>
          <w:jc w:val="center"/>
        </w:trPr>
        <w:tc>
          <w:tcPr>
            <w:tcW w:w="8595" w:type="dxa"/>
            <w:gridSpan w:val="1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_GB2312" w:eastAsia="仿宋_GB2312" w:hint="eastAsia"/>
                <w:b/>
              </w:rPr>
              <w:t>二、项目支出明细情况</w:t>
            </w:r>
          </w:p>
        </w:tc>
      </w:tr>
      <w:tr w:rsidR="00156F3B" w:rsidTr="00156F3B">
        <w:trPr>
          <w:cantSplit/>
          <w:trHeight w:val="554"/>
          <w:jc w:val="center"/>
        </w:trPr>
        <w:tc>
          <w:tcPr>
            <w:tcW w:w="25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00" w:lineRule="exact"/>
              <w:jc w:val="center"/>
              <w:rPr>
                <w:rFonts w:ascii="仿宋_GB2312" w:eastAsia="仿宋_GB2312"/>
              </w:rPr>
            </w:pPr>
            <w:r>
              <w:rPr>
                <w:rFonts w:ascii="仿宋_GB2312" w:eastAsia="仿宋_GB2312" w:hint="eastAsia"/>
              </w:rPr>
              <w:t>支出内容</w:t>
            </w:r>
          </w:p>
          <w:p w:rsidR="00156F3B" w:rsidRDefault="00156F3B" w:rsidP="005B2745">
            <w:pPr>
              <w:spacing w:line="400" w:lineRule="exact"/>
              <w:jc w:val="center"/>
              <w:rPr>
                <w:rFonts w:ascii="仿宋_GB2312" w:eastAsia="仿宋_GB2312"/>
              </w:rPr>
            </w:pPr>
            <w:r>
              <w:rPr>
                <w:rFonts w:ascii="仿宋_GB2312" w:eastAsia="仿宋_GB2312" w:hint="eastAsia"/>
              </w:rPr>
              <w:t>（经济科目）</w:t>
            </w:r>
          </w:p>
        </w:tc>
        <w:tc>
          <w:tcPr>
            <w:tcW w:w="3107"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_GB2312" w:eastAsia="仿宋_GB2312" w:hint="eastAsia"/>
              </w:rPr>
              <w:t>计划支出数</w:t>
            </w:r>
          </w:p>
        </w:tc>
        <w:tc>
          <w:tcPr>
            <w:tcW w:w="2944" w:type="dxa"/>
            <w:gridSpan w:val="6"/>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_GB2312" w:eastAsia="仿宋_GB2312" w:hint="eastAsia"/>
              </w:rPr>
              <w:t>实际支出数</w:t>
            </w:r>
          </w:p>
        </w:tc>
      </w:tr>
      <w:tr w:rsidR="00156F3B" w:rsidTr="00156F3B">
        <w:trPr>
          <w:cantSplit/>
          <w:trHeight w:hRule="exact" w:val="612"/>
          <w:jc w:val="center"/>
        </w:trPr>
        <w:tc>
          <w:tcPr>
            <w:tcW w:w="2544" w:type="dxa"/>
            <w:gridSpan w:val="5"/>
            <w:tcBorders>
              <w:top w:val="single" w:sz="4" w:space="0" w:color="auto"/>
              <w:left w:val="single" w:sz="4" w:space="0" w:color="auto"/>
              <w:bottom w:val="single" w:sz="4" w:space="0" w:color="auto"/>
              <w:right w:val="single" w:sz="4" w:space="0" w:color="auto"/>
            </w:tcBorders>
            <w:vAlign w:val="bottom"/>
          </w:tcPr>
          <w:p w:rsidR="00156F3B" w:rsidRDefault="00156F3B" w:rsidP="005B2745">
            <w:pPr>
              <w:jc w:val="center"/>
              <w:rPr>
                <w:rFonts w:ascii="仿宋" w:eastAsia="仿宋" w:hAnsi="仿宋" w:cs="仿宋_GB2312"/>
                <w:szCs w:val="21"/>
              </w:rPr>
            </w:pPr>
            <w:r>
              <w:rPr>
                <w:rFonts w:ascii="仿宋" w:eastAsia="仿宋" w:hAnsi="仿宋" w:cs="仿宋_GB2312" w:hint="eastAsia"/>
                <w:szCs w:val="21"/>
              </w:rPr>
              <w:t>农村生活垃圾分类处理工作补助</w:t>
            </w:r>
          </w:p>
        </w:tc>
        <w:tc>
          <w:tcPr>
            <w:tcW w:w="3107"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_GB2312" w:eastAsia="仿宋_GB2312" w:hint="eastAsia"/>
              </w:rPr>
              <w:t>2476.47</w:t>
            </w:r>
          </w:p>
        </w:tc>
        <w:tc>
          <w:tcPr>
            <w:tcW w:w="2944" w:type="dxa"/>
            <w:gridSpan w:val="6"/>
            <w:tcBorders>
              <w:top w:val="single" w:sz="4" w:space="0" w:color="auto"/>
              <w:left w:val="single" w:sz="4" w:space="0" w:color="auto"/>
              <w:bottom w:val="single" w:sz="4" w:space="0" w:color="auto"/>
              <w:right w:val="single" w:sz="4" w:space="0" w:color="auto"/>
            </w:tcBorders>
            <w:vAlign w:val="bottom"/>
          </w:tcPr>
          <w:p w:rsidR="00156F3B" w:rsidRDefault="00156F3B" w:rsidP="005B2745">
            <w:pPr>
              <w:jc w:val="center"/>
              <w:rPr>
                <w:rFonts w:ascii="仿宋" w:eastAsia="仿宋" w:hAnsi="仿宋" w:cs="仿宋_GB2312"/>
                <w:sz w:val="24"/>
              </w:rPr>
            </w:pPr>
            <w:r>
              <w:rPr>
                <w:rFonts w:ascii="仿宋" w:eastAsia="仿宋" w:hAnsi="仿宋" w:cs="仿宋_GB2312" w:hint="eastAsia"/>
                <w:sz w:val="24"/>
              </w:rPr>
              <w:t>2194.6534</w:t>
            </w:r>
          </w:p>
        </w:tc>
      </w:tr>
      <w:tr w:rsidR="00156F3B" w:rsidTr="00156F3B">
        <w:trPr>
          <w:cantSplit/>
          <w:trHeight w:hRule="exact" w:val="706"/>
          <w:jc w:val="center"/>
        </w:trPr>
        <w:tc>
          <w:tcPr>
            <w:tcW w:w="2544" w:type="dxa"/>
            <w:gridSpan w:val="5"/>
            <w:tcBorders>
              <w:top w:val="single" w:sz="4" w:space="0" w:color="auto"/>
              <w:left w:val="single" w:sz="4" w:space="0" w:color="auto"/>
              <w:bottom w:val="single" w:sz="4" w:space="0" w:color="auto"/>
              <w:right w:val="single" w:sz="4" w:space="0" w:color="auto"/>
            </w:tcBorders>
            <w:vAlign w:val="bottom"/>
          </w:tcPr>
          <w:p w:rsidR="00156F3B" w:rsidRDefault="00156F3B" w:rsidP="005B2745">
            <w:pPr>
              <w:jc w:val="center"/>
              <w:rPr>
                <w:rFonts w:ascii="仿宋" w:eastAsia="仿宋" w:hAnsi="仿宋" w:cs="仿宋_GB2312"/>
                <w:szCs w:val="21"/>
              </w:rPr>
            </w:pPr>
            <w:r>
              <w:rPr>
                <w:rFonts w:ascii="仿宋" w:eastAsia="仿宋" w:hAnsi="仿宋" w:cs="仿宋_GB2312" w:hint="eastAsia"/>
                <w:szCs w:val="21"/>
              </w:rPr>
              <w:t>非城镇覆盖村保洁员工资补助</w:t>
            </w:r>
          </w:p>
        </w:tc>
        <w:tc>
          <w:tcPr>
            <w:tcW w:w="3107"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_GB2312" w:eastAsia="仿宋_GB2312" w:hint="eastAsia"/>
              </w:rPr>
              <w:t>1410</w:t>
            </w:r>
          </w:p>
        </w:tc>
        <w:tc>
          <w:tcPr>
            <w:tcW w:w="2944" w:type="dxa"/>
            <w:gridSpan w:val="6"/>
            <w:tcBorders>
              <w:top w:val="single" w:sz="4" w:space="0" w:color="auto"/>
              <w:left w:val="single" w:sz="4" w:space="0" w:color="auto"/>
              <w:bottom w:val="single" w:sz="4" w:space="0" w:color="auto"/>
              <w:right w:val="single" w:sz="4" w:space="0" w:color="auto"/>
            </w:tcBorders>
            <w:vAlign w:val="bottom"/>
          </w:tcPr>
          <w:p w:rsidR="00156F3B" w:rsidRDefault="00156F3B" w:rsidP="005B2745">
            <w:pPr>
              <w:jc w:val="center"/>
              <w:rPr>
                <w:rFonts w:ascii="仿宋" w:eastAsia="仿宋" w:hAnsi="仿宋" w:cs="仿宋_GB2312"/>
                <w:sz w:val="24"/>
              </w:rPr>
            </w:pPr>
            <w:r>
              <w:rPr>
                <w:rFonts w:ascii="仿宋" w:eastAsia="仿宋" w:hAnsi="仿宋" w:cs="仿宋_GB2312" w:hint="eastAsia"/>
                <w:sz w:val="24"/>
              </w:rPr>
              <w:t>1650.08</w:t>
            </w:r>
          </w:p>
        </w:tc>
      </w:tr>
      <w:tr w:rsidR="00156F3B" w:rsidTr="00156F3B">
        <w:trPr>
          <w:cantSplit/>
          <w:trHeight w:hRule="exact" w:val="716"/>
          <w:jc w:val="center"/>
        </w:trPr>
        <w:tc>
          <w:tcPr>
            <w:tcW w:w="25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Cs w:val="21"/>
              </w:rPr>
            </w:pPr>
            <w:r>
              <w:rPr>
                <w:rFonts w:ascii="仿宋" w:eastAsia="仿宋" w:hAnsi="仿宋" w:hint="eastAsia"/>
                <w:szCs w:val="21"/>
              </w:rPr>
              <w:t>2019农村生活垃圾分类处理配套设施补助</w:t>
            </w:r>
          </w:p>
        </w:tc>
        <w:tc>
          <w:tcPr>
            <w:tcW w:w="3107"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_GB2312" w:eastAsia="仿宋_GB2312" w:hint="eastAsia"/>
              </w:rPr>
              <w:t>300</w:t>
            </w:r>
          </w:p>
        </w:tc>
        <w:tc>
          <w:tcPr>
            <w:tcW w:w="2944" w:type="dxa"/>
            <w:gridSpan w:val="6"/>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335.2341</w:t>
            </w:r>
          </w:p>
        </w:tc>
      </w:tr>
      <w:tr w:rsidR="00156F3B" w:rsidTr="00156F3B">
        <w:trPr>
          <w:cantSplit/>
          <w:trHeight w:hRule="exact" w:val="453"/>
          <w:jc w:val="center"/>
        </w:trPr>
        <w:tc>
          <w:tcPr>
            <w:tcW w:w="2544" w:type="dxa"/>
            <w:gridSpan w:val="5"/>
            <w:tcBorders>
              <w:top w:val="single" w:sz="4" w:space="0" w:color="auto"/>
              <w:left w:val="single" w:sz="4" w:space="0" w:color="auto"/>
              <w:bottom w:val="single" w:sz="4" w:space="0" w:color="auto"/>
              <w:right w:val="single" w:sz="4" w:space="0" w:color="auto"/>
            </w:tcBorders>
            <w:vAlign w:val="bottom"/>
          </w:tcPr>
          <w:p w:rsidR="00156F3B" w:rsidRDefault="00156F3B" w:rsidP="005B2745">
            <w:pPr>
              <w:jc w:val="center"/>
              <w:rPr>
                <w:rFonts w:ascii="仿宋" w:eastAsia="仿宋" w:hAnsi="仿宋" w:cs="仿宋_GB2312"/>
                <w:szCs w:val="21"/>
              </w:rPr>
            </w:pPr>
            <w:r>
              <w:rPr>
                <w:rFonts w:ascii="仿宋" w:eastAsia="仿宋" w:hAnsi="仿宋" w:cs="仿宋_GB2312"/>
                <w:szCs w:val="21"/>
              </w:rPr>
              <w:t>各级示范村</w:t>
            </w:r>
            <w:r>
              <w:rPr>
                <w:rFonts w:ascii="仿宋" w:eastAsia="仿宋" w:hAnsi="仿宋" w:cs="仿宋_GB2312" w:hint="eastAsia"/>
                <w:szCs w:val="21"/>
              </w:rPr>
              <w:t>、</w:t>
            </w:r>
            <w:r>
              <w:rPr>
                <w:rFonts w:ascii="仿宋" w:eastAsia="仿宋" w:hAnsi="仿宋" w:cs="仿宋_GB2312"/>
                <w:szCs w:val="21"/>
              </w:rPr>
              <w:t>项目村补助</w:t>
            </w:r>
          </w:p>
        </w:tc>
        <w:tc>
          <w:tcPr>
            <w:tcW w:w="3107"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_GB2312" w:eastAsia="仿宋_GB2312" w:hint="eastAsia"/>
              </w:rPr>
              <w:t>444</w:t>
            </w:r>
          </w:p>
        </w:tc>
        <w:tc>
          <w:tcPr>
            <w:tcW w:w="2944" w:type="dxa"/>
            <w:gridSpan w:val="6"/>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cs="仿宋_GB2312"/>
                <w:sz w:val="24"/>
              </w:rPr>
            </w:pPr>
            <w:r>
              <w:rPr>
                <w:rFonts w:ascii="仿宋" w:eastAsia="仿宋" w:hAnsi="仿宋" w:cs="仿宋_GB2312" w:hint="eastAsia"/>
                <w:sz w:val="24"/>
              </w:rPr>
              <w:t>450</w:t>
            </w:r>
          </w:p>
        </w:tc>
      </w:tr>
      <w:tr w:rsidR="00156F3B" w:rsidTr="00156F3B">
        <w:trPr>
          <w:cantSplit/>
          <w:trHeight w:hRule="exact" w:val="453"/>
          <w:jc w:val="center"/>
        </w:trPr>
        <w:tc>
          <w:tcPr>
            <w:tcW w:w="25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 w:eastAsia="仿宋" w:hAnsi="仿宋"/>
                <w:sz w:val="24"/>
              </w:rPr>
              <w:t>其他</w:t>
            </w:r>
          </w:p>
        </w:tc>
        <w:tc>
          <w:tcPr>
            <w:tcW w:w="3107"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p>
        </w:tc>
        <w:tc>
          <w:tcPr>
            <w:tcW w:w="2944" w:type="dxa"/>
            <w:gridSpan w:val="6"/>
            <w:tcBorders>
              <w:top w:val="single" w:sz="4" w:space="0" w:color="auto"/>
              <w:left w:val="single" w:sz="4" w:space="0" w:color="auto"/>
              <w:bottom w:val="single" w:sz="4" w:space="0" w:color="auto"/>
              <w:right w:val="single" w:sz="4" w:space="0" w:color="auto"/>
            </w:tcBorders>
          </w:tcPr>
          <w:p w:rsidR="00156F3B" w:rsidRDefault="00156F3B" w:rsidP="005B2745">
            <w:pPr>
              <w:jc w:val="center"/>
              <w:rPr>
                <w:rFonts w:ascii="仿宋" w:eastAsia="仿宋" w:hAnsi="仿宋"/>
                <w:sz w:val="24"/>
              </w:rPr>
            </w:pPr>
            <w:r>
              <w:rPr>
                <w:rFonts w:ascii="仿宋" w:eastAsia="仿宋" w:hAnsi="仿宋" w:hint="eastAsia"/>
                <w:sz w:val="24"/>
              </w:rPr>
              <w:t>0.5</w:t>
            </w:r>
          </w:p>
        </w:tc>
      </w:tr>
      <w:tr w:rsidR="00156F3B" w:rsidTr="00156F3B">
        <w:trPr>
          <w:cantSplit/>
          <w:trHeight w:hRule="exact" w:val="453"/>
          <w:jc w:val="center"/>
        </w:trPr>
        <w:tc>
          <w:tcPr>
            <w:tcW w:w="25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hAnsi="华文中宋"/>
              </w:rPr>
            </w:pPr>
            <w:r>
              <w:rPr>
                <w:rFonts w:ascii="仿宋_GB2312" w:eastAsia="仿宋_GB2312" w:hAnsi="华文中宋" w:hint="eastAsia"/>
              </w:rPr>
              <w:t>支出合计</w:t>
            </w:r>
          </w:p>
        </w:tc>
        <w:tc>
          <w:tcPr>
            <w:tcW w:w="3107"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 w:eastAsia="仿宋" w:hAnsi="仿宋" w:hint="eastAsia"/>
                <w:sz w:val="24"/>
              </w:rPr>
              <w:t>4630.47</w:t>
            </w:r>
          </w:p>
        </w:tc>
        <w:tc>
          <w:tcPr>
            <w:tcW w:w="2944" w:type="dxa"/>
            <w:gridSpan w:val="6"/>
            <w:tcBorders>
              <w:top w:val="single" w:sz="4" w:space="0" w:color="auto"/>
              <w:left w:val="single" w:sz="4" w:space="0" w:color="auto"/>
              <w:bottom w:val="single" w:sz="4" w:space="0" w:color="auto"/>
              <w:right w:val="single" w:sz="4" w:space="0" w:color="auto"/>
            </w:tcBorders>
          </w:tcPr>
          <w:p w:rsidR="00156F3B" w:rsidRDefault="00156F3B" w:rsidP="005B2745">
            <w:pPr>
              <w:jc w:val="center"/>
              <w:rPr>
                <w:rFonts w:ascii="仿宋_GB2312" w:eastAsia="仿宋_GB2312"/>
              </w:rPr>
            </w:pPr>
            <w:r>
              <w:rPr>
                <w:rFonts w:ascii="仿宋" w:eastAsia="仿宋" w:hAnsi="仿宋" w:hint="eastAsia"/>
                <w:sz w:val="24"/>
              </w:rPr>
              <w:t>4630.47</w:t>
            </w:r>
          </w:p>
        </w:tc>
      </w:tr>
      <w:tr w:rsidR="00156F3B" w:rsidTr="00156F3B">
        <w:trPr>
          <w:cantSplit/>
          <w:trHeight w:val="554"/>
          <w:jc w:val="center"/>
        </w:trPr>
        <w:tc>
          <w:tcPr>
            <w:tcW w:w="8595" w:type="dxa"/>
            <w:gridSpan w:val="1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_GB2312" w:eastAsia="仿宋_GB2312" w:hint="eastAsia"/>
                <w:b/>
              </w:rPr>
              <w:t>三、项目绩效情况</w:t>
            </w:r>
          </w:p>
        </w:tc>
      </w:tr>
      <w:tr w:rsidR="00156F3B" w:rsidTr="00156F3B">
        <w:trPr>
          <w:gridAfter w:val="1"/>
          <w:wAfter w:w="210" w:type="dxa"/>
          <w:cantSplit/>
          <w:trHeight w:val="509"/>
          <w:jc w:val="center"/>
        </w:trPr>
        <w:tc>
          <w:tcPr>
            <w:tcW w:w="3643" w:type="dxa"/>
            <w:gridSpan w:val="6"/>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_GB2312" w:eastAsia="仿宋_GB2312" w:hAnsi="仿宋" w:hint="eastAsia"/>
                <w:b/>
                <w:sz w:val="28"/>
                <w:szCs w:val="28"/>
              </w:rPr>
              <w:t>评价指标</w:t>
            </w:r>
          </w:p>
        </w:tc>
        <w:tc>
          <w:tcPr>
            <w:tcW w:w="3039" w:type="dxa"/>
            <w:gridSpan w:val="5"/>
            <w:vMerge w:val="restart"/>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_GB2312" w:eastAsia="仿宋_GB2312" w:hAnsi="仿宋" w:hint="eastAsia"/>
                <w:b/>
                <w:sz w:val="28"/>
                <w:szCs w:val="28"/>
              </w:rPr>
              <w:t>评价标准</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00" w:lineRule="exact"/>
              <w:jc w:val="center"/>
              <w:rPr>
                <w:rFonts w:ascii="仿宋_GB2312" w:eastAsia="仿宋_GB2312"/>
                <w:b/>
              </w:rPr>
            </w:pPr>
            <w:r>
              <w:rPr>
                <w:rFonts w:ascii="仿宋_GB2312" w:eastAsia="仿宋_GB2312" w:hint="eastAsia"/>
                <w:b/>
              </w:rPr>
              <w:t>分值</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00" w:lineRule="exact"/>
              <w:jc w:val="center"/>
              <w:rPr>
                <w:rFonts w:ascii="仿宋_GB2312" w:eastAsia="仿宋_GB2312"/>
                <w:b/>
              </w:rPr>
            </w:pPr>
            <w:r>
              <w:rPr>
                <w:rFonts w:ascii="仿宋_GB2312" w:eastAsia="仿宋_GB2312" w:hint="eastAsia"/>
                <w:b/>
              </w:rPr>
              <w:t>得分</w:t>
            </w:r>
          </w:p>
        </w:tc>
      </w:tr>
      <w:tr w:rsidR="00156F3B" w:rsidTr="00156F3B">
        <w:trPr>
          <w:gridAfter w:val="1"/>
          <w:wAfter w:w="210" w:type="dxa"/>
          <w:cantSplit/>
          <w:trHeight w:val="509"/>
          <w:jc w:val="center"/>
        </w:trPr>
        <w:tc>
          <w:tcPr>
            <w:tcW w:w="808"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b/>
                <w:sz w:val="28"/>
                <w:szCs w:val="28"/>
              </w:rPr>
            </w:pPr>
            <w:r>
              <w:rPr>
                <w:rFonts w:ascii="仿宋_GB2312" w:eastAsia="仿宋_GB2312" w:hAnsi="仿宋" w:hint="eastAsia"/>
                <w:b/>
                <w:sz w:val="28"/>
                <w:szCs w:val="28"/>
              </w:rPr>
              <w:t>一级</w:t>
            </w:r>
          </w:p>
        </w:tc>
        <w:tc>
          <w:tcPr>
            <w:tcW w:w="850"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b/>
                <w:sz w:val="28"/>
                <w:szCs w:val="28"/>
              </w:rPr>
            </w:pPr>
            <w:r>
              <w:rPr>
                <w:rFonts w:ascii="仿宋_GB2312" w:eastAsia="仿宋_GB2312" w:hAnsi="仿宋" w:hint="eastAsia"/>
                <w:b/>
                <w:sz w:val="28"/>
                <w:szCs w:val="28"/>
              </w:rPr>
              <w:t>二级</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b/>
                <w:sz w:val="28"/>
                <w:szCs w:val="28"/>
              </w:rPr>
            </w:pPr>
            <w:r>
              <w:rPr>
                <w:rFonts w:ascii="仿宋_GB2312" w:eastAsia="仿宋_GB2312" w:hAnsi="仿宋" w:hint="eastAsia"/>
                <w:b/>
                <w:sz w:val="28"/>
                <w:szCs w:val="28"/>
              </w:rPr>
              <w:t>三级</w:t>
            </w:r>
          </w:p>
        </w:tc>
        <w:tc>
          <w:tcPr>
            <w:tcW w:w="3039" w:type="dxa"/>
            <w:gridSpan w:val="5"/>
            <w:vMerge/>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left"/>
              <w:rPr>
                <w:rFonts w:ascii="仿宋_GB2312" w:eastAsia="仿宋_GB2312"/>
                <w:b/>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left"/>
              <w:rPr>
                <w:rFonts w:ascii="仿宋_GB2312" w:eastAsia="仿宋_GB2312"/>
                <w:b/>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left"/>
              <w:rPr>
                <w:rFonts w:ascii="仿宋_GB2312" w:eastAsia="仿宋_GB2312"/>
                <w:b/>
              </w:rPr>
            </w:pPr>
          </w:p>
        </w:tc>
      </w:tr>
      <w:tr w:rsidR="00156F3B" w:rsidTr="00156F3B">
        <w:trPr>
          <w:gridAfter w:val="1"/>
          <w:wAfter w:w="210" w:type="dxa"/>
          <w:cantSplit/>
          <w:trHeight w:val="509"/>
          <w:jc w:val="center"/>
        </w:trPr>
        <w:tc>
          <w:tcPr>
            <w:tcW w:w="808" w:type="dxa"/>
            <w:vMerge w:val="restart"/>
            <w:tcBorders>
              <w:top w:val="single" w:sz="4" w:space="0" w:color="auto"/>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业务指标</w:t>
            </w:r>
          </w:p>
        </w:tc>
        <w:tc>
          <w:tcPr>
            <w:tcW w:w="850" w:type="dxa"/>
            <w:vMerge w:val="restart"/>
            <w:tcBorders>
              <w:top w:val="single" w:sz="4" w:space="0" w:color="auto"/>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项目立项（20）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立项依据充分性</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cs="仿宋" w:hint="eastAsia"/>
                <w:color w:val="000000"/>
                <w:sz w:val="24"/>
              </w:rPr>
              <w:t>项目目标设定依据是否充分：充分，5分；不完全充分，3分；不充分的不得分。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cs="仿宋"/>
                <w:color w:val="000000"/>
                <w:sz w:val="24"/>
              </w:rPr>
            </w:pPr>
            <w:r>
              <w:rPr>
                <w:rFonts w:ascii="仿宋" w:eastAsia="仿宋" w:hAnsi="仿宋" w:cs="仿宋" w:hint="eastAsia"/>
                <w:color w:val="000000"/>
                <w:sz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cs="仿宋"/>
                <w:color w:val="000000"/>
                <w:sz w:val="24"/>
              </w:rPr>
            </w:pPr>
            <w:r>
              <w:rPr>
                <w:rFonts w:ascii="仿宋" w:eastAsia="仿宋" w:hAnsi="仿宋" w:cs="仿宋" w:hint="eastAsia"/>
                <w:color w:val="000000"/>
                <w:sz w:val="24"/>
              </w:rPr>
              <w:t>5</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立项程序合规性</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cs="仿宋" w:hint="eastAsia"/>
                <w:color w:val="000000"/>
                <w:sz w:val="24"/>
              </w:rPr>
              <w:t>决策是否符合法律法规、政策规定和上级指示精神：符合，5分；不完全符合，3分；不符合不得分。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cs="仿宋"/>
                <w:color w:val="000000"/>
                <w:sz w:val="24"/>
              </w:rPr>
            </w:pPr>
            <w:r>
              <w:rPr>
                <w:rFonts w:ascii="仿宋" w:eastAsia="仿宋" w:hAnsi="仿宋" w:cs="仿宋" w:hint="eastAsia"/>
                <w:color w:val="000000"/>
                <w:sz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cs="仿宋"/>
                <w:color w:val="000000"/>
                <w:sz w:val="24"/>
              </w:rPr>
            </w:pPr>
            <w:r>
              <w:rPr>
                <w:rFonts w:ascii="仿宋" w:eastAsia="仿宋" w:hAnsi="仿宋" w:cs="仿宋" w:hint="eastAsia"/>
                <w:color w:val="000000"/>
                <w:sz w:val="24"/>
              </w:rPr>
              <w:t>5</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目标设立合理性</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cs="仿宋" w:hint="eastAsia"/>
                <w:color w:val="000000"/>
                <w:sz w:val="24"/>
              </w:rPr>
              <w:t>项目资金使用的预定目标设置是否客观、科学、合理，能否体现财政支出的经济性、效率性和有效性：合理，5分；基本合理，3分；不合理的不得分。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cs="仿宋"/>
                <w:color w:val="000000"/>
                <w:sz w:val="24"/>
              </w:rPr>
            </w:pPr>
            <w:r>
              <w:rPr>
                <w:rFonts w:ascii="仿宋" w:eastAsia="仿宋" w:hAnsi="仿宋" w:cs="仿宋" w:hint="eastAsia"/>
                <w:color w:val="000000"/>
                <w:sz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cs="仿宋"/>
                <w:color w:val="000000"/>
                <w:sz w:val="24"/>
              </w:rPr>
            </w:pPr>
            <w:r>
              <w:rPr>
                <w:rFonts w:ascii="仿宋" w:eastAsia="仿宋" w:hAnsi="仿宋" w:cs="仿宋" w:hint="eastAsia"/>
                <w:color w:val="000000"/>
                <w:sz w:val="24"/>
              </w:rPr>
              <w:t>5</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left w:val="single" w:sz="4" w:space="0" w:color="auto"/>
              <w:right w:val="single" w:sz="4" w:space="0" w:color="auto"/>
            </w:tcBorders>
            <w:vAlign w:val="center"/>
          </w:tcPr>
          <w:p w:rsidR="00156F3B" w:rsidRDefault="00156F3B" w:rsidP="005B2745">
            <w:pPr>
              <w:jc w:val="left"/>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目标设立明确性</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cs="仿宋" w:hint="eastAsia"/>
                <w:color w:val="000000"/>
                <w:sz w:val="24"/>
              </w:rPr>
              <w:t>计划目标明确、具体化得5分；年度目标有一项不明确的，扣</w:t>
            </w:r>
            <w:r>
              <w:rPr>
                <w:rFonts w:ascii="仿宋" w:eastAsia="仿宋" w:hAnsi="仿宋" w:cs="仿宋"/>
                <w:color w:val="000000"/>
                <w:sz w:val="24"/>
              </w:rPr>
              <w:t>1</w:t>
            </w:r>
            <w:r>
              <w:rPr>
                <w:rFonts w:ascii="仿宋" w:eastAsia="仿宋" w:hAnsi="仿宋" w:cs="仿宋" w:hint="eastAsia"/>
                <w:color w:val="000000"/>
                <w:sz w:val="24"/>
              </w:rPr>
              <w:t>分，扣完为止。</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cs="仿宋"/>
                <w:color w:val="000000"/>
                <w:sz w:val="24"/>
              </w:rPr>
            </w:pPr>
            <w:r>
              <w:rPr>
                <w:rFonts w:ascii="仿宋" w:eastAsia="仿宋" w:hAnsi="仿宋" w:cs="仿宋" w:hint="eastAsia"/>
                <w:color w:val="000000"/>
                <w:sz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cs="仿宋"/>
                <w:color w:val="000000"/>
                <w:sz w:val="24"/>
              </w:rPr>
            </w:pPr>
            <w:r>
              <w:rPr>
                <w:rFonts w:ascii="仿宋" w:eastAsia="仿宋" w:hAnsi="仿宋" w:cs="仿宋" w:hint="eastAsia"/>
                <w:color w:val="000000"/>
                <w:sz w:val="24"/>
              </w:rPr>
              <w:t>5</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组织实施（4）</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业务制度健全性</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cs="仿宋" w:hint="eastAsia"/>
                <w:color w:val="000000"/>
                <w:sz w:val="24"/>
              </w:rPr>
              <w:t>相关管理制度是否健全以及落实到位情况，制度健全为2分，部分健全为1分，不健全为0分。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cs="仿宋"/>
                <w:color w:val="000000"/>
                <w:sz w:val="24"/>
              </w:rPr>
            </w:pPr>
            <w:r>
              <w:rPr>
                <w:rFonts w:ascii="仿宋" w:eastAsia="仿宋" w:hAnsi="仿宋" w:cs="仿宋" w:hint="eastAsia"/>
                <w:color w:val="000000"/>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cs="仿宋"/>
                <w:color w:val="000000"/>
                <w:sz w:val="24"/>
              </w:rPr>
            </w:pPr>
            <w:r>
              <w:rPr>
                <w:rFonts w:ascii="仿宋" w:eastAsia="仿宋" w:hAnsi="仿宋" w:cs="仿宋" w:hint="eastAsia"/>
                <w:color w:val="000000"/>
                <w:sz w:val="24"/>
              </w:rPr>
              <w:t>2</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执行有效性</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列入政府和部门工作目标责任考核为1分，未列入为0分；各级领导机构健全，且落实工作场所、工作经费为1分，每发现有一项不符合要求的扣0.5分，扣完为止。</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cs="仿宋"/>
                <w:color w:val="000000"/>
                <w:sz w:val="24"/>
              </w:rPr>
            </w:pPr>
            <w:r>
              <w:rPr>
                <w:rFonts w:ascii="仿宋" w:eastAsia="仿宋" w:hAnsi="仿宋" w:cs="仿宋" w:hint="eastAsia"/>
                <w:color w:val="000000"/>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cs="仿宋"/>
                <w:color w:val="000000"/>
                <w:sz w:val="24"/>
              </w:rPr>
            </w:pPr>
            <w:r>
              <w:rPr>
                <w:rFonts w:ascii="仿宋" w:eastAsia="仿宋" w:hAnsi="仿宋" w:cs="仿宋" w:hint="eastAsia"/>
                <w:color w:val="000000"/>
                <w:sz w:val="24"/>
              </w:rPr>
              <w:t>2</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val="restart"/>
            <w:tcBorders>
              <w:top w:val="single" w:sz="4" w:space="0" w:color="auto"/>
              <w:left w:val="single" w:sz="4" w:space="0" w:color="auto"/>
              <w:right w:val="single" w:sz="4" w:space="0" w:color="auto"/>
            </w:tcBorders>
            <w:vAlign w:val="center"/>
          </w:tcPr>
          <w:p w:rsidR="00156F3B" w:rsidRDefault="00156F3B" w:rsidP="005B2745">
            <w:pPr>
              <w:spacing w:line="460" w:lineRule="exact"/>
              <w:rPr>
                <w:rFonts w:ascii="仿宋_GB2312" w:eastAsia="仿宋_GB2312" w:hAnsi="仿宋"/>
                <w:sz w:val="24"/>
              </w:rPr>
            </w:pPr>
            <w:r>
              <w:rPr>
                <w:rFonts w:ascii="仿宋_GB2312" w:eastAsia="仿宋_GB2312" w:hAnsi="仿宋"/>
                <w:sz w:val="24"/>
              </w:rPr>
              <w:t>项目实施</w:t>
            </w:r>
            <w:r>
              <w:rPr>
                <w:rFonts w:ascii="仿宋_GB2312" w:eastAsia="仿宋_GB2312" w:hAnsi="仿宋" w:hint="eastAsia"/>
                <w:sz w:val="24"/>
              </w:rPr>
              <w:t>（11）</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 w:eastAsia="仿宋" w:hAnsi="仿宋" w:hint="eastAsia"/>
                <w:sz w:val="24"/>
              </w:rPr>
              <w:t>建立垃圾分类体系</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cs="仿宋"/>
                <w:color w:val="000000"/>
                <w:sz w:val="24"/>
              </w:rPr>
            </w:pPr>
            <w:r>
              <w:rPr>
                <w:rFonts w:ascii="仿宋" w:eastAsia="仿宋" w:hAnsi="仿宋" w:hint="eastAsia"/>
                <w:sz w:val="24"/>
              </w:rPr>
              <w:t>建立健全农村生活垃圾分类投放、收集、运输和处置体系，建立完善的得2分，比较完善的得1分，不完善的不得分。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sz w:val="24"/>
              </w:rPr>
            </w:pPr>
            <w:r>
              <w:rPr>
                <w:rFonts w:ascii="仿宋" w:eastAsia="仿宋" w:hAnsi="仿宋" w:cs="仿宋" w:hint="eastAsia"/>
                <w:color w:val="000000"/>
                <w:sz w:val="24"/>
              </w:rPr>
              <w:t>1</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 w:eastAsia="仿宋" w:hAnsi="仿宋" w:hint="eastAsia"/>
                <w:sz w:val="24"/>
              </w:rPr>
              <w:t>有垃圾处理设施</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cs="仿宋"/>
                <w:color w:val="000000"/>
                <w:sz w:val="24"/>
              </w:rPr>
            </w:pPr>
            <w:r>
              <w:rPr>
                <w:rFonts w:ascii="仿宋" w:eastAsia="仿宋" w:hAnsi="仿宋" w:hint="eastAsia"/>
                <w:sz w:val="24"/>
              </w:rPr>
              <w:t>各镇配备垃圾分类及减量处理区域有配套处理终端，实现无害化处理的，得3分；配备比较完善的得2分；配备一般的得1分；没有配备的不得分。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sz w:val="24"/>
              </w:rPr>
            </w:pPr>
            <w:r>
              <w:rPr>
                <w:rFonts w:ascii="仿宋" w:eastAsia="仿宋" w:hAnsi="仿宋" w:cs="仿宋" w:hint="eastAsia"/>
                <w:color w:val="000000"/>
                <w:sz w:val="24"/>
              </w:rPr>
              <w:t>2</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 w:eastAsia="仿宋" w:hAnsi="仿宋" w:hint="eastAsia"/>
                <w:sz w:val="24"/>
              </w:rPr>
              <w:t>考核验收</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cs="仿宋"/>
                <w:color w:val="000000"/>
                <w:sz w:val="24"/>
              </w:rPr>
            </w:pPr>
            <w:r>
              <w:rPr>
                <w:rFonts w:ascii="仿宋" w:eastAsia="仿宋" w:hAnsi="仿宋" w:hint="eastAsia"/>
                <w:sz w:val="24"/>
              </w:rPr>
              <w:t>生活垃圾治理项目每年年底按照项目考核办法组织进行逐镇、街道抽查考核、验收，覆盖所有村且相关记录齐全的为2分；有一例年度已考核、验收但记录不齐的扣0.1分，有一例未按时进行考核、验收的扣0.2分；未覆盖所有村的，按比例扣分；扣完为止。</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sz w:val="24"/>
              </w:rPr>
            </w:pPr>
            <w:r>
              <w:rPr>
                <w:rFonts w:ascii="仿宋" w:eastAsia="仿宋" w:hAnsi="仿宋" w:cs="仿宋" w:hint="eastAsia"/>
                <w:color w:val="000000"/>
                <w:sz w:val="24"/>
              </w:rPr>
              <w:t>2</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tcPr>
          <w:p w:rsidR="00156F3B" w:rsidRDefault="00156F3B" w:rsidP="005B2745">
            <w:pPr>
              <w:spacing w:line="460" w:lineRule="exact"/>
              <w:jc w:val="center"/>
              <w:rPr>
                <w:rFonts w:ascii="仿宋" w:eastAsia="仿宋" w:hAnsi="仿宋"/>
                <w:sz w:val="24"/>
              </w:rPr>
            </w:pPr>
            <w:r>
              <w:rPr>
                <w:rFonts w:ascii="仿宋" w:eastAsia="仿宋" w:hAnsi="仿宋" w:hint="eastAsia"/>
                <w:sz w:val="24"/>
              </w:rPr>
              <w:t>督办检查</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建立督办检查制度，定期检查督办的得2分，未建立的不得分。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sz w:val="24"/>
              </w:rPr>
            </w:pPr>
            <w:r>
              <w:rPr>
                <w:rFonts w:ascii="仿宋" w:eastAsia="仿宋" w:hAnsi="仿宋" w:cs="仿宋" w:hint="eastAsia"/>
                <w:color w:val="000000"/>
                <w:sz w:val="24"/>
              </w:rPr>
              <w:t>2</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tcPr>
          <w:p w:rsidR="00156F3B" w:rsidRDefault="00156F3B" w:rsidP="005B2745">
            <w:pPr>
              <w:spacing w:line="460" w:lineRule="exact"/>
              <w:jc w:val="center"/>
              <w:rPr>
                <w:rFonts w:ascii="仿宋" w:eastAsia="仿宋" w:hAnsi="仿宋"/>
                <w:sz w:val="24"/>
              </w:rPr>
            </w:pPr>
            <w:r>
              <w:rPr>
                <w:rFonts w:ascii="仿宋" w:eastAsia="仿宋" w:hAnsi="仿宋" w:hint="eastAsia"/>
                <w:sz w:val="24"/>
              </w:rPr>
              <w:t>档案管理</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日常工作资料记录和档案资料归档情况好的得2分，较好的得1.5分，一般的得1分，差的得0分。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sz w:val="24"/>
              </w:rPr>
            </w:pPr>
            <w:r>
              <w:rPr>
                <w:rFonts w:ascii="仿宋" w:eastAsia="仿宋" w:hAnsi="仿宋" w:cs="仿宋" w:hint="eastAsia"/>
                <w:color w:val="000000"/>
                <w:sz w:val="24"/>
              </w:rPr>
              <w:t>1.5</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产出完成（15）</w:t>
            </w:r>
          </w:p>
        </w:tc>
        <w:tc>
          <w:tcPr>
            <w:tcW w:w="1985" w:type="dxa"/>
            <w:gridSpan w:val="4"/>
            <w:vMerge w:val="restart"/>
            <w:tcBorders>
              <w:top w:val="single" w:sz="4" w:space="0" w:color="auto"/>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数量完成率</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按支付周期实际支付保洁员奖补资金，支付率95%及以上的</w:t>
            </w:r>
            <w:r>
              <w:rPr>
                <w:rFonts w:ascii="仿宋" w:eastAsia="仿宋" w:hAnsi="仿宋"/>
                <w:sz w:val="24"/>
              </w:rPr>
              <w:t>3</w:t>
            </w:r>
            <w:r>
              <w:rPr>
                <w:rFonts w:ascii="仿宋" w:eastAsia="仿宋" w:hAnsi="仿宋" w:hint="eastAsia"/>
                <w:sz w:val="24"/>
              </w:rPr>
              <w:t>分，85%-94.99%的得</w:t>
            </w:r>
            <w:r>
              <w:rPr>
                <w:rFonts w:ascii="仿宋" w:eastAsia="仿宋" w:hAnsi="仿宋"/>
                <w:sz w:val="24"/>
              </w:rPr>
              <w:t>2</w:t>
            </w:r>
            <w:r>
              <w:rPr>
                <w:rFonts w:ascii="仿宋" w:eastAsia="仿宋" w:hAnsi="仿宋" w:hint="eastAsia"/>
                <w:sz w:val="24"/>
              </w:rPr>
              <w:t>分，75%-84.99%的得1分，75%以下0分。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sz w:val="24"/>
              </w:rPr>
            </w:pPr>
            <w:r>
              <w:rPr>
                <w:rFonts w:ascii="仿宋" w:eastAsia="仿宋" w:hAnsi="仿宋" w:cs="仿宋" w:hint="eastAsia"/>
                <w:color w:val="000000"/>
                <w:sz w:val="24"/>
              </w:rPr>
              <w:t>3</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vMerge/>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完成农村生活垃圾有效收集处理和分类减量处理年度任务，完成率100%为3分，完成率每降低一个百分点扣0.01分，扣完为止。</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sz w:val="24"/>
              </w:rPr>
            </w:pPr>
            <w:r>
              <w:rPr>
                <w:rFonts w:ascii="仿宋" w:eastAsia="仿宋" w:hAnsi="仿宋" w:cs="仿宋" w:hint="eastAsia"/>
                <w:color w:val="000000"/>
                <w:sz w:val="24"/>
              </w:rPr>
              <w:t>3</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质量达标率</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项目目标完成的质量好的得5分，比较好的得4分，一般的得3分，差的不得分。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pPr>
            <w:r>
              <w:rPr>
                <w:rFonts w:ascii="仿宋" w:eastAsia="仿宋" w:hAnsi="仿宋" w:hint="eastAsia"/>
                <w:sz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pPr>
            <w:r>
              <w:rPr>
                <w:rFonts w:ascii="仿宋" w:eastAsia="仿宋" w:hAnsi="仿宋" w:cs="仿宋" w:hint="eastAsia"/>
                <w:color w:val="000000"/>
                <w:sz w:val="24"/>
              </w:rPr>
              <w:t>4</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完成及时性</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目标按计划完成补助的得</w:t>
            </w:r>
            <w:r>
              <w:rPr>
                <w:rFonts w:ascii="仿宋" w:eastAsia="仿宋" w:hAnsi="仿宋"/>
                <w:sz w:val="24"/>
              </w:rPr>
              <w:t>4</w:t>
            </w:r>
            <w:r>
              <w:rPr>
                <w:rFonts w:ascii="仿宋" w:eastAsia="仿宋" w:hAnsi="仿宋" w:hint="eastAsia"/>
                <w:sz w:val="24"/>
              </w:rPr>
              <w:t>分，每个项目降低5个百比点扣0.5分，扣完为止。</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pPr>
            <w:r>
              <w:rPr>
                <w:rFonts w:ascii="仿宋" w:eastAsia="仿宋" w:hAnsi="仿宋"/>
                <w:sz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pPr>
            <w:r>
              <w:rPr>
                <w:rFonts w:ascii="仿宋" w:eastAsia="仿宋" w:hAnsi="仿宋" w:cs="仿宋" w:hint="eastAsia"/>
                <w:color w:val="000000"/>
                <w:sz w:val="24"/>
              </w:rPr>
              <w:t>4</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left"/>
            </w:pP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val="restart"/>
            <w:tcBorders>
              <w:top w:val="single" w:sz="4" w:space="0" w:color="auto"/>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项目效益（30）</w:t>
            </w:r>
          </w:p>
        </w:tc>
        <w:tc>
          <w:tcPr>
            <w:tcW w:w="709" w:type="dxa"/>
            <w:gridSpan w:val="2"/>
            <w:vMerge w:val="restart"/>
            <w:tcBorders>
              <w:top w:val="single" w:sz="4" w:space="0" w:color="auto"/>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社会效益</w:t>
            </w:r>
          </w:p>
        </w:tc>
        <w:tc>
          <w:tcPr>
            <w:tcW w:w="1276" w:type="dxa"/>
            <w:gridSpan w:val="2"/>
            <w:tcBorders>
              <w:top w:val="single" w:sz="4" w:space="0" w:color="auto"/>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 w:eastAsia="仿宋" w:hAnsi="仿宋" w:hint="eastAsia"/>
                <w:sz w:val="24"/>
              </w:rPr>
              <w:t>良好的生活卫生习惯</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项目实施促进村民形成良好的生活卫生习惯，非常有作用的得</w:t>
            </w:r>
            <w:r>
              <w:rPr>
                <w:rFonts w:ascii="仿宋" w:eastAsia="仿宋" w:hAnsi="仿宋"/>
                <w:sz w:val="24"/>
              </w:rPr>
              <w:t>4</w:t>
            </w:r>
            <w:r>
              <w:rPr>
                <w:rFonts w:ascii="仿宋" w:eastAsia="仿宋" w:hAnsi="仿宋" w:hint="eastAsia"/>
                <w:sz w:val="24"/>
              </w:rPr>
              <w:t>分，有作用的得</w:t>
            </w:r>
            <w:r>
              <w:rPr>
                <w:rFonts w:ascii="仿宋" w:eastAsia="仿宋" w:hAnsi="仿宋"/>
                <w:sz w:val="24"/>
              </w:rPr>
              <w:t>3</w:t>
            </w:r>
            <w:r>
              <w:rPr>
                <w:rFonts w:ascii="仿宋" w:eastAsia="仿宋" w:hAnsi="仿宋" w:hint="eastAsia"/>
                <w:sz w:val="24"/>
              </w:rPr>
              <w:t>分，作用一般的得2分，无作用的得0分。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sz w:val="24"/>
              </w:rPr>
              <w:t>3</w:t>
            </w:r>
          </w:p>
        </w:tc>
      </w:tr>
      <w:tr w:rsidR="00156F3B" w:rsidTr="00156F3B">
        <w:trPr>
          <w:gridAfter w:val="1"/>
          <w:wAfter w:w="210" w:type="dxa"/>
          <w:cantSplit/>
          <w:trHeight w:val="2504"/>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709" w:type="dxa"/>
            <w:gridSpan w:val="2"/>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276" w:type="dxa"/>
            <w:gridSpan w:val="2"/>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 w:eastAsia="仿宋" w:hAnsi="仿宋" w:hint="eastAsia"/>
                <w:sz w:val="24"/>
              </w:rPr>
              <w:t>农村生活环境的改善</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项目实施改善农村生活环境状况，效果非常明显的得</w:t>
            </w:r>
            <w:r>
              <w:rPr>
                <w:rFonts w:ascii="仿宋" w:eastAsia="仿宋" w:hAnsi="仿宋"/>
                <w:sz w:val="24"/>
              </w:rPr>
              <w:t>4</w:t>
            </w:r>
            <w:r>
              <w:rPr>
                <w:rFonts w:ascii="仿宋" w:eastAsia="仿宋" w:hAnsi="仿宋" w:hint="eastAsia"/>
                <w:sz w:val="24"/>
              </w:rPr>
              <w:t>分，效果良好的得</w:t>
            </w:r>
            <w:r>
              <w:rPr>
                <w:rFonts w:ascii="仿宋" w:eastAsia="仿宋" w:hAnsi="仿宋"/>
                <w:sz w:val="24"/>
              </w:rPr>
              <w:t>3</w:t>
            </w:r>
            <w:r>
              <w:rPr>
                <w:rFonts w:ascii="仿宋" w:eastAsia="仿宋" w:hAnsi="仿宋" w:hint="eastAsia"/>
                <w:sz w:val="24"/>
              </w:rPr>
              <w:t>分，效果一般的得2分，无效果的得0分。</w:t>
            </w:r>
          </w:p>
        </w:tc>
        <w:tc>
          <w:tcPr>
            <w:tcW w:w="852" w:type="dxa"/>
            <w:gridSpan w:val="2"/>
            <w:tcBorders>
              <w:top w:val="single" w:sz="4" w:space="0" w:color="auto"/>
              <w:left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4</w:t>
            </w:r>
          </w:p>
        </w:tc>
        <w:tc>
          <w:tcPr>
            <w:tcW w:w="851" w:type="dxa"/>
            <w:tcBorders>
              <w:top w:val="single" w:sz="4" w:space="0" w:color="auto"/>
              <w:left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3</w:t>
            </w:r>
          </w:p>
        </w:tc>
      </w:tr>
      <w:tr w:rsidR="00156F3B" w:rsidTr="00156F3B">
        <w:trPr>
          <w:gridAfter w:val="1"/>
          <w:wAfter w:w="210" w:type="dxa"/>
          <w:cantSplit/>
          <w:trHeight w:val="58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709" w:type="dxa"/>
            <w:gridSpan w:val="2"/>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276" w:type="dxa"/>
            <w:gridSpan w:val="2"/>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 w:eastAsia="仿宋" w:hAnsi="仿宋" w:hint="eastAsia"/>
                <w:sz w:val="24"/>
              </w:rPr>
              <w:t>垃圾的减量化、资源化处理</w:t>
            </w:r>
          </w:p>
        </w:tc>
        <w:tc>
          <w:tcPr>
            <w:tcW w:w="3039" w:type="dxa"/>
            <w:gridSpan w:val="5"/>
            <w:tcBorders>
              <w:top w:val="single" w:sz="4" w:space="0" w:color="auto"/>
              <w:left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项目实施有利于实现垃圾的减量化、资源化处理，非常有作用的得</w:t>
            </w:r>
            <w:r>
              <w:rPr>
                <w:rFonts w:ascii="仿宋" w:eastAsia="仿宋" w:hAnsi="仿宋"/>
                <w:sz w:val="24"/>
              </w:rPr>
              <w:t>4</w:t>
            </w:r>
            <w:r>
              <w:rPr>
                <w:rFonts w:ascii="仿宋" w:eastAsia="仿宋" w:hAnsi="仿宋" w:hint="eastAsia"/>
                <w:sz w:val="24"/>
              </w:rPr>
              <w:t>分，有作用的得</w:t>
            </w:r>
            <w:r>
              <w:rPr>
                <w:rFonts w:ascii="仿宋" w:eastAsia="仿宋" w:hAnsi="仿宋"/>
                <w:sz w:val="24"/>
              </w:rPr>
              <w:t>3</w:t>
            </w:r>
            <w:r>
              <w:rPr>
                <w:rFonts w:ascii="仿宋" w:eastAsia="仿宋" w:hAnsi="仿宋" w:hint="eastAsia"/>
                <w:sz w:val="24"/>
              </w:rPr>
              <w:t>分，作用一般的得2分，无作用的得0分。</w:t>
            </w:r>
          </w:p>
        </w:tc>
        <w:tc>
          <w:tcPr>
            <w:tcW w:w="852" w:type="dxa"/>
            <w:gridSpan w:val="2"/>
            <w:tcBorders>
              <w:left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4</w:t>
            </w:r>
          </w:p>
        </w:tc>
        <w:tc>
          <w:tcPr>
            <w:tcW w:w="851" w:type="dxa"/>
            <w:tcBorders>
              <w:left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sz w:val="24"/>
              </w:rPr>
              <w:t>3</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709" w:type="dxa"/>
            <w:gridSpan w:val="2"/>
            <w:vMerge/>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276" w:type="dxa"/>
            <w:gridSpan w:val="2"/>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 w:eastAsia="仿宋" w:hAnsi="仿宋" w:hint="eastAsia"/>
                <w:sz w:val="24"/>
              </w:rPr>
              <w:t>促进美丽乡村建设</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项目实施有助于促进美丽乡村建设，非常有作用的得</w:t>
            </w:r>
            <w:r>
              <w:rPr>
                <w:rFonts w:ascii="仿宋" w:eastAsia="仿宋" w:hAnsi="仿宋"/>
                <w:sz w:val="24"/>
              </w:rPr>
              <w:t>4</w:t>
            </w:r>
            <w:r>
              <w:rPr>
                <w:rFonts w:ascii="仿宋" w:eastAsia="仿宋" w:hAnsi="仿宋" w:hint="eastAsia"/>
                <w:sz w:val="24"/>
              </w:rPr>
              <w:t>分，有作用的得</w:t>
            </w:r>
            <w:r>
              <w:rPr>
                <w:rFonts w:ascii="仿宋" w:eastAsia="仿宋" w:hAnsi="仿宋"/>
                <w:sz w:val="24"/>
              </w:rPr>
              <w:t>3</w:t>
            </w:r>
            <w:r>
              <w:rPr>
                <w:rFonts w:ascii="仿宋" w:eastAsia="仿宋" w:hAnsi="仿宋" w:hint="eastAsia"/>
                <w:sz w:val="24"/>
              </w:rPr>
              <w:t>分，作用一般的得2分，无作用的得0分。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3</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709" w:type="dxa"/>
            <w:gridSpan w:val="2"/>
            <w:vMerge w:val="restart"/>
            <w:tcBorders>
              <w:top w:val="single" w:sz="4" w:space="0" w:color="auto"/>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生态效益</w:t>
            </w:r>
          </w:p>
        </w:tc>
        <w:tc>
          <w:tcPr>
            <w:tcW w:w="1276" w:type="dxa"/>
            <w:gridSpan w:val="2"/>
            <w:tcBorders>
              <w:top w:val="single" w:sz="4" w:space="0" w:color="auto"/>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 w:eastAsia="仿宋" w:hAnsi="仿宋" w:hint="eastAsia"/>
                <w:sz w:val="24"/>
              </w:rPr>
              <w:t>村庄垃圾的清理</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项目实施对清理村庄垃圾的效果，非常明显的得</w:t>
            </w:r>
            <w:r>
              <w:rPr>
                <w:rFonts w:ascii="仿宋" w:eastAsia="仿宋" w:hAnsi="仿宋"/>
                <w:sz w:val="24"/>
              </w:rPr>
              <w:t>5</w:t>
            </w:r>
            <w:r>
              <w:rPr>
                <w:rFonts w:ascii="仿宋" w:eastAsia="仿宋" w:hAnsi="仿宋" w:hint="eastAsia"/>
                <w:sz w:val="24"/>
              </w:rPr>
              <w:t>分，明显的得4分，一般的得3分，不明显的得0分。根据问题3的三个小问题，每个问题2分。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4</w:t>
            </w:r>
          </w:p>
        </w:tc>
      </w:tr>
      <w:tr w:rsidR="00156F3B" w:rsidTr="00156F3B">
        <w:trPr>
          <w:gridAfter w:val="1"/>
          <w:wAfter w:w="210" w:type="dxa"/>
          <w:cantSplit/>
          <w:trHeight w:val="509"/>
          <w:jc w:val="center"/>
        </w:trPr>
        <w:tc>
          <w:tcPr>
            <w:tcW w:w="808" w:type="dxa"/>
            <w:vMerge/>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709" w:type="dxa"/>
            <w:gridSpan w:val="2"/>
            <w:vMerge/>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276" w:type="dxa"/>
            <w:gridSpan w:val="2"/>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 w:eastAsia="仿宋" w:hAnsi="仿宋" w:hint="eastAsia"/>
                <w:sz w:val="24"/>
              </w:rPr>
              <w:t>环境污染的减少</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项目实施有利于减少环境污染，减少病虫害的滋生，非常明显的得5分，明显的得4分，一般的得2分，不明显的得0分。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4</w:t>
            </w:r>
          </w:p>
        </w:tc>
      </w:tr>
      <w:tr w:rsidR="00156F3B" w:rsidTr="00156F3B">
        <w:trPr>
          <w:gridAfter w:val="1"/>
          <w:wAfter w:w="210" w:type="dxa"/>
          <w:cantSplit/>
          <w:trHeight w:val="509"/>
          <w:jc w:val="center"/>
        </w:trPr>
        <w:tc>
          <w:tcPr>
            <w:tcW w:w="808" w:type="dxa"/>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709" w:type="dxa"/>
            <w:gridSpan w:val="2"/>
            <w:vMerge w:val="restart"/>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 w:eastAsia="仿宋" w:hAnsi="仿宋" w:hint="eastAsia"/>
                <w:sz w:val="24"/>
              </w:rPr>
              <w:t>可持续发展</w:t>
            </w:r>
          </w:p>
        </w:tc>
        <w:tc>
          <w:tcPr>
            <w:tcW w:w="1276" w:type="dxa"/>
            <w:gridSpan w:val="2"/>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 w:eastAsia="仿宋" w:hAnsi="仿宋"/>
                <w:sz w:val="24"/>
              </w:rPr>
            </w:pPr>
            <w:r>
              <w:rPr>
                <w:rFonts w:ascii="仿宋" w:eastAsia="仿宋" w:hAnsi="仿宋" w:hint="eastAsia"/>
                <w:sz w:val="24"/>
              </w:rPr>
              <w:t>政策保障</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项目所依赖的政策、制度能得到持续性实施的得2分；项目所依赖的政策、制度大部分能得到持续性实施的得1.6分；项目所依赖的政策、制度基本能得到持续性实施的得1.2分；项目所依赖的政策、制度不能得到持续性实施的得0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sz w:val="24"/>
              </w:rPr>
              <w:t>2</w:t>
            </w:r>
          </w:p>
        </w:tc>
      </w:tr>
      <w:tr w:rsidR="00156F3B" w:rsidTr="00156F3B">
        <w:trPr>
          <w:gridAfter w:val="1"/>
          <w:wAfter w:w="210" w:type="dxa"/>
          <w:cantSplit/>
          <w:trHeight w:val="509"/>
          <w:jc w:val="center"/>
        </w:trPr>
        <w:tc>
          <w:tcPr>
            <w:tcW w:w="808" w:type="dxa"/>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709" w:type="dxa"/>
            <w:gridSpan w:val="2"/>
            <w:vMerge/>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276" w:type="dxa"/>
            <w:gridSpan w:val="2"/>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 w:eastAsia="仿宋" w:hAnsi="仿宋"/>
                <w:sz w:val="24"/>
              </w:rPr>
            </w:pPr>
            <w:r>
              <w:rPr>
                <w:rFonts w:ascii="仿宋" w:eastAsia="仿宋" w:hAnsi="仿宋" w:hint="eastAsia"/>
                <w:sz w:val="24"/>
              </w:rPr>
              <w:t>资源保障</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项目后续实施有充足的人员及经费保障的得2分；项目后续实施的人员及经费比较有保障的得1.6分；项目后续实施的人员及经费基本保障的得1.2分；项目后续实施的人员及经费无法保障的得0分。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sz w:val="24"/>
              </w:rPr>
              <w:t>2</w:t>
            </w:r>
          </w:p>
        </w:tc>
      </w:tr>
      <w:tr w:rsidR="00156F3B" w:rsidTr="00156F3B">
        <w:trPr>
          <w:gridAfter w:val="1"/>
          <w:wAfter w:w="210" w:type="dxa"/>
          <w:cantSplit/>
          <w:trHeight w:val="509"/>
          <w:jc w:val="center"/>
        </w:trPr>
        <w:tc>
          <w:tcPr>
            <w:tcW w:w="808" w:type="dxa"/>
            <w:vMerge w:val="restart"/>
            <w:tcBorders>
              <w:top w:val="single" w:sz="4" w:space="0" w:color="auto"/>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财务指标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财务</w:t>
            </w:r>
          </w:p>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管理（15）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财务制度健全性</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项目内部控制制度非常健全，符合财务会计管理制度得2分,比较健全得1.5分,基本健全得1分,没有得0分。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sz w:val="24"/>
              </w:rPr>
            </w:pPr>
            <w:r>
              <w:rPr>
                <w:rFonts w:ascii="仿宋" w:eastAsia="仿宋" w:hAnsi="仿宋" w:cs="仿宋" w:hint="eastAsia"/>
                <w:color w:val="000000"/>
                <w:sz w:val="24"/>
              </w:rPr>
              <w:t>2</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财务管理有效性</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内部控制制度、财务会计制度是否有效执行，有效执行得2分，比较规范得1.5分，基本规范得1分，不规范不得分。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sz w:val="24"/>
              </w:rPr>
            </w:pPr>
            <w:r>
              <w:rPr>
                <w:rFonts w:ascii="仿宋" w:eastAsia="仿宋" w:hAnsi="仿宋" w:cs="仿宋" w:hint="eastAsia"/>
                <w:color w:val="000000"/>
                <w:sz w:val="24"/>
              </w:rPr>
              <w:t>2</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资金分配合理性</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项目实际支出与资金项目内容是否相符，项目完成按预定用途使用、手续齐全的得2分；基本相符的得1分；部分符合的得0.5分；性质严重的，本项目为不合格。</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sz w:val="24"/>
              </w:rPr>
            </w:pPr>
            <w:r>
              <w:rPr>
                <w:rFonts w:ascii="仿宋" w:eastAsia="仿宋" w:hAnsi="仿宋" w:cs="仿宋" w:hint="eastAsia"/>
                <w:color w:val="000000"/>
                <w:sz w:val="24"/>
              </w:rPr>
              <w:t>1.5</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资金到位及时性</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财政资金到位：到位100%的得3分；90%至100%的得2分；70%至90%的得1分；70%以下不得分。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sz w:val="24"/>
              </w:rPr>
            </w:pPr>
            <w:r>
              <w:rPr>
                <w:rFonts w:ascii="仿宋" w:eastAsia="仿宋" w:hAnsi="仿宋" w:cs="仿宋" w:hint="eastAsia"/>
                <w:color w:val="000000"/>
                <w:sz w:val="24"/>
              </w:rPr>
              <w:t>3</w:t>
            </w:r>
          </w:p>
        </w:tc>
      </w:tr>
      <w:tr w:rsidR="00156F3B" w:rsidTr="00156F3B">
        <w:trPr>
          <w:gridAfter w:val="1"/>
          <w:wAfter w:w="210" w:type="dxa"/>
          <w:cantSplit/>
          <w:trHeight w:val="509"/>
          <w:jc w:val="center"/>
        </w:trPr>
        <w:tc>
          <w:tcPr>
            <w:tcW w:w="808" w:type="dxa"/>
            <w:vMerge/>
            <w:tcBorders>
              <w:left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预算执行率</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资金实际使用率＝项目累计实际支出/项目预算资金，资金使用率95%及以上的得3分；85%—94.99%得2分；75%—84.99%得1分；未达到75%的不得分。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 w:eastAsia="仿宋" w:hAnsi="仿宋"/>
                <w:sz w:val="24"/>
              </w:rPr>
            </w:pPr>
            <w:r>
              <w:rPr>
                <w:rFonts w:ascii="仿宋" w:eastAsia="仿宋" w:hAnsi="仿宋" w:hint="eastAsia"/>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 w:eastAsia="仿宋" w:hAnsi="仿宋"/>
                <w:sz w:val="24"/>
              </w:rPr>
            </w:pPr>
            <w:r>
              <w:rPr>
                <w:rFonts w:ascii="仿宋" w:eastAsia="仿宋" w:hAnsi="仿宋" w:hint="eastAsia"/>
                <w:sz w:val="24"/>
              </w:rPr>
              <w:t>3</w:t>
            </w:r>
          </w:p>
        </w:tc>
      </w:tr>
      <w:tr w:rsidR="00156F3B" w:rsidTr="00156F3B">
        <w:trPr>
          <w:gridAfter w:val="1"/>
          <w:wAfter w:w="210" w:type="dxa"/>
          <w:cantSplit/>
          <w:trHeight w:val="509"/>
          <w:jc w:val="center"/>
        </w:trPr>
        <w:tc>
          <w:tcPr>
            <w:tcW w:w="808" w:type="dxa"/>
            <w:vMerge/>
            <w:tcBorders>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资金使用合规性</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项目资金的使用符合国家财经法律法规的得1.5分，发现有截留、贪污、挪用等违法行为的不得分；项目资金使用符合专项资金管理办法规定、专款专用的得1,5分，每发现一例违规现象(包括对象和标准违规等)的扣0.2分，扣完为止。</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textAlignment w:val="center"/>
              <w:rPr>
                <w:rFonts w:ascii="仿宋" w:eastAsia="仿宋" w:hAnsi="仿宋"/>
                <w:sz w:val="24"/>
              </w:rPr>
            </w:pPr>
            <w:r>
              <w:rPr>
                <w:rFonts w:ascii="仿宋" w:eastAsia="仿宋" w:hAnsi="仿宋" w:cs="仿宋" w:hint="eastAsia"/>
                <w:color w:val="000000"/>
                <w:sz w:val="24"/>
              </w:rPr>
              <w:t>3</w:t>
            </w:r>
          </w:p>
        </w:tc>
      </w:tr>
      <w:tr w:rsidR="00156F3B" w:rsidTr="00156F3B">
        <w:trPr>
          <w:gridAfter w:val="1"/>
          <w:wAfter w:w="210" w:type="dxa"/>
          <w:cantSplit/>
          <w:trHeight w:val="509"/>
          <w:jc w:val="center"/>
        </w:trPr>
        <w:tc>
          <w:tcPr>
            <w:tcW w:w="808" w:type="dxa"/>
            <w:tcBorders>
              <w:top w:val="single" w:sz="4" w:space="0" w:color="auto"/>
              <w:left w:val="single" w:sz="4" w:space="0" w:color="auto"/>
              <w:right w:val="single" w:sz="4" w:space="0" w:color="auto"/>
            </w:tcBorders>
            <w:vAlign w:val="center"/>
          </w:tcPr>
          <w:p w:rsidR="00156F3B" w:rsidRDefault="00156F3B" w:rsidP="005B2745">
            <w:pPr>
              <w:jc w:val="left"/>
              <w:rPr>
                <w:rFonts w:ascii="仿宋_GB2312" w:eastAsia="仿宋_GB2312" w:hAnsi="仿宋" w:cs="宋体"/>
                <w:sz w:val="24"/>
              </w:rPr>
            </w:pPr>
            <w:r>
              <w:rPr>
                <w:rFonts w:ascii="仿宋_GB2312" w:eastAsia="仿宋_GB2312" w:hAnsi="仿宋" w:cs="宋体" w:hint="eastAsia"/>
                <w:sz w:val="24"/>
              </w:rPr>
              <w:t>满意度指标</w:t>
            </w:r>
          </w:p>
        </w:tc>
        <w:tc>
          <w:tcPr>
            <w:tcW w:w="850"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cs="宋体"/>
                <w:sz w:val="24"/>
              </w:rPr>
            </w:pPr>
            <w:r>
              <w:rPr>
                <w:rFonts w:ascii="仿宋_GB2312" w:eastAsia="仿宋_GB2312" w:hAnsi="仿宋" w:hint="eastAsia"/>
                <w:sz w:val="24"/>
              </w:rPr>
              <w:t>满意度（5）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受益群体满意度</w:t>
            </w:r>
          </w:p>
        </w:tc>
        <w:tc>
          <w:tcPr>
            <w:tcW w:w="3039"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hint="eastAsia"/>
                <w:sz w:val="24"/>
              </w:rPr>
              <w:t>农民对农村生活垃圾治理实施效果满意程度，非常满意的得5分，满意的得4分，一般的得2分，不满意的得0分。</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pPr>
            <w:r>
              <w:rPr>
                <w:rFonts w:ascii="仿宋" w:eastAsia="仿宋" w:hAnsi="仿宋" w:hint="eastAsia"/>
                <w:sz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pPr>
            <w:r>
              <w:rPr>
                <w:rFonts w:ascii="仿宋" w:eastAsia="仿宋" w:hAnsi="仿宋" w:hint="eastAsia"/>
                <w:sz w:val="24"/>
              </w:rPr>
              <w:t>4</w:t>
            </w:r>
          </w:p>
        </w:tc>
      </w:tr>
      <w:tr w:rsidR="00156F3B" w:rsidTr="00156F3B">
        <w:trPr>
          <w:gridAfter w:val="1"/>
          <w:wAfter w:w="210" w:type="dxa"/>
          <w:cantSplit/>
          <w:trHeight w:val="509"/>
          <w:jc w:val="center"/>
        </w:trPr>
        <w:tc>
          <w:tcPr>
            <w:tcW w:w="1658"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_GB2312" w:eastAsia="仿宋_GB2312" w:hint="eastAsia"/>
                <w:b/>
                <w:bCs/>
              </w:rPr>
              <w:t>综合得分</w:t>
            </w:r>
          </w:p>
        </w:tc>
        <w:tc>
          <w:tcPr>
            <w:tcW w:w="5024" w:type="dxa"/>
            <w:gridSpan w:val="9"/>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_GB2312" w:eastAsia="仿宋_GB2312" w:hint="eastAsia"/>
                <w:b/>
              </w:rPr>
              <w: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 w:eastAsia="仿宋" w:hAnsi="仿宋"/>
                <w:sz w:val="24"/>
              </w:rPr>
            </w:pPr>
            <w:r>
              <w:rPr>
                <w:rFonts w:ascii="仿宋" w:eastAsia="仿宋" w:hAnsi="仿宋" w:hint="eastAsia"/>
                <w:sz w:val="24"/>
              </w:rPr>
              <w:t>89</w:t>
            </w:r>
          </w:p>
        </w:tc>
      </w:tr>
      <w:tr w:rsidR="00156F3B" w:rsidTr="00156F3B">
        <w:trPr>
          <w:gridAfter w:val="1"/>
          <w:wAfter w:w="210" w:type="dxa"/>
          <w:cantSplit/>
          <w:trHeight w:val="417"/>
          <w:jc w:val="center"/>
        </w:trPr>
        <w:tc>
          <w:tcPr>
            <w:tcW w:w="1658" w:type="dxa"/>
            <w:gridSpan w:val="2"/>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bCs/>
              </w:rPr>
            </w:pPr>
            <w:r>
              <w:rPr>
                <w:rFonts w:ascii="仿宋_GB2312" w:eastAsia="仿宋_GB2312" w:hint="eastAsia"/>
                <w:b/>
                <w:bCs/>
              </w:rPr>
              <w:t>评价等次</w:t>
            </w:r>
          </w:p>
        </w:tc>
        <w:tc>
          <w:tcPr>
            <w:tcW w:w="5876" w:type="dxa"/>
            <w:gridSpan w:val="11"/>
            <w:tcBorders>
              <w:top w:val="single" w:sz="4" w:space="0" w:color="auto"/>
              <w:left w:val="single" w:sz="4" w:space="0" w:color="auto"/>
              <w:bottom w:val="single" w:sz="4" w:space="0" w:color="auto"/>
              <w:right w:val="single" w:sz="4" w:space="0" w:color="auto"/>
            </w:tcBorders>
            <w:vAlign w:val="center"/>
          </w:tcPr>
          <w:p w:rsidR="00156F3B" w:rsidRDefault="00156F3B" w:rsidP="005B2745">
            <w:pPr>
              <w:spacing w:line="460" w:lineRule="exact"/>
              <w:jc w:val="center"/>
              <w:rPr>
                <w:rFonts w:ascii="仿宋_GB2312" w:eastAsia="仿宋_GB2312" w:hAnsi="仿宋"/>
                <w:sz w:val="24"/>
              </w:rPr>
            </w:pPr>
            <w:r>
              <w:rPr>
                <w:rFonts w:ascii="仿宋_GB2312" w:eastAsia="仿宋_GB2312" w:hAnsi="仿宋" w:hint="eastAsia"/>
                <w:sz w:val="24"/>
              </w:rPr>
              <w:t>优（</w:t>
            </w:r>
            <w:r>
              <w:rPr>
                <w:rFonts w:ascii="仿宋_GB2312" w:eastAsia="仿宋_GB2312" w:hAnsi="仿宋"/>
                <w:sz w:val="24"/>
              </w:rPr>
              <w:t>S</w:t>
            </w:r>
            <w:r>
              <w:rPr>
                <w:rFonts w:ascii="仿宋_GB2312" w:eastAsia="仿宋_GB2312" w:hAnsi="仿宋" w:hint="eastAsia"/>
                <w:sz w:val="24"/>
              </w:rPr>
              <w:t>≥</w:t>
            </w:r>
            <w:r>
              <w:rPr>
                <w:rFonts w:ascii="仿宋_GB2312" w:eastAsia="仿宋_GB2312" w:hAnsi="仿宋"/>
                <w:sz w:val="24"/>
              </w:rPr>
              <w:t>90</w:t>
            </w:r>
            <w:r>
              <w:rPr>
                <w:rFonts w:ascii="仿宋_GB2312" w:eastAsia="仿宋_GB2312" w:hAnsi="仿宋" w:hint="eastAsia"/>
                <w:sz w:val="24"/>
              </w:rPr>
              <w:t>）、良（</w:t>
            </w:r>
            <w:r>
              <w:rPr>
                <w:rFonts w:ascii="仿宋_GB2312" w:eastAsia="仿宋_GB2312" w:hAnsi="仿宋"/>
                <w:sz w:val="24"/>
              </w:rPr>
              <w:t>90</w:t>
            </w:r>
            <w:r>
              <w:rPr>
                <w:rFonts w:ascii="仿宋_GB2312" w:eastAsia="仿宋_GB2312" w:hAnsi="仿宋" w:hint="eastAsia"/>
                <w:sz w:val="24"/>
              </w:rPr>
              <w:t>＞</w:t>
            </w:r>
            <w:r>
              <w:rPr>
                <w:rFonts w:ascii="仿宋_GB2312" w:eastAsia="仿宋_GB2312" w:hAnsi="仿宋"/>
                <w:sz w:val="24"/>
              </w:rPr>
              <w:t>S</w:t>
            </w:r>
            <w:r>
              <w:rPr>
                <w:rFonts w:ascii="仿宋_GB2312" w:eastAsia="仿宋_GB2312" w:hAnsi="仿宋" w:hint="eastAsia"/>
                <w:sz w:val="24"/>
              </w:rPr>
              <w:t>≥</w:t>
            </w:r>
            <w:r>
              <w:rPr>
                <w:rFonts w:ascii="仿宋_GB2312" w:eastAsia="仿宋_GB2312" w:hAnsi="仿宋"/>
                <w:sz w:val="24"/>
              </w:rPr>
              <w:t>80</w:t>
            </w:r>
            <w:r>
              <w:rPr>
                <w:rFonts w:ascii="仿宋_GB2312" w:eastAsia="仿宋_GB2312" w:hAnsi="仿宋" w:hint="eastAsia"/>
                <w:sz w:val="24"/>
              </w:rPr>
              <w:t>）、中（</w:t>
            </w:r>
            <w:r>
              <w:rPr>
                <w:rFonts w:ascii="仿宋_GB2312" w:eastAsia="仿宋_GB2312" w:hAnsi="仿宋"/>
                <w:sz w:val="24"/>
              </w:rPr>
              <w:t>80</w:t>
            </w:r>
            <w:r>
              <w:rPr>
                <w:rFonts w:ascii="仿宋_GB2312" w:eastAsia="仿宋_GB2312" w:hAnsi="仿宋" w:hint="eastAsia"/>
                <w:sz w:val="24"/>
              </w:rPr>
              <w:t>＞</w:t>
            </w:r>
            <w:r>
              <w:rPr>
                <w:rFonts w:ascii="仿宋_GB2312" w:eastAsia="仿宋_GB2312" w:hAnsi="仿宋"/>
                <w:sz w:val="24"/>
              </w:rPr>
              <w:t>S</w:t>
            </w:r>
            <w:r>
              <w:rPr>
                <w:rFonts w:ascii="仿宋_GB2312" w:eastAsia="仿宋_GB2312" w:hAnsi="仿宋" w:hint="eastAsia"/>
                <w:sz w:val="24"/>
              </w:rPr>
              <w:t>≥</w:t>
            </w:r>
            <w:r>
              <w:rPr>
                <w:rFonts w:ascii="仿宋_GB2312" w:eastAsia="仿宋_GB2312" w:hAnsi="仿宋"/>
                <w:sz w:val="24"/>
              </w:rPr>
              <w:t>60</w:t>
            </w:r>
            <w:r>
              <w:rPr>
                <w:rFonts w:ascii="仿宋_GB2312" w:eastAsia="仿宋_GB2312" w:hAnsi="仿宋" w:hint="eastAsia"/>
                <w:sz w:val="24"/>
              </w:rPr>
              <w:t>）、差（</w:t>
            </w:r>
            <w:r>
              <w:rPr>
                <w:rFonts w:ascii="仿宋_GB2312" w:eastAsia="仿宋_GB2312" w:hAnsi="仿宋"/>
                <w:sz w:val="24"/>
              </w:rPr>
              <w:t>S&lt;60</w:t>
            </w:r>
            <w:r>
              <w:rPr>
                <w:rFonts w:ascii="仿宋_GB2312" w:eastAsia="仿宋_GB2312" w:hAnsi="仿宋" w:hint="eastAsia"/>
                <w:sz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rPr>
            </w:pPr>
            <w:r>
              <w:rPr>
                <w:rFonts w:ascii="仿宋_GB2312" w:eastAsia="仿宋_GB2312" w:hint="eastAsia"/>
              </w:rPr>
              <w:t>良</w:t>
            </w:r>
          </w:p>
        </w:tc>
      </w:tr>
      <w:tr w:rsidR="00156F3B" w:rsidTr="00156F3B">
        <w:trPr>
          <w:gridAfter w:val="1"/>
          <w:wAfter w:w="210" w:type="dxa"/>
          <w:cantSplit/>
          <w:trHeight w:val="381"/>
          <w:jc w:val="center"/>
        </w:trPr>
        <w:tc>
          <w:tcPr>
            <w:tcW w:w="8385" w:type="dxa"/>
            <w:gridSpan w:val="14"/>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_GB2312" w:eastAsia="仿宋_GB2312" w:hint="eastAsia"/>
                <w:b/>
              </w:rPr>
              <w:t>四、评价报告摘要</w:t>
            </w:r>
          </w:p>
        </w:tc>
      </w:tr>
      <w:tr w:rsidR="00156F3B" w:rsidTr="00156F3B">
        <w:trPr>
          <w:gridAfter w:val="1"/>
          <w:wAfter w:w="210" w:type="dxa"/>
          <w:cantSplit/>
          <w:trHeight w:val="2266"/>
          <w:jc w:val="center"/>
        </w:trPr>
        <w:tc>
          <w:tcPr>
            <w:tcW w:w="1897" w:type="dxa"/>
            <w:gridSpan w:val="3"/>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_GB2312" w:eastAsia="仿宋_GB2312" w:hint="eastAsia"/>
                <w:sz w:val="28"/>
                <w:szCs w:val="28"/>
              </w:rPr>
              <w:t>概况</w:t>
            </w:r>
          </w:p>
        </w:tc>
        <w:tc>
          <w:tcPr>
            <w:tcW w:w="6488" w:type="dxa"/>
            <w:gridSpan w:val="11"/>
            <w:tcBorders>
              <w:top w:val="single" w:sz="4" w:space="0" w:color="auto"/>
              <w:left w:val="single" w:sz="4" w:space="0" w:color="auto"/>
              <w:bottom w:val="single" w:sz="4" w:space="0" w:color="auto"/>
              <w:right w:val="single" w:sz="4" w:space="0" w:color="auto"/>
            </w:tcBorders>
            <w:vAlign w:val="center"/>
          </w:tcPr>
          <w:p w:rsidR="00156F3B" w:rsidRDefault="00156F3B" w:rsidP="005B2745">
            <w:pPr>
              <w:snapToGrid w:val="0"/>
              <w:spacing w:line="360" w:lineRule="auto"/>
              <w:ind w:firstLineChars="100" w:firstLine="240"/>
              <w:rPr>
                <w:rFonts w:ascii="仿宋_GB2312" w:eastAsia="仿宋_GB2312" w:hAnsi="仿宋"/>
                <w:sz w:val="32"/>
                <w:szCs w:val="32"/>
              </w:rPr>
            </w:pPr>
            <w:r>
              <w:rPr>
                <w:rFonts w:ascii="仿宋" w:eastAsia="仿宋" w:hAnsi="仿宋" w:cs="仿宋_GB2312" w:hint="eastAsia"/>
                <w:sz w:val="24"/>
              </w:rPr>
              <w:t>2020年</w:t>
            </w:r>
            <w:r>
              <w:rPr>
                <w:rFonts w:ascii="仿宋" w:eastAsia="仿宋" w:hAnsi="仿宋" w:cs="仿宋_GB2312"/>
                <w:sz w:val="24"/>
              </w:rPr>
              <w:t>农村生活垃圾治理补助项目预算执行率</w:t>
            </w:r>
            <w:r>
              <w:rPr>
                <w:rFonts w:ascii="仿宋" w:eastAsia="仿宋" w:hAnsi="仿宋" w:cs="仿宋_GB2312" w:hint="eastAsia"/>
                <w:sz w:val="24"/>
              </w:rPr>
              <w:t>100%，项目按计划完成，而且完成的质量较好，项目的实施取得了较好的社会效益、生态效益，社会公众的满意度也较高。</w:t>
            </w:r>
          </w:p>
        </w:tc>
      </w:tr>
      <w:tr w:rsidR="00156F3B" w:rsidTr="00156F3B">
        <w:trPr>
          <w:gridAfter w:val="1"/>
          <w:wAfter w:w="210" w:type="dxa"/>
          <w:cantSplit/>
          <w:trHeight w:val="381"/>
          <w:jc w:val="center"/>
        </w:trPr>
        <w:tc>
          <w:tcPr>
            <w:tcW w:w="1897" w:type="dxa"/>
            <w:gridSpan w:val="3"/>
            <w:vMerge w:val="restart"/>
            <w:tcBorders>
              <w:top w:val="single" w:sz="4" w:space="0" w:color="auto"/>
              <w:left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_GB2312" w:eastAsia="仿宋_GB2312" w:hint="eastAsia"/>
                <w:sz w:val="28"/>
                <w:szCs w:val="28"/>
              </w:rPr>
              <w:t>项目绩效目标</w:t>
            </w:r>
            <w:r>
              <w:rPr>
                <w:rFonts w:ascii="仿宋_GB2312" w:eastAsia="仿宋_GB2312" w:hint="eastAsia"/>
                <w:sz w:val="28"/>
                <w:szCs w:val="28"/>
              </w:rPr>
              <w:lastRenderedPageBreak/>
              <w:t>完成情况</w:t>
            </w:r>
          </w:p>
        </w:tc>
        <w:tc>
          <w:tcPr>
            <w:tcW w:w="32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sz w:val="28"/>
                <w:szCs w:val="28"/>
              </w:rPr>
            </w:pPr>
            <w:r>
              <w:rPr>
                <w:rFonts w:ascii="仿宋_GB2312" w:eastAsia="仿宋_GB2312" w:hint="eastAsia"/>
                <w:sz w:val="28"/>
                <w:szCs w:val="28"/>
              </w:rPr>
              <w:lastRenderedPageBreak/>
              <w:t>预  期</w:t>
            </w:r>
          </w:p>
        </w:tc>
        <w:tc>
          <w:tcPr>
            <w:tcW w:w="3244" w:type="dxa"/>
            <w:gridSpan w:val="6"/>
            <w:tcBorders>
              <w:top w:val="single" w:sz="4" w:space="0" w:color="auto"/>
              <w:left w:val="single" w:sz="4" w:space="0" w:color="auto"/>
              <w:bottom w:val="single" w:sz="4" w:space="0" w:color="auto"/>
              <w:right w:val="single" w:sz="4" w:space="0" w:color="auto"/>
            </w:tcBorders>
          </w:tcPr>
          <w:p w:rsidR="00156F3B" w:rsidRDefault="00156F3B" w:rsidP="005B2745">
            <w:pPr>
              <w:jc w:val="center"/>
              <w:rPr>
                <w:rFonts w:ascii="仿宋_GB2312" w:eastAsia="仿宋_GB2312"/>
                <w:sz w:val="28"/>
                <w:szCs w:val="28"/>
              </w:rPr>
            </w:pPr>
            <w:r>
              <w:rPr>
                <w:rFonts w:ascii="仿宋_GB2312" w:eastAsia="仿宋_GB2312" w:hint="eastAsia"/>
                <w:sz w:val="28"/>
                <w:szCs w:val="28"/>
              </w:rPr>
              <w:t>实  际</w:t>
            </w:r>
          </w:p>
        </w:tc>
      </w:tr>
      <w:tr w:rsidR="00156F3B" w:rsidTr="00156F3B">
        <w:trPr>
          <w:gridAfter w:val="1"/>
          <w:wAfter w:w="210" w:type="dxa"/>
          <w:cantSplit/>
          <w:trHeight w:val="2029"/>
          <w:jc w:val="center"/>
        </w:trPr>
        <w:tc>
          <w:tcPr>
            <w:tcW w:w="1897" w:type="dxa"/>
            <w:gridSpan w:val="3"/>
            <w:vMerge/>
            <w:tcBorders>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p>
        </w:tc>
        <w:tc>
          <w:tcPr>
            <w:tcW w:w="3244" w:type="dxa"/>
            <w:gridSpan w:val="5"/>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cs="仿宋_GB2312" w:hint="eastAsia"/>
                <w:sz w:val="24"/>
              </w:rPr>
              <w:t>全市农村生活垃圾分类有效实施村覆盖面达到90%以上，努力实现终端处理设施建设到位、宣传培训成效到位、先锋引领成效到位、垃圾分类绩效到位。创建省高标准农村生活垃圾分类处理示范村3个、台州农村生活垃圾分类处理示范村8个，温岭市农村生活垃圾分类处理示范村12个等任务。</w:t>
            </w:r>
          </w:p>
        </w:tc>
        <w:tc>
          <w:tcPr>
            <w:tcW w:w="3244" w:type="dxa"/>
            <w:gridSpan w:val="6"/>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 w:eastAsia="仿宋" w:hAnsi="仿宋" w:cs="仿宋_GB2312" w:hint="eastAsia"/>
                <w:sz w:val="24"/>
              </w:rPr>
              <w:t>截止2020年底，全市非城镇村实施生活垃圾分类处理基本全覆盖，共建有机器快速成肥处理站17个，阳光房14个；全市终端可腐烂垃圾平均单日处理量约130吨。创建省高标准生活垃圾分类示范村3个、台州市农村生活垃圾分类处理示范村8个，温岭市级垃圾分类处理示范村10个。</w:t>
            </w:r>
          </w:p>
        </w:tc>
      </w:tr>
      <w:tr w:rsidR="00156F3B" w:rsidTr="00156F3B">
        <w:trPr>
          <w:gridAfter w:val="1"/>
          <w:wAfter w:w="210" w:type="dxa"/>
          <w:cantSplit/>
          <w:trHeight w:val="2553"/>
          <w:jc w:val="center"/>
        </w:trPr>
        <w:tc>
          <w:tcPr>
            <w:tcW w:w="1897" w:type="dxa"/>
            <w:gridSpan w:val="3"/>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_GB2312" w:eastAsia="仿宋_GB2312" w:hint="eastAsia"/>
                <w:sz w:val="28"/>
                <w:szCs w:val="28"/>
              </w:rPr>
              <w:lastRenderedPageBreak/>
              <w:t>评价结论</w:t>
            </w:r>
          </w:p>
        </w:tc>
        <w:tc>
          <w:tcPr>
            <w:tcW w:w="6488" w:type="dxa"/>
            <w:gridSpan w:val="11"/>
            <w:tcBorders>
              <w:top w:val="single" w:sz="4" w:space="0" w:color="auto"/>
              <w:left w:val="single" w:sz="4" w:space="0" w:color="auto"/>
              <w:bottom w:val="single" w:sz="4" w:space="0" w:color="auto"/>
              <w:right w:val="single" w:sz="4" w:space="0" w:color="auto"/>
            </w:tcBorders>
            <w:vAlign w:val="center"/>
          </w:tcPr>
          <w:p w:rsidR="00156F3B" w:rsidRDefault="00156F3B" w:rsidP="005B2745">
            <w:pPr>
              <w:snapToGrid w:val="0"/>
              <w:spacing w:line="360" w:lineRule="auto"/>
              <w:ind w:firstLineChars="100" w:firstLine="240"/>
              <w:rPr>
                <w:rFonts w:ascii="仿宋_GB2312" w:eastAsia="仿宋_GB2312" w:hAnsi="仿宋"/>
                <w:sz w:val="24"/>
              </w:rPr>
            </w:pPr>
            <w:r>
              <w:rPr>
                <w:rFonts w:ascii="仿宋_GB2312" w:eastAsia="仿宋_GB2312" w:hAnsi="仿宋" w:hint="eastAsia"/>
                <w:bCs/>
                <w:sz w:val="24"/>
              </w:rPr>
              <w:t>评价组通过汇总分析项目资料及实</w:t>
            </w:r>
            <w:r>
              <w:rPr>
                <w:rFonts w:ascii="仿宋_GB2312" w:eastAsia="仿宋_GB2312" w:hAnsi="仿宋" w:hint="eastAsia"/>
                <w:sz w:val="24"/>
              </w:rPr>
              <w:t>地抽查，对照评价指标和标准进行评议与打分，生活垃圾治理项目综合评价得分为89分，绩效评价等次为良。</w:t>
            </w:r>
          </w:p>
        </w:tc>
      </w:tr>
      <w:tr w:rsidR="00156F3B" w:rsidTr="00156F3B">
        <w:trPr>
          <w:gridAfter w:val="1"/>
          <w:wAfter w:w="210" w:type="dxa"/>
          <w:cantSplit/>
          <w:trHeight w:val="2251"/>
          <w:jc w:val="center"/>
        </w:trPr>
        <w:tc>
          <w:tcPr>
            <w:tcW w:w="1897" w:type="dxa"/>
            <w:gridSpan w:val="3"/>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sz w:val="28"/>
                <w:szCs w:val="28"/>
              </w:rPr>
            </w:pPr>
            <w:r>
              <w:rPr>
                <w:rFonts w:ascii="仿宋_GB2312" w:eastAsia="仿宋_GB2312" w:hint="eastAsia"/>
                <w:sz w:val="28"/>
                <w:szCs w:val="28"/>
              </w:rPr>
              <w:t>主要绩效</w:t>
            </w:r>
          </w:p>
          <w:p w:rsidR="00156F3B" w:rsidRDefault="00156F3B" w:rsidP="005B2745">
            <w:pPr>
              <w:jc w:val="center"/>
              <w:rPr>
                <w:rFonts w:ascii="仿宋_GB2312" w:eastAsia="仿宋_GB2312"/>
                <w:b/>
              </w:rPr>
            </w:pPr>
            <w:r>
              <w:rPr>
                <w:rFonts w:ascii="仿宋_GB2312" w:eastAsia="仿宋_GB2312" w:hint="eastAsia"/>
                <w:sz w:val="28"/>
                <w:szCs w:val="28"/>
              </w:rPr>
              <w:t>情况</w:t>
            </w:r>
          </w:p>
        </w:tc>
        <w:tc>
          <w:tcPr>
            <w:tcW w:w="6488" w:type="dxa"/>
            <w:gridSpan w:val="11"/>
            <w:tcBorders>
              <w:top w:val="single" w:sz="4" w:space="0" w:color="auto"/>
              <w:left w:val="single" w:sz="4" w:space="0" w:color="auto"/>
              <w:bottom w:val="single" w:sz="4" w:space="0" w:color="auto"/>
              <w:right w:val="single" w:sz="4" w:space="0" w:color="auto"/>
            </w:tcBorders>
            <w:vAlign w:val="center"/>
          </w:tcPr>
          <w:p w:rsidR="00156F3B" w:rsidRDefault="00156F3B" w:rsidP="005B2745">
            <w:pPr>
              <w:snapToGrid w:val="0"/>
              <w:spacing w:line="360" w:lineRule="auto"/>
              <w:ind w:firstLineChars="200" w:firstLine="480"/>
              <w:rPr>
                <w:rFonts w:ascii="仿宋_GB2312" w:eastAsia="仿宋_GB2312" w:hAnsi="仿宋"/>
                <w:bCs/>
                <w:sz w:val="32"/>
                <w:szCs w:val="32"/>
              </w:rPr>
            </w:pPr>
            <w:r>
              <w:rPr>
                <w:rFonts w:ascii="仿宋_GB2312" w:eastAsia="仿宋_GB2312" w:hAnsi="仿宋" w:hint="eastAsia"/>
                <w:sz w:val="24"/>
              </w:rPr>
              <w:t>全市非城镇村实施生活垃圾分类处理基本全覆盖，</w:t>
            </w:r>
            <w:r>
              <w:rPr>
                <w:rFonts w:ascii="仿宋_GB2312" w:eastAsia="仿宋_GB2312" w:hAnsi="仿宋" w:hint="eastAsia"/>
                <w:bCs/>
                <w:sz w:val="24"/>
              </w:rPr>
              <w:t>2020年共处理可腐烂垃圾48858吨，平均单日可腐烂垃圾处理量约133吨，实现农村生活垃</w:t>
            </w:r>
            <w:r>
              <w:rPr>
                <w:rFonts w:ascii="仿宋_GB2312" w:eastAsia="仿宋_GB2312" w:hAnsi="仿宋" w:hint="eastAsia"/>
                <w:sz w:val="24"/>
              </w:rPr>
              <w:t>圾减量化、无害化和资源化处理，减少了环境污染，改善了农村生态环境，农民群众养成了良好卫生习惯，农村生活环境卫生及农民群众的居住条件得到较大改善，以往脏乱差的村容村貌有了根本性的改变，对促进美丽乡村建设起到了很大的作用。</w:t>
            </w:r>
          </w:p>
        </w:tc>
      </w:tr>
      <w:tr w:rsidR="00156F3B" w:rsidTr="00156F3B">
        <w:trPr>
          <w:gridAfter w:val="1"/>
          <w:wAfter w:w="210" w:type="dxa"/>
          <w:cantSplit/>
          <w:trHeight w:val="2660"/>
          <w:jc w:val="center"/>
        </w:trPr>
        <w:tc>
          <w:tcPr>
            <w:tcW w:w="1897" w:type="dxa"/>
            <w:gridSpan w:val="3"/>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_GB2312" w:eastAsia="仿宋_GB2312" w:hint="eastAsia"/>
                <w:sz w:val="28"/>
                <w:szCs w:val="28"/>
              </w:rPr>
              <w:t>主要问题及原因分析</w:t>
            </w:r>
          </w:p>
        </w:tc>
        <w:tc>
          <w:tcPr>
            <w:tcW w:w="6488" w:type="dxa"/>
            <w:gridSpan w:val="11"/>
            <w:tcBorders>
              <w:top w:val="single" w:sz="4" w:space="0" w:color="auto"/>
              <w:left w:val="single" w:sz="4" w:space="0" w:color="auto"/>
              <w:bottom w:val="single" w:sz="4" w:space="0" w:color="auto"/>
              <w:right w:val="single" w:sz="4" w:space="0" w:color="auto"/>
            </w:tcBorders>
            <w:vAlign w:val="center"/>
          </w:tcPr>
          <w:p w:rsidR="00156F3B" w:rsidRDefault="00156F3B" w:rsidP="005B2745">
            <w:pPr>
              <w:autoSpaceDE w:val="0"/>
              <w:autoSpaceDN w:val="0"/>
              <w:spacing w:line="360" w:lineRule="auto"/>
              <w:rPr>
                <w:rFonts w:ascii="仿宋_GB2312" w:eastAsia="仿宋_GB2312" w:hAnsi="仿宋"/>
                <w:sz w:val="24"/>
              </w:rPr>
            </w:pPr>
            <w:r>
              <w:rPr>
                <w:rFonts w:ascii="仿宋_GB2312" w:eastAsia="仿宋_GB2312" w:hAnsi="仿宋" w:hint="eastAsia"/>
                <w:sz w:val="24"/>
              </w:rPr>
              <w:t>源头分类不理想。垃圾分类习惯还未养成，群众分类观念淡薄，参与源头分类积极性不高，垃圾混投混弃的习惯难以短期扭转，源头分类准确率尚需提升，精准分类、应分尽分还要经历一个阶段，全民参与的共识机制没有建立。主体作用不到位。镇对村、村对户的监督管理等工作不够深入。</w:t>
            </w:r>
          </w:p>
        </w:tc>
      </w:tr>
      <w:tr w:rsidR="00156F3B" w:rsidTr="00156F3B">
        <w:trPr>
          <w:gridAfter w:val="1"/>
          <w:wAfter w:w="210" w:type="dxa"/>
          <w:cantSplit/>
          <w:trHeight w:val="1699"/>
          <w:jc w:val="center"/>
        </w:trPr>
        <w:tc>
          <w:tcPr>
            <w:tcW w:w="1897" w:type="dxa"/>
            <w:gridSpan w:val="3"/>
            <w:tcBorders>
              <w:top w:val="single" w:sz="4" w:space="0" w:color="auto"/>
              <w:left w:val="single" w:sz="4" w:space="0" w:color="auto"/>
              <w:bottom w:val="single" w:sz="4" w:space="0" w:color="auto"/>
              <w:right w:val="single" w:sz="4" w:space="0" w:color="auto"/>
            </w:tcBorders>
            <w:vAlign w:val="center"/>
          </w:tcPr>
          <w:p w:rsidR="00156F3B" w:rsidRDefault="00156F3B" w:rsidP="005B2745">
            <w:pPr>
              <w:jc w:val="center"/>
              <w:rPr>
                <w:rFonts w:ascii="仿宋_GB2312" w:eastAsia="仿宋_GB2312"/>
                <w:b/>
              </w:rPr>
            </w:pPr>
            <w:r>
              <w:rPr>
                <w:rFonts w:ascii="仿宋_GB2312" w:eastAsia="仿宋_GB2312" w:hint="eastAsia"/>
                <w:sz w:val="28"/>
                <w:szCs w:val="28"/>
              </w:rPr>
              <w:lastRenderedPageBreak/>
              <w:t>相关建议</w:t>
            </w:r>
          </w:p>
        </w:tc>
        <w:tc>
          <w:tcPr>
            <w:tcW w:w="6488" w:type="dxa"/>
            <w:gridSpan w:val="11"/>
            <w:tcBorders>
              <w:top w:val="single" w:sz="4" w:space="0" w:color="auto"/>
              <w:left w:val="single" w:sz="4" w:space="0" w:color="auto"/>
              <w:bottom w:val="single" w:sz="4" w:space="0" w:color="auto"/>
              <w:right w:val="single" w:sz="4" w:space="0" w:color="auto"/>
            </w:tcBorders>
            <w:vAlign w:val="center"/>
          </w:tcPr>
          <w:p w:rsidR="00156F3B" w:rsidRDefault="00156F3B" w:rsidP="005B2745">
            <w:pPr>
              <w:snapToGrid w:val="0"/>
              <w:spacing w:line="360" w:lineRule="auto"/>
              <w:ind w:firstLineChars="200" w:firstLine="480"/>
              <w:jc w:val="left"/>
              <w:rPr>
                <w:rFonts w:ascii="仿宋_GB2312" w:eastAsia="仿宋_GB2312" w:hAnsi="仿宋"/>
                <w:sz w:val="24"/>
              </w:rPr>
            </w:pPr>
            <w:r>
              <w:rPr>
                <w:rFonts w:ascii="仿宋_GB2312" w:eastAsia="仿宋_GB2312" w:hAnsi="仿宋" w:hint="eastAsia"/>
                <w:sz w:val="24"/>
              </w:rPr>
              <w:t>1、加大宣传力度，提高垃圾分类认知意识</w:t>
            </w:r>
          </w:p>
          <w:p w:rsidR="00156F3B" w:rsidRDefault="00156F3B" w:rsidP="005B2745">
            <w:pPr>
              <w:snapToGrid w:val="0"/>
              <w:spacing w:line="360" w:lineRule="auto"/>
              <w:ind w:firstLineChars="200" w:firstLine="480"/>
              <w:rPr>
                <w:rFonts w:ascii="仿宋_GB2312" w:eastAsia="仿宋_GB2312" w:hAnsi="仿宋"/>
                <w:bCs/>
                <w:sz w:val="24"/>
              </w:rPr>
            </w:pPr>
            <w:r>
              <w:rPr>
                <w:rFonts w:ascii="仿宋_GB2312" w:eastAsia="仿宋_GB2312" w:hAnsi="仿宋" w:hint="eastAsia"/>
                <w:sz w:val="24"/>
              </w:rPr>
              <w:t>2、坚持行政推动，加强垃圾分类监督检查</w:t>
            </w:r>
          </w:p>
          <w:p w:rsidR="00156F3B" w:rsidRDefault="00156F3B" w:rsidP="005B2745">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3、加强示范引领，推动垃圾分类运营管理</w:t>
            </w:r>
          </w:p>
          <w:p w:rsidR="00156F3B" w:rsidRDefault="00156F3B" w:rsidP="005B2745">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4、提升设备性能，确保设施终端长效运行</w:t>
            </w:r>
          </w:p>
        </w:tc>
      </w:tr>
    </w:tbl>
    <w:p w:rsidR="00E676B7" w:rsidRDefault="00667A95">
      <w:pPr>
        <w:widowControl/>
        <w:shd w:val="clear" w:color="auto" w:fill="FFFFFF"/>
        <w:spacing w:line="600" w:lineRule="atLeast"/>
        <w:ind w:firstLine="640"/>
        <w:rPr>
          <w:rStyle w:val="a6"/>
          <w:rFonts w:ascii="仿宋" w:eastAsia="仿宋" w:hAnsi="仿宋" w:cs="仿宋"/>
          <w:kern w:val="0"/>
          <w:sz w:val="32"/>
          <w:szCs w:val="32"/>
          <w:shd w:val="clear" w:color="auto" w:fill="FFFFFF"/>
        </w:rPr>
      </w:pPr>
      <w:r>
        <w:rPr>
          <w:rStyle w:val="a6"/>
          <w:rFonts w:ascii="仿宋" w:eastAsia="仿宋" w:hAnsi="仿宋" w:cs="仿宋" w:hint="eastAsia"/>
          <w:kern w:val="0"/>
          <w:sz w:val="32"/>
          <w:szCs w:val="32"/>
          <w:shd w:val="clear" w:color="auto" w:fill="FFFFFF"/>
        </w:rPr>
        <w:t>3.</w:t>
      </w:r>
      <w:r>
        <w:rPr>
          <w:rStyle w:val="a6"/>
          <w:rFonts w:ascii="仿宋" w:eastAsia="仿宋" w:hAnsi="仿宋" w:cs="仿宋"/>
          <w:kern w:val="0"/>
          <w:sz w:val="32"/>
          <w:szCs w:val="32"/>
          <w:shd w:val="clear" w:color="auto" w:fill="FFFFFF"/>
        </w:rPr>
        <w:t>财政评价项目绩效评价结果</w:t>
      </w:r>
    </w:p>
    <w:p w:rsidR="00E676B7" w:rsidRDefault="00667A95">
      <w:pPr>
        <w:widowControl/>
        <w:shd w:val="clear" w:color="auto" w:fill="FFFFFF"/>
        <w:spacing w:line="600" w:lineRule="atLeast"/>
        <w:ind w:left="640"/>
        <w:rPr>
          <w:rStyle w:val="a6"/>
          <w:rFonts w:ascii="Arial" w:eastAsia="Arial" w:hAnsi="Arial" w:cs="Arial"/>
          <w:kern w:val="0"/>
          <w:sz w:val="32"/>
          <w:szCs w:val="32"/>
          <w:shd w:val="clear" w:color="auto" w:fill="FFFFFF"/>
        </w:rPr>
      </w:pPr>
      <w:r>
        <w:rPr>
          <w:rFonts w:ascii="仿宋" w:eastAsia="仿宋" w:hAnsi="仿宋" w:cs="仿宋" w:hint="eastAsia"/>
          <w:kern w:val="0"/>
          <w:sz w:val="32"/>
          <w:szCs w:val="32"/>
          <w:shd w:val="clear" w:color="auto" w:fill="FFFFFF"/>
        </w:rPr>
        <w:t>已抽查但还未出具意见。</w:t>
      </w:r>
    </w:p>
    <w:p w:rsidR="00E676B7" w:rsidRDefault="00667A95">
      <w:pPr>
        <w:widowControl/>
        <w:shd w:val="clear" w:color="auto" w:fill="FFFFFF"/>
        <w:spacing w:line="600" w:lineRule="atLeast"/>
        <w:ind w:firstLine="640"/>
        <w:rPr>
          <w:rStyle w:val="a6"/>
          <w:rFonts w:ascii="仿宋" w:eastAsia="仿宋" w:hAnsi="仿宋" w:cs="仿宋"/>
          <w:kern w:val="0"/>
          <w:sz w:val="32"/>
          <w:szCs w:val="32"/>
          <w:shd w:val="clear" w:color="auto" w:fill="FFFFFF"/>
        </w:rPr>
      </w:pPr>
      <w:r>
        <w:rPr>
          <w:rStyle w:val="a6"/>
          <w:rFonts w:ascii="仿宋" w:eastAsia="仿宋" w:hAnsi="仿宋" w:cs="仿宋" w:hint="eastAsia"/>
          <w:kern w:val="0"/>
          <w:sz w:val="32"/>
          <w:szCs w:val="32"/>
          <w:shd w:val="clear" w:color="auto" w:fill="FFFFFF"/>
        </w:rPr>
        <w:t>4.</w:t>
      </w:r>
      <w:r>
        <w:rPr>
          <w:rStyle w:val="a6"/>
          <w:rFonts w:ascii="仿宋" w:eastAsia="仿宋" w:hAnsi="仿宋" w:cs="仿宋"/>
          <w:kern w:val="0"/>
          <w:sz w:val="32"/>
          <w:szCs w:val="32"/>
          <w:shd w:val="clear" w:color="auto" w:fill="FFFFFF"/>
        </w:rPr>
        <w:t>部门评价项目绩效评价结果</w:t>
      </w:r>
    </w:p>
    <w:p w:rsidR="00E676B7" w:rsidRDefault="00667A95">
      <w:pPr>
        <w:widowControl/>
        <w:shd w:val="clear" w:color="auto" w:fill="FFFFFF"/>
        <w:spacing w:line="600" w:lineRule="atLeast"/>
        <w:ind w:left="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 xml:space="preserve"> 无。</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说明：</w:t>
      </w:r>
      <w:r>
        <w:rPr>
          <w:rStyle w:val="a6"/>
          <w:rFonts w:ascii="Arial" w:eastAsia="Arial" w:hAnsi="Arial" w:cs="Arial"/>
          <w:kern w:val="0"/>
          <w:sz w:val="32"/>
          <w:szCs w:val="32"/>
          <w:shd w:val="clear" w:color="auto" w:fill="FFFFFF"/>
        </w:rPr>
        <w:t>部门评价项目</w:t>
      </w:r>
      <w:r>
        <w:rPr>
          <w:rFonts w:ascii="仿宋" w:eastAsia="仿宋" w:hAnsi="仿宋" w:cs="仿宋" w:hint="eastAsia"/>
          <w:kern w:val="0"/>
          <w:sz w:val="32"/>
          <w:szCs w:val="32"/>
          <w:shd w:val="clear" w:color="auto" w:fill="FFFFFF"/>
        </w:rPr>
        <w:t>是指本部门自行开展的评价对象为本部门政策、项目、整体支出或下属单位整体支出的绩效评价；</w:t>
      </w:r>
      <w:r>
        <w:rPr>
          <w:rStyle w:val="a6"/>
          <w:rFonts w:ascii="Arial" w:eastAsia="Arial" w:hAnsi="Arial" w:cs="Arial"/>
          <w:kern w:val="0"/>
          <w:sz w:val="32"/>
          <w:szCs w:val="32"/>
          <w:shd w:val="clear" w:color="auto" w:fill="FFFFFF"/>
        </w:rPr>
        <w:t>财政评价项目</w:t>
      </w:r>
      <w:r>
        <w:rPr>
          <w:rFonts w:ascii="仿宋" w:eastAsia="仿宋" w:hAnsi="仿宋" w:cs="仿宋" w:hint="eastAsia"/>
          <w:kern w:val="0"/>
          <w:sz w:val="32"/>
          <w:szCs w:val="32"/>
          <w:shd w:val="clear" w:color="auto" w:fill="FFFFFF"/>
        </w:rPr>
        <w:t>是指以由财政部门开展的评价对象为本部门政策、项目或整体支出的绩效评价项目。</w:t>
      </w:r>
    </w:p>
    <w:p w:rsidR="00E676B7" w:rsidRDefault="00667A95">
      <w:pPr>
        <w:widowControl/>
        <w:shd w:val="clear" w:color="auto" w:fill="FFFFFF"/>
        <w:spacing w:line="600" w:lineRule="atLeast"/>
        <w:ind w:firstLine="640"/>
        <w:rPr>
          <w:rFonts w:ascii="Arial" w:eastAsia="Arial" w:hAnsi="Arial" w:cs="Arial"/>
          <w:sz w:val="18"/>
          <w:szCs w:val="18"/>
        </w:rPr>
      </w:pPr>
      <w:r>
        <w:rPr>
          <w:rFonts w:ascii="黑体" w:eastAsia="黑体" w:hAnsi="宋体" w:cs="黑体" w:hint="eastAsia"/>
          <w:kern w:val="0"/>
          <w:sz w:val="32"/>
          <w:szCs w:val="32"/>
          <w:shd w:val="clear" w:color="auto" w:fill="FFFFFF"/>
        </w:rPr>
        <w:t>四、名词解释</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1.财政拨款收入：指本级财政部门当年拨付的财政预算资金，包括一般公共预算财政拨款、政府性基金预算财政拨款和国有资本经预算财政拨款。</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2.事业收入：指事业单位开展专业业务活动及辅助活动所取得的收入。</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3.经营收入：指事业单位在专业业务活动及辅助活动之外开展非独立核算经营活动取得的收入。</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4.上级补助收入：指事业单位从主管部门和上级单位取得的非财政补助收入。</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lastRenderedPageBreak/>
        <w:t>5.附属单位上缴收入：指事业单位附属独立核算单位按照有关规定上缴的收入。</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6.其他收入：指预算单位在“财政拨款”、“事业收入”、“经营收入”、“上级补助收入”、“附属单位上缴收入”等之外取得的各项收入。</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7.使用非财政拨款结余：指事业单位使用以前年度积累的非财政拨款结余弥补当年收支差额的金额。</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8.年初结转和结余：指预算单位以前年度尚未完成、结转到本年仍按原规定用途继续使用的资金。</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9.年末结转和结余：指单位按有关规定结转到下年或以后年度继续使用的资金。</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10.基本支出：指预算单位为保障其正常运转，完成日常工作任务所发生的支出，包括人员经费支出和日常公用经费支出。</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11.项目支出：指预算单位为完成其特定的行政工作任务或事业发展目标所发生的支出。</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12.上缴上级支出：填列事业单位按照财政部门和主管部门的规定上缴上级单位的支出。</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13.经营支出：指事业单位在专业业务活动及其辅助活动之外开展非独立核算经营活动发生的支出。</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14.附属单位补助支出：填列事业单位用财政补助收入之外的收入对附属单位补助发生的支出。</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lastRenderedPageBreak/>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E676B7" w:rsidRDefault="00667A95">
      <w:pPr>
        <w:widowControl/>
        <w:shd w:val="clear" w:color="auto" w:fill="FFFFFF"/>
        <w:spacing w:line="600" w:lineRule="atLeast"/>
        <w:ind w:firstLine="640"/>
        <w:rPr>
          <w:rFonts w:ascii="Arial" w:eastAsia="Arial" w:hAnsi="Arial" w:cs="Arial"/>
          <w:sz w:val="18"/>
          <w:szCs w:val="18"/>
        </w:rPr>
      </w:pPr>
      <w:r>
        <w:rPr>
          <w:rFonts w:ascii="仿宋" w:eastAsia="仿宋" w:hAnsi="仿宋" w:cs="仿宋" w:hint="eastAsia"/>
          <w:kern w:val="0"/>
          <w:sz w:val="32"/>
          <w:szCs w:val="32"/>
          <w:shd w:val="clear" w:color="auto" w:fill="FFFFFF"/>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676B7" w:rsidRDefault="00667A95">
      <w:pPr>
        <w:adjustRightInd w:val="0"/>
        <w:snapToGrid w:val="0"/>
        <w:spacing w:line="360" w:lineRule="auto"/>
        <w:ind w:firstLine="64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17.一般公共服务支出（类）其他一般公共服务支出（款）其他一般公共服务支出（项）：指反映除上述项目以外的其他一般公共服务支出。</w:t>
      </w:r>
    </w:p>
    <w:p w:rsidR="00E676B7" w:rsidRDefault="00667A95">
      <w:pPr>
        <w:adjustRightInd w:val="0"/>
        <w:snapToGrid w:val="0"/>
        <w:spacing w:line="360" w:lineRule="auto"/>
        <w:ind w:firstLine="640"/>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18.教育支出（类）其他教育支出（款）其他教育支出（项）：指反映除上述项目以外其他用于教育方面的支出。</w:t>
      </w:r>
    </w:p>
    <w:p w:rsidR="00E676B7" w:rsidRDefault="00667A95">
      <w:pPr>
        <w:adjustRightInd w:val="0"/>
        <w:snapToGrid w:val="0"/>
        <w:spacing w:line="360" w:lineRule="auto"/>
        <w:ind w:firstLine="640"/>
        <w:jc w:val="left"/>
        <w:rPr>
          <w:rFonts w:ascii="仿宋_GB2312" w:eastAsia="仿宋_GB2312"/>
          <w:sz w:val="32"/>
          <w:szCs w:val="32"/>
        </w:rPr>
      </w:pPr>
      <w:r>
        <w:rPr>
          <w:rFonts w:ascii="仿宋_GB2312" w:eastAsia="仿宋_GB2312" w:hAnsi="仿宋_GB2312" w:hint="eastAsia"/>
          <w:sz w:val="32"/>
          <w:szCs w:val="32"/>
        </w:rPr>
        <w:t>19.社会保障和就业支出（类）行政事业单位养老支出（款）行政单位离退休（项）：指反映行政单位（包括实行</w:t>
      </w:r>
      <w:r>
        <w:rPr>
          <w:rFonts w:ascii="仿宋_GB2312" w:eastAsia="仿宋_GB2312" w:hAnsi="仿宋_GB2312" w:hint="eastAsia"/>
          <w:sz w:val="32"/>
          <w:szCs w:val="32"/>
        </w:rPr>
        <w:lastRenderedPageBreak/>
        <w:t>公务员管理的事业单位）开支的离退休经费</w:t>
      </w:r>
      <w:r>
        <w:rPr>
          <w:rFonts w:ascii="仿宋_GB2312" w:eastAsia="仿宋_GB2312" w:hint="eastAsia"/>
          <w:sz w:val="32"/>
          <w:szCs w:val="32"/>
        </w:rPr>
        <w:t>。</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20.社会保障和就业支出（类）行政事业单位养老支出（款）机关事业单位基本养老保险缴费支出（项）：指反映机关事业单位实施养老保险制度由单位缴纳的基本养老保险费支出。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21.社会保障和就业支出（类）行政事业单位养老支出（款）机关事业单位职业年金缴费支出（项）：指反映机关事业单位实施养老保险制度由单位缴纳的职业年金支出。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22.农林水支出（类）农业农村（款）行政运行（项）：指反映行政单位（包括实行公务员管理的事业单位）的基本支出。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23.农林水支出（类）农业农村（款）一般行政管理事务（项）：指反映行政单位（包括实行公务员管理的事业单位）未单独设置项级科目的其他项目支出。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24.农林水支出（类）农业农村（款）事业运行（项）：指反映用于农业事业单位基本支出，事业单位设施、系统运行与资产维护等方面的支出。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25.农林水支出（类）农业农村（款）科技转化与推广服务（项）：指反映用于农业科技成果转化，农业新品种、新机具、新技术引进、试验、示范、推广及服务，农村人居环境整治等方面的技术试验示范支出。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26.农林水支出（类）农业农村（款）病虫害控制（项）：指反映用于病虫鼠害及疫情监测、预报、预防、控制、检疫、防疫所需的仪器、设施、药物、疫苗、种苗，疫畜（禽、鱼、植物）防治、扑杀补偿及劳务补助、菌（毒）种保藏及动植物及其产品检疫、监测等方面的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27.农林水支出（类）农业农村（款）农产品质量安全（项）指：反映用于农产品及其投入品的质量安全评估、监测、抽查、认证、应急处置，相关标准的制定、修订、实施、监管等方面的支出。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28.农林水支出（类）农业农村（款）执法监管（项）：指反映用于农业农村法制建设、行政执法、行政复议、行政诉讼等方面的支出。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29.农林水支出（类）农业农村（款）统计监测与信息服</w:t>
      </w:r>
      <w:r>
        <w:rPr>
          <w:rFonts w:ascii="仿宋_GB2312" w:eastAsia="仿宋_GB2312" w:hAnsi="仿宋_GB2312" w:hint="eastAsia"/>
          <w:sz w:val="32"/>
          <w:szCs w:val="32"/>
        </w:rPr>
        <w:lastRenderedPageBreak/>
        <w:t>务（项）：指反映用于农业农村统计调查与信息收集、整理、分析、发布，以及农业自然资源调查与农业区划等方面的支出。</w:t>
      </w:r>
    </w:p>
    <w:p w:rsidR="00E676B7" w:rsidRDefault="00667A95">
      <w:pPr>
        <w:adjustRightInd w:val="0"/>
        <w:snapToGrid w:val="0"/>
        <w:spacing w:line="360" w:lineRule="auto"/>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30.农林水支出（类）农业农村（款）防灾救灾（项）：指反映对农业生产因遭受自然、生物灾害损失给予的补助，促进农业防灾增产措施补助，海难救助补助，因其他灾害导致农牧渔业生产者损失给予的补助。</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31.农林水支出（类）农业农村（款）农业资源保护修复与利用（项）：指反映用于耕地质量保护、草原草场利用，渔业水域资源环境保护，农业品种改良提升，以及农业生物资源调研收集、鉴定评价、保存利用等方面的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32.农林水支出（类）农业农村（款）农田建设（项）：指反映用于农田建设和田间水利相关工程建设的支出。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33.农林水支出（类）农业农村（款）其他农业农村支出（项）：指反映除上述项目以外其他用于农业农村方面的支出。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34.农林水支出（类）水利（款）水利工程建设（项）：指反映水利系统用于江、河、湖、滩等水利工程建设支出，</w:t>
      </w:r>
      <w:r>
        <w:rPr>
          <w:rFonts w:ascii="仿宋_GB2312" w:eastAsia="仿宋_GB2312" w:hAnsi="仿宋_GB2312" w:hint="eastAsia"/>
          <w:sz w:val="32"/>
          <w:szCs w:val="32"/>
        </w:rPr>
        <w:lastRenderedPageBreak/>
        <w:t>包括堤防、河道、水库、水利枢纽、涵闸、灌区、供水、蓄滞洪区等水利工程及其附属设备、设施的建设、更新改造、大中型病险水库防险、大型灌区改造、农村电气化建设等支出。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35.农林水支出（类）水利（款）水利工程运行与维护（项）：指反映水利系统用于江、河、湖、滩等治理工程运行与维护方面的支出，以及纳入预算管理的水利工程管理单位的支出。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36.农林水支出（类）水利（款）水利前期工作（项）：指反映水利规划、勘测、设计、科研及相关管理办法编制、资料整编、设备购置等基础性前期工作的支出。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37.农林水支出（类）水利（款）水土保持（项）：指反映水利系统纳入预算管理的水土保持事业单位的支出，包括规划制订和实施，治理、生态修复、预防监测、调查协调、综合治理、开发技术的示范、监督执法等支出以及水土保持生态工程措施和各项管理保护活动的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38.农林水支出（类）水利（款）水资源节约管理与保护</w:t>
      </w:r>
      <w:r>
        <w:rPr>
          <w:rFonts w:ascii="仿宋_GB2312" w:eastAsia="仿宋_GB2312" w:hAnsi="仿宋_GB2312" w:hint="eastAsia"/>
          <w:sz w:val="32"/>
          <w:szCs w:val="32"/>
        </w:rPr>
        <w:lastRenderedPageBreak/>
        <w:t>（项）：指反映水利系统纳入预算管理的水资源管理与保护事业单位的支出。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39.农林水支出（类）水利（款）水文测报（项）：指反映水利系统纳入预算管理的水文事业单位的支出。</w:t>
      </w:r>
    </w:p>
    <w:p w:rsidR="00E676B7" w:rsidRDefault="00667A95">
      <w:pPr>
        <w:adjustRightInd w:val="0"/>
        <w:snapToGrid w:val="0"/>
        <w:spacing w:line="360" w:lineRule="auto"/>
        <w:ind w:firstLineChars="200" w:firstLine="640"/>
        <w:rPr>
          <w:rFonts w:ascii="仿宋_GB2312" w:eastAsia="仿宋" w:hAnsi="仿宋_GB2312"/>
          <w:sz w:val="32"/>
          <w:szCs w:val="32"/>
        </w:rPr>
      </w:pPr>
      <w:r>
        <w:rPr>
          <w:rFonts w:ascii="仿宋" w:eastAsia="仿宋" w:hAnsi="仿宋" w:cs="仿宋" w:hint="eastAsia"/>
          <w:kern w:val="0"/>
          <w:sz w:val="32"/>
          <w:szCs w:val="32"/>
          <w:shd w:val="clear" w:color="auto" w:fill="FFFFFF"/>
        </w:rPr>
        <w:t>40.农林水支出（类）水利（款）</w:t>
      </w:r>
      <w:r>
        <w:rPr>
          <w:rFonts w:ascii="仿宋" w:eastAsia="仿宋" w:hAnsi="仿宋" w:cs="Arial" w:hint="eastAsia"/>
          <w:kern w:val="0"/>
          <w:sz w:val="32"/>
          <w:szCs w:val="32"/>
        </w:rPr>
        <w:t>防汛（项）：指反映防汛业务支出。</w:t>
      </w:r>
    </w:p>
    <w:p w:rsidR="00E676B7" w:rsidRDefault="00667A95">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41.农林水支出（类）水利（款）其他水利支出（项）：指反映除上述项目以外其他用于水利方面的支出。</w:t>
      </w:r>
    </w:p>
    <w:p w:rsidR="00E676B7" w:rsidRDefault="00667A95">
      <w:pPr>
        <w:adjustRightInd w:val="0"/>
        <w:snapToGrid w:val="0"/>
        <w:spacing w:line="360" w:lineRule="auto"/>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42.农林水支出（类）</w:t>
      </w:r>
      <w:r>
        <w:rPr>
          <w:rFonts w:ascii="仿宋" w:eastAsia="仿宋" w:hAnsi="仿宋" w:cs="Arial" w:hint="eastAsia"/>
          <w:kern w:val="0"/>
          <w:sz w:val="32"/>
          <w:szCs w:val="32"/>
        </w:rPr>
        <w:t>其他农林水支出（款）其他农林水支出（项）：指反映除化解债务支出以外其他用于农林水方面的支出。</w:t>
      </w:r>
    </w:p>
    <w:p w:rsidR="00E676B7" w:rsidRDefault="00667A95">
      <w:pPr>
        <w:adjustRightInd w:val="0"/>
        <w:snapToGrid w:val="0"/>
        <w:spacing w:line="360" w:lineRule="auto"/>
        <w:ind w:firstLineChars="200" w:firstLine="640"/>
        <w:rPr>
          <w:rFonts w:ascii="仿宋" w:eastAsia="仿宋" w:hAnsi="仿宋" w:cs="仿宋"/>
          <w:kern w:val="0"/>
          <w:sz w:val="32"/>
          <w:szCs w:val="32"/>
          <w:shd w:val="clear" w:color="auto" w:fill="FFFFFF"/>
        </w:rPr>
      </w:pPr>
      <w:r>
        <w:rPr>
          <w:rFonts w:ascii="仿宋" w:eastAsia="仿宋" w:hAnsi="仿宋" w:cs="Arial" w:hint="eastAsia"/>
          <w:kern w:val="0"/>
          <w:sz w:val="32"/>
          <w:szCs w:val="32"/>
        </w:rPr>
        <w:t>43.自然资源海洋气象等支出（类）自然资源事务（款）自然资源利用与保护（项）：指反映用于自然资源有偿使用与合理开发利用，国土空间生态修复，国土整治，耕地保护等方面的支出。</w:t>
      </w:r>
    </w:p>
    <w:p w:rsidR="00E676B7" w:rsidRDefault="00667A95">
      <w:pPr>
        <w:adjustRightInd w:val="0"/>
        <w:snapToGrid w:val="0"/>
        <w:spacing w:line="360" w:lineRule="auto"/>
        <w:ind w:firstLineChars="200" w:firstLine="640"/>
        <w:rPr>
          <w:rFonts w:ascii="仿宋" w:eastAsia="仿宋" w:hAnsi="仿宋" w:cs="仿宋"/>
          <w:kern w:val="0"/>
          <w:sz w:val="32"/>
          <w:szCs w:val="32"/>
          <w:shd w:val="clear" w:color="auto" w:fill="FFFFFF"/>
        </w:rPr>
      </w:pPr>
      <w:r>
        <w:rPr>
          <w:rFonts w:ascii="仿宋" w:eastAsia="仿宋" w:hAnsi="仿宋" w:cs="Arial" w:hint="eastAsia"/>
          <w:kern w:val="0"/>
          <w:sz w:val="32"/>
          <w:szCs w:val="32"/>
        </w:rPr>
        <w:t>44.灾害防治及应急管理支出（类）自然灾害救灾及恢复重建支出（款）其他自然灾害救灾及恢复重建支出（项）：指反映除上述项目以外其他用于灾害防治及应急管理的支出。</w:t>
      </w:r>
    </w:p>
    <w:p w:rsidR="00E676B7" w:rsidRDefault="00667A95">
      <w:pPr>
        <w:adjustRightInd w:val="0"/>
        <w:snapToGrid w:val="0"/>
        <w:spacing w:line="360" w:lineRule="auto"/>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45.城乡社区支出（类）国有土地使用权出让收入安排</w:t>
      </w:r>
      <w:r>
        <w:rPr>
          <w:rFonts w:ascii="仿宋" w:eastAsia="仿宋" w:hAnsi="仿宋" w:cs="仿宋" w:hint="eastAsia"/>
          <w:kern w:val="0"/>
          <w:sz w:val="32"/>
          <w:szCs w:val="32"/>
          <w:shd w:val="clear" w:color="auto" w:fill="FFFFFF"/>
        </w:rPr>
        <w:lastRenderedPageBreak/>
        <w:t>的支出（款）农村基础设施建设支出（项）：指反映土地出让收入用于农村饮水、环境、卫生、教育以及文化等基础设施建设支出。</w:t>
      </w:r>
    </w:p>
    <w:p w:rsidR="00E676B7" w:rsidRDefault="00667A95">
      <w:pPr>
        <w:adjustRightInd w:val="0"/>
        <w:snapToGrid w:val="0"/>
        <w:spacing w:line="360" w:lineRule="auto"/>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46.城乡社区支出（类）农业土地开发资金安排的支出（款）农业土地开发资金安排的支出（项）：指反映从计提的农业土地开发资金中安排用于农业土地开发的支出。</w:t>
      </w:r>
    </w:p>
    <w:p w:rsidR="00E676B7" w:rsidRDefault="00667A95">
      <w:pPr>
        <w:adjustRightInd w:val="0"/>
        <w:snapToGrid w:val="0"/>
        <w:spacing w:line="360" w:lineRule="auto"/>
        <w:ind w:firstLineChars="200" w:firstLine="640"/>
      </w:pPr>
      <w:r>
        <w:rPr>
          <w:rFonts w:ascii="仿宋" w:eastAsia="仿宋" w:hAnsi="仿宋" w:cs="仿宋" w:hint="eastAsia"/>
          <w:kern w:val="0"/>
          <w:sz w:val="32"/>
          <w:szCs w:val="32"/>
          <w:shd w:val="clear" w:color="auto" w:fill="FFFFFF"/>
        </w:rPr>
        <w:t>47.其他支出（类）其他政府性基金及对应专项债务收入安排的支出（款）其他政府性基金安排的支出（项）：指反映其他政府性基金安排的支出（包括用以前年度欠款收入安排的支出）。</w:t>
      </w:r>
      <w:bookmarkStart w:id="0" w:name="_GoBack"/>
      <w:bookmarkEnd w:id="0"/>
    </w:p>
    <w:sectPr w:rsidR="00E676B7" w:rsidSect="00E676B7">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C3C" w:rsidRDefault="007A0C3C" w:rsidP="00E676B7">
      <w:r>
        <w:separator/>
      </w:r>
    </w:p>
  </w:endnote>
  <w:endnote w:type="continuationSeparator" w:id="1">
    <w:p w:rsidR="007A0C3C" w:rsidRDefault="007A0C3C" w:rsidP="00E67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Times New Roman"/>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B7" w:rsidRDefault="0026114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E676B7" w:rsidRDefault="00261149">
                <w:pPr>
                  <w:pStyle w:val="a3"/>
                </w:pPr>
                <w:r>
                  <w:fldChar w:fldCharType="begin"/>
                </w:r>
                <w:r w:rsidR="00667A95">
                  <w:instrText xml:space="preserve"> PAGE  \* MERGEFORMAT </w:instrText>
                </w:r>
                <w:r>
                  <w:fldChar w:fldCharType="separate"/>
                </w:r>
                <w:r w:rsidR="00156F3B">
                  <w:rPr>
                    <w:noProof/>
                  </w:rPr>
                  <w:t>40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C3C" w:rsidRDefault="007A0C3C" w:rsidP="00E676B7">
      <w:r>
        <w:separator/>
      </w:r>
    </w:p>
  </w:footnote>
  <w:footnote w:type="continuationSeparator" w:id="1">
    <w:p w:rsidR="007A0C3C" w:rsidRDefault="007A0C3C" w:rsidP="00E67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D2760CF"/>
    <w:rsid w:val="00046CE3"/>
    <w:rsid w:val="00156F3B"/>
    <w:rsid w:val="00165D68"/>
    <w:rsid w:val="00261149"/>
    <w:rsid w:val="00667A95"/>
    <w:rsid w:val="007A0C3C"/>
    <w:rsid w:val="007B420B"/>
    <w:rsid w:val="008774A6"/>
    <w:rsid w:val="00AC78B0"/>
    <w:rsid w:val="00D30946"/>
    <w:rsid w:val="00DF730E"/>
    <w:rsid w:val="00E676B7"/>
    <w:rsid w:val="00EC52FC"/>
    <w:rsid w:val="00FF5EB1"/>
    <w:rsid w:val="019468F3"/>
    <w:rsid w:val="026050A8"/>
    <w:rsid w:val="055E1C58"/>
    <w:rsid w:val="05EA0543"/>
    <w:rsid w:val="0A226550"/>
    <w:rsid w:val="0EC7257E"/>
    <w:rsid w:val="0F3E6314"/>
    <w:rsid w:val="19A61829"/>
    <w:rsid w:val="21A94944"/>
    <w:rsid w:val="22D57CBC"/>
    <w:rsid w:val="283F001B"/>
    <w:rsid w:val="2DFA0937"/>
    <w:rsid w:val="2FFF119B"/>
    <w:rsid w:val="31DD5337"/>
    <w:rsid w:val="327C467F"/>
    <w:rsid w:val="468C33C2"/>
    <w:rsid w:val="479E6450"/>
    <w:rsid w:val="4DE35308"/>
    <w:rsid w:val="4E9234AA"/>
    <w:rsid w:val="502D461C"/>
    <w:rsid w:val="50592174"/>
    <w:rsid w:val="52DB0BE9"/>
    <w:rsid w:val="5D2760CF"/>
    <w:rsid w:val="5E933FB7"/>
    <w:rsid w:val="60E5176D"/>
    <w:rsid w:val="683C5539"/>
    <w:rsid w:val="6D151936"/>
    <w:rsid w:val="6D515BF3"/>
    <w:rsid w:val="6D6954C7"/>
    <w:rsid w:val="72941C5D"/>
    <w:rsid w:val="75A82354"/>
    <w:rsid w:val="79D26E46"/>
    <w:rsid w:val="7E9513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E676B7"/>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E676B7"/>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E676B7"/>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qFormat/>
    <w:rsid w:val="00E676B7"/>
    <w:pPr>
      <w:tabs>
        <w:tab w:val="center" w:pos="4153"/>
        <w:tab w:val="right" w:pos="8306"/>
      </w:tabs>
      <w:snapToGrid w:val="0"/>
      <w:jc w:val="left"/>
    </w:pPr>
    <w:rPr>
      <w:sz w:val="18"/>
    </w:rPr>
  </w:style>
  <w:style w:type="paragraph" w:styleId="a4">
    <w:name w:val="header"/>
    <w:basedOn w:val="a"/>
    <w:qFormat/>
    <w:rsid w:val="00E676B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E676B7"/>
    <w:pPr>
      <w:spacing w:beforeAutospacing="1" w:afterAutospacing="1"/>
      <w:jc w:val="left"/>
    </w:pPr>
    <w:rPr>
      <w:rFonts w:cs="Times New Roman"/>
      <w:kern w:val="0"/>
      <w:sz w:val="24"/>
    </w:rPr>
  </w:style>
  <w:style w:type="character" w:styleId="a6">
    <w:name w:val="Strong"/>
    <w:basedOn w:val="a0"/>
    <w:qFormat/>
    <w:rsid w:val="00E676B7"/>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49</Pages>
  <Words>3830</Words>
  <Characters>21833</Characters>
  <Application>Microsoft Office Word</Application>
  <DocSecurity>0</DocSecurity>
  <Lines>181</Lines>
  <Paragraphs>51</Paragraphs>
  <ScaleCrop>false</ScaleCrop>
  <Company>Microsoft</Company>
  <LinksUpToDate>false</LinksUpToDate>
  <CharactersWithSpaces>25612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╰箜白︵oo</dc:creator>
  <cp:lastModifiedBy>王朝</cp:lastModifiedBy>
  <cp:revision>11</cp:revision>
  <dcterms:created xsi:type="dcterms:W3CDTF">2021-09-14T06:38:00Z</dcterms:created>
  <dcterms:modified xsi:type="dcterms:W3CDTF">2021-09-29T08:18:00Z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364A8DFE02DD407BB57E1F13FBE0F792</vt:lpwstr>
  </property>
</Properties>
</file>