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0" w:lineRule="exact"/>
        <w:jc w:val="center"/>
        <w:rPr>
          <w:rFonts w:ascii="方正小标宋简体" w:hAnsi="ˎ̥" w:eastAsia="方正小标宋简体" w:cs="宋体"/>
          <w:b/>
          <w:bCs/>
          <w:sz w:val="44"/>
          <w:szCs w:val="44"/>
        </w:rPr>
      </w:pPr>
      <w:r>
        <w:rPr>
          <w:rFonts w:hint="eastAsia" w:ascii="方正小标宋简体" w:hAnsi="ˎ̥" w:eastAsia="方正小标宋简体" w:cs="宋体"/>
          <w:sz w:val="44"/>
          <w:szCs w:val="44"/>
        </w:rPr>
        <w:t>温岭市科学技术协会2019年部门预算</w:t>
      </w:r>
    </w:p>
    <w:p>
      <w:pPr>
        <w:spacing w:line="590" w:lineRule="exact"/>
        <w:ind w:firstLine="562" w:firstLineChars="200"/>
        <w:rPr>
          <w:rFonts w:ascii="仿宋_GB2312" w:hAnsi="ˎ̥" w:eastAsia="仿宋_GB2312" w:cs="宋体"/>
          <w:b/>
          <w:sz w:val="28"/>
          <w:szCs w:val="28"/>
        </w:rPr>
      </w:pPr>
    </w:p>
    <w:p>
      <w:pPr>
        <w:spacing w:line="590" w:lineRule="exact"/>
        <w:ind w:firstLine="562" w:firstLineChars="200"/>
        <w:rPr>
          <w:rFonts w:ascii="仿宋_GB2312" w:hAnsi="ˎ̥" w:eastAsia="仿宋_GB2312" w:cs="宋体"/>
          <w:b/>
          <w:sz w:val="28"/>
          <w:szCs w:val="28"/>
        </w:rPr>
      </w:pPr>
      <w:r>
        <w:rPr>
          <w:rFonts w:hint="eastAsia" w:ascii="仿宋_GB2312" w:hAnsi="ˎ̥" w:eastAsia="仿宋_GB2312" w:cs="宋体"/>
          <w:b/>
          <w:sz w:val="28"/>
          <w:szCs w:val="28"/>
        </w:rPr>
        <w:t>一、温岭市科学技术协会概况</w:t>
      </w:r>
    </w:p>
    <w:p>
      <w:pPr>
        <w:spacing w:line="500" w:lineRule="exact"/>
        <w:ind w:firstLine="560" w:firstLineChars="200"/>
        <w:rPr>
          <w:rFonts w:ascii="仿宋_GB2312" w:hAnsi="新宋体" w:eastAsia="仿宋_GB2312" w:cs="宋体"/>
          <w:sz w:val="28"/>
          <w:szCs w:val="28"/>
        </w:rPr>
      </w:pPr>
      <w:r>
        <w:rPr>
          <w:rFonts w:hint="eastAsia" w:ascii="仿宋_GB2312" w:hAnsi="新宋体" w:eastAsia="仿宋_GB2312" w:cs="宋体"/>
          <w:sz w:val="28"/>
          <w:szCs w:val="28"/>
        </w:rPr>
        <w:t>（一）主要职能</w:t>
      </w:r>
    </w:p>
    <w:p>
      <w:pPr>
        <w:spacing w:line="500" w:lineRule="exact"/>
        <w:ind w:firstLine="560" w:firstLineChars="200"/>
        <w:rPr>
          <w:rFonts w:ascii="仿宋_GB2312" w:hAnsi="新宋体" w:eastAsia="仿宋_GB2312"/>
          <w:sz w:val="28"/>
          <w:szCs w:val="28"/>
        </w:rPr>
      </w:pPr>
      <w:r>
        <w:rPr>
          <w:rFonts w:hint="eastAsia" w:ascii="仿宋_GB2312" w:hAnsi="新宋体" w:eastAsia="仿宋_GB2312"/>
          <w:sz w:val="28"/>
          <w:szCs w:val="28"/>
        </w:rPr>
        <w:t>根据温市委办[2002]37号文件规定，我部门主要职责是：</w:t>
      </w:r>
    </w:p>
    <w:p>
      <w:pPr>
        <w:spacing w:line="500" w:lineRule="exact"/>
        <w:ind w:firstLine="560" w:firstLineChars="200"/>
        <w:rPr>
          <w:rFonts w:ascii="仿宋_GB2312" w:hAnsi="新宋体" w:eastAsia="仿宋_GB2312"/>
          <w:sz w:val="28"/>
          <w:szCs w:val="28"/>
        </w:rPr>
      </w:pPr>
      <w:r>
        <w:rPr>
          <w:rFonts w:hint="eastAsia" w:ascii="仿宋_GB2312" w:hAnsi="新宋体" w:eastAsia="仿宋_GB2312"/>
          <w:sz w:val="28"/>
          <w:szCs w:val="28"/>
        </w:rPr>
        <w:t>1、开展学术交流，活跃学术思想，促进学科发展和科技成果向现实生产力转化。</w:t>
      </w:r>
    </w:p>
    <w:p>
      <w:pPr>
        <w:spacing w:line="500" w:lineRule="exact"/>
        <w:ind w:firstLine="560" w:firstLineChars="200"/>
        <w:rPr>
          <w:rFonts w:ascii="仿宋_GB2312" w:hAnsi="新宋体" w:eastAsia="仿宋_GB2312"/>
          <w:sz w:val="28"/>
          <w:szCs w:val="28"/>
        </w:rPr>
      </w:pPr>
      <w:r>
        <w:rPr>
          <w:rFonts w:hint="eastAsia" w:ascii="仿宋_GB2312" w:hAnsi="新宋体" w:eastAsia="仿宋_GB2312"/>
          <w:sz w:val="28"/>
          <w:szCs w:val="28"/>
        </w:rPr>
        <w:t>2、弘扬科学精神，普及科学知识，传播科学思想和科学方法，反对愚昧、迷信和一切伪科学、反对科学行为行为;开展城乡科学技术普及和青少年科技教育活动，提高全市人民科学文化素质。</w:t>
      </w:r>
    </w:p>
    <w:p>
      <w:pPr>
        <w:spacing w:line="500" w:lineRule="exact"/>
        <w:ind w:firstLine="560" w:firstLineChars="200"/>
        <w:rPr>
          <w:rFonts w:ascii="仿宋_GB2312" w:hAnsi="新宋体" w:eastAsia="仿宋_GB2312"/>
          <w:sz w:val="28"/>
          <w:szCs w:val="28"/>
        </w:rPr>
      </w:pPr>
      <w:r>
        <w:rPr>
          <w:rFonts w:hint="eastAsia" w:ascii="仿宋_GB2312" w:hAnsi="新宋体" w:eastAsia="仿宋_GB2312"/>
          <w:sz w:val="28"/>
          <w:szCs w:val="28"/>
        </w:rPr>
        <w:t>3、反映科技工作者的意见和要求，维护科技工作者的合法权益;举荐人才，表扬优秀科技工作者，做好科技工作者之家的创建工作，弘扬“尊重知识，尊重人才”的社会风尚。</w:t>
      </w:r>
    </w:p>
    <w:p>
      <w:pPr>
        <w:spacing w:line="500" w:lineRule="exact"/>
        <w:ind w:firstLine="560" w:firstLineChars="200"/>
        <w:rPr>
          <w:rFonts w:ascii="仿宋_GB2312" w:hAnsi="新宋体" w:eastAsia="仿宋_GB2312"/>
          <w:sz w:val="28"/>
          <w:szCs w:val="28"/>
        </w:rPr>
      </w:pPr>
      <w:r>
        <w:rPr>
          <w:rFonts w:hint="eastAsia" w:ascii="仿宋_GB2312" w:hAnsi="新宋体" w:eastAsia="仿宋_GB2312"/>
          <w:sz w:val="28"/>
          <w:szCs w:val="28"/>
        </w:rPr>
        <w:t>4、组织有关人员参加与市科技政策的制定，开展决策论证，提出政策建议。</w:t>
      </w:r>
    </w:p>
    <w:p>
      <w:pPr>
        <w:spacing w:line="500" w:lineRule="exact"/>
        <w:ind w:firstLine="560" w:firstLineChars="200"/>
        <w:rPr>
          <w:rFonts w:ascii="仿宋_GB2312" w:hAnsi="新宋体" w:eastAsia="仿宋_GB2312"/>
          <w:sz w:val="28"/>
          <w:szCs w:val="28"/>
        </w:rPr>
      </w:pPr>
      <w:r>
        <w:rPr>
          <w:rFonts w:hint="eastAsia" w:ascii="仿宋_GB2312" w:hAnsi="新宋体" w:eastAsia="仿宋_GB2312"/>
          <w:sz w:val="28"/>
          <w:szCs w:val="28"/>
        </w:rPr>
        <w:t>5、推广先进技术，开展科技咨询和中介服务，促进科技成果的转化。</w:t>
      </w:r>
    </w:p>
    <w:p>
      <w:pPr>
        <w:spacing w:line="500" w:lineRule="exact"/>
        <w:ind w:firstLine="560" w:firstLineChars="200"/>
        <w:rPr>
          <w:rFonts w:ascii="仿宋_GB2312" w:hAnsi="新宋体" w:eastAsia="仿宋_GB2312"/>
          <w:sz w:val="28"/>
          <w:szCs w:val="28"/>
        </w:rPr>
      </w:pPr>
      <w:r>
        <w:rPr>
          <w:rFonts w:hint="eastAsia" w:ascii="仿宋_GB2312" w:hAnsi="新宋体" w:eastAsia="仿宋_GB2312"/>
          <w:sz w:val="28"/>
          <w:szCs w:val="28"/>
        </w:rPr>
        <w:t>6、参与科技人员继续教育和培训工作，接受委托承担基础项目评估、成果鉴定等任务。</w:t>
      </w:r>
    </w:p>
    <w:p>
      <w:pPr>
        <w:spacing w:line="500" w:lineRule="exact"/>
        <w:ind w:firstLine="560" w:firstLineChars="200"/>
        <w:rPr>
          <w:rFonts w:ascii="仿宋_GB2312" w:hAnsi="新宋体" w:eastAsia="仿宋_GB2312"/>
          <w:sz w:val="28"/>
          <w:szCs w:val="28"/>
        </w:rPr>
      </w:pPr>
      <w:r>
        <w:rPr>
          <w:rFonts w:hint="eastAsia" w:ascii="仿宋_GB2312" w:hAnsi="新宋体" w:eastAsia="仿宋_GB2312"/>
          <w:sz w:val="28"/>
          <w:szCs w:val="28"/>
        </w:rPr>
        <w:t>7、开展民间国际科技交流与合作。发展同国外科技团体和科技工作者的友好交往，加强与台、港、澳民间科技组织的联系。</w:t>
      </w:r>
    </w:p>
    <w:p>
      <w:pPr>
        <w:spacing w:line="500" w:lineRule="exact"/>
        <w:ind w:firstLine="560" w:firstLineChars="200"/>
        <w:rPr>
          <w:rFonts w:ascii="仿宋_GB2312" w:hAnsi="新宋体" w:eastAsia="仿宋_GB2312"/>
          <w:sz w:val="28"/>
          <w:szCs w:val="28"/>
        </w:rPr>
      </w:pPr>
      <w:r>
        <w:rPr>
          <w:rFonts w:hint="eastAsia" w:ascii="仿宋_GB2312" w:hAnsi="新宋体" w:eastAsia="仿宋_GB2312"/>
          <w:sz w:val="28"/>
          <w:szCs w:val="28"/>
        </w:rPr>
        <w:t>8、组织管理市级自然科学学会、协会、研究会;指导镇（街道）科协和企业科协的工作。</w:t>
      </w:r>
    </w:p>
    <w:p>
      <w:pPr>
        <w:spacing w:line="500" w:lineRule="exact"/>
        <w:ind w:firstLine="560" w:firstLineChars="200"/>
        <w:rPr>
          <w:rFonts w:ascii="仿宋_GB2312" w:hAnsi="新宋体" w:eastAsia="仿宋_GB2312"/>
          <w:sz w:val="28"/>
          <w:szCs w:val="28"/>
        </w:rPr>
      </w:pPr>
      <w:r>
        <w:rPr>
          <w:rFonts w:hint="eastAsia" w:ascii="仿宋_GB2312" w:hAnsi="新宋体" w:eastAsia="仿宋_GB2312"/>
          <w:sz w:val="28"/>
          <w:szCs w:val="28"/>
        </w:rPr>
        <w:t>9、完成市委、市政府交办的其他工作任务。</w:t>
      </w:r>
    </w:p>
    <w:p>
      <w:pPr>
        <w:spacing w:line="590" w:lineRule="exact"/>
        <w:ind w:firstLine="560" w:firstLineChars="200"/>
        <w:rPr>
          <w:rFonts w:ascii="仿宋_GB2312" w:hAnsi="新宋体" w:eastAsia="仿宋_GB2312" w:cs="宋体"/>
          <w:sz w:val="28"/>
          <w:szCs w:val="28"/>
        </w:rPr>
      </w:pPr>
      <w:r>
        <w:rPr>
          <w:rFonts w:hint="eastAsia" w:ascii="仿宋_GB2312" w:hAnsi="新宋体" w:eastAsia="仿宋_GB2312" w:cs="宋体"/>
          <w:sz w:val="28"/>
          <w:szCs w:val="28"/>
        </w:rPr>
        <w:t>（二）部门预算单位构成</w:t>
      </w:r>
    </w:p>
    <w:p>
      <w:pPr>
        <w:spacing w:line="590" w:lineRule="exact"/>
        <w:ind w:firstLine="560" w:firstLineChars="200"/>
        <w:rPr>
          <w:rFonts w:ascii="仿宋_GB2312" w:hAnsi="新宋体" w:eastAsia="仿宋_GB2312" w:cs="宋体"/>
          <w:sz w:val="28"/>
          <w:szCs w:val="28"/>
        </w:rPr>
      </w:pPr>
      <w:r>
        <w:rPr>
          <w:rFonts w:hint="eastAsia" w:ascii="仿宋_GB2312" w:hAnsi="新宋体" w:eastAsia="仿宋_GB2312" w:cs="宋体"/>
          <w:sz w:val="28"/>
          <w:szCs w:val="28"/>
        </w:rPr>
        <w:t>从预算单位构成看，温岭市科学技术协会的部门预算只是温岭市市科协本级预算。</w:t>
      </w:r>
    </w:p>
    <w:p>
      <w:pPr>
        <w:spacing w:line="590" w:lineRule="exact"/>
        <w:ind w:firstLine="562" w:firstLineChars="200"/>
        <w:rPr>
          <w:rFonts w:hint="eastAsia" w:ascii="仿宋_GB2312" w:hAnsi="ˎ̥" w:eastAsia="仿宋_GB2312" w:cs="宋体"/>
          <w:b/>
          <w:sz w:val="28"/>
          <w:szCs w:val="28"/>
        </w:rPr>
      </w:pPr>
      <w:r>
        <w:rPr>
          <w:rFonts w:hint="eastAsia" w:ascii="仿宋_GB2312" w:hAnsi="ˎ̥" w:eastAsia="仿宋_GB2312" w:cs="宋体"/>
          <w:b/>
          <w:sz w:val="28"/>
          <w:szCs w:val="28"/>
        </w:rPr>
        <w:t>二、市科协2019年部门预算安排情况说明</w:t>
      </w:r>
    </w:p>
    <w:p>
      <w:pPr>
        <w:widowControl w:val="0"/>
        <w:spacing w:line="590" w:lineRule="exact"/>
        <w:ind w:firstLine="562" w:firstLineChars="200"/>
        <w:rPr>
          <w:rFonts w:ascii="仿宋_GB2312" w:hAnsi="ˎ̥" w:eastAsia="仿宋_GB2312" w:cs="宋体"/>
          <w:b/>
          <w:bCs/>
          <w:color w:val="000000"/>
          <w:sz w:val="28"/>
          <w:szCs w:val="28"/>
        </w:rPr>
      </w:pPr>
      <w:r>
        <w:rPr>
          <w:rFonts w:hint="eastAsia" w:ascii="仿宋_GB2312" w:hAnsi="ˎ̥" w:eastAsia="仿宋_GB2312" w:cs="宋体"/>
          <w:b/>
          <w:bCs/>
          <w:color w:val="000000"/>
          <w:sz w:val="28"/>
          <w:szCs w:val="28"/>
        </w:rPr>
        <w:t>（一）关于市科协2019年收支预算情况的总体说明</w:t>
      </w:r>
    </w:p>
    <w:p>
      <w:pPr>
        <w:spacing w:line="560" w:lineRule="exact"/>
        <w:ind w:firstLine="560" w:firstLineChars="200"/>
        <w:rPr>
          <w:rFonts w:ascii="仿宋_GB2312" w:eastAsia="仿宋_GB2312"/>
          <w:color w:val="000000"/>
          <w:sz w:val="28"/>
          <w:szCs w:val="28"/>
        </w:rPr>
      </w:pPr>
      <w:r>
        <w:rPr>
          <w:rFonts w:hint="eastAsia" w:ascii="仿宋_GB2312" w:eastAsia="仿宋_GB2312"/>
          <w:bCs/>
          <w:color w:val="000000"/>
          <w:sz w:val="28"/>
          <w:szCs w:val="28"/>
        </w:rPr>
        <w:t>按照综合预算的原则，</w:t>
      </w:r>
      <w:r>
        <w:rPr>
          <w:rFonts w:hint="eastAsia" w:ascii="仿宋_GB2312" w:eastAsia="仿宋_GB2312"/>
          <w:color w:val="000000"/>
          <w:sz w:val="28"/>
          <w:szCs w:val="28"/>
        </w:rPr>
        <w:t>市科协所有收入和支出均纳入部门预算管理。收入包括：一般公共预算拨款收入7146605.7元、上年结转31930.5元；支出包括：科学技术支出6845010元、社会保障和就业支出333526.2元。市科协2019年收支总预算717.85万元。</w:t>
      </w:r>
    </w:p>
    <w:p>
      <w:pPr>
        <w:spacing w:line="560" w:lineRule="exact"/>
        <w:ind w:firstLine="562" w:firstLineChars="200"/>
        <w:rPr>
          <w:rFonts w:ascii="仿宋_GB2312" w:eastAsia="仿宋_GB2312"/>
          <w:b/>
          <w:bCs/>
          <w:color w:val="000000"/>
          <w:sz w:val="28"/>
          <w:szCs w:val="28"/>
        </w:rPr>
      </w:pPr>
      <w:r>
        <w:rPr>
          <w:rFonts w:hint="eastAsia" w:ascii="仿宋_GB2312" w:hAnsi="ˎ̥" w:eastAsia="仿宋_GB2312" w:cs="宋体"/>
          <w:b/>
          <w:bCs/>
          <w:color w:val="000000"/>
          <w:sz w:val="28"/>
          <w:szCs w:val="28"/>
        </w:rPr>
        <w:t>（二）关于市科协2019年收入预算情况说明</w:t>
      </w:r>
    </w:p>
    <w:p>
      <w:pPr>
        <w:widowControl w:val="0"/>
        <w:spacing w:line="59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 市科协2019年收入预算717.85万元，</w:t>
      </w:r>
      <w:r>
        <w:rPr>
          <w:rFonts w:hint="eastAsia" w:ascii="仿宋_GB2312" w:hAnsi="ˎ̥" w:eastAsia="仿宋_GB2312" w:cs="宋体"/>
          <w:color w:val="000000"/>
          <w:sz w:val="28"/>
          <w:szCs w:val="28"/>
        </w:rPr>
        <w:t>比上年收入预算增加218万元，增长87.2%</w:t>
      </w:r>
      <w:r>
        <w:rPr>
          <w:rFonts w:hint="eastAsia" w:ascii="仿宋_GB2312" w:eastAsia="仿宋_GB2312"/>
          <w:color w:val="000000"/>
          <w:sz w:val="28"/>
          <w:szCs w:val="28"/>
        </w:rPr>
        <w:t>，主要原因是2019年将以往需通过组织部人才办核批的人才经费直接下达进入科协年初预算。</w:t>
      </w:r>
    </w:p>
    <w:p>
      <w:pPr>
        <w:widowControl w:val="0"/>
        <w:spacing w:line="590" w:lineRule="exact"/>
        <w:ind w:firstLine="560" w:firstLineChars="200"/>
        <w:rPr>
          <w:rFonts w:ascii="仿宋_GB2312" w:hAnsi="ˎ̥" w:eastAsia="仿宋_GB2312" w:cs="宋体"/>
          <w:color w:val="000000"/>
          <w:sz w:val="28"/>
          <w:szCs w:val="28"/>
        </w:rPr>
      </w:pPr>
      <w:r>
        <w:rPr>
          <w:rFonts w:hint="eastAsia" w:ascii="仿宋_GB2312" w:eastAsia="仿宋_GB2312"/>
          <w:color w:val="000000"/>
          <w:sz w:val="28"/>
          <w:szCs w:val="28"/>
        </w:rPr>
        <w:t>其中：上年结转3.19万元，占0.44%；一般公共预算拨款收入714.66万元，占99.56%</w:t>
      </w:r>
      <w:r>
        <w:rPr>
          <w:rFonts w:hint="eastAsia" w:ascii="仿宋_GB2312" w:eastAsia="仿宋_GB2312"/>
          <w:color w:val="000000"/>
          <w:sz w:val="28"/>
          <w:szCs w:val="28"/>
          <w:lang w:eastAsia="zh-CN"/>
        </w:rPr>
        <w:t>。</w:t>
      </w:r>
      <w:r>
        <w:rPr>
          <w:rFonts w:hint="eastAsia" w:ascii="仿宋_GB2312" w:eastAsia="仿宋_GB2312"/>
          <w:color w:val="000000"/>
          <w:sz w:val="28"/>
          <w:szCs w:val="28"/>
        </w:rPr>
        <w:br/>
      </w:r>
      <w:r>
        <w:rPr>
          <w:rFonts w:hint="eastAsia" w:ascii="仿宋_GB2312" w:eastAsia="仿宋_GB2312"/>
          <w:color w:val="FF0000"/>
          <w:sz w:val="28"/>
          <w:szCs w:val="28"/>
        </w:rPr>
        <w:t xml:space="preserve">    </w:t>
      </w:r>
      <w:r>
        <w:rPr>
          <w:rFonts w:hint="eastAsia" w:ascii="仿宋_GB2312" w:hAnsi="ˎ̥" w:eastAsia="仿宋_GB2312" w:cs="宋体"/>
          <w:b/>
          <w:bCs/>
          <w:color w:val="000000"/>
          <w:sz w:val="28"/>
          <w:szCs w:val="28"/>
        </w:rPr>
        <w:t>（三）关于市科协2019年支出预算情况说明</w:t>
      </w:r>
    </w:p>
    <w:p>
      <w:pPr>
        <w:widowControl w:val="0"/>
        <w:spacing w:line="590" w:lineRule="exact"/>
        <w:ind w:firstLine="560" w:firstLineChars="200"/>
        <w:rPr>
          <w:rFonts w:ascii="仿宋_GB2312" w:eastAsia="仿宋_GB2312"/>
          <w:color w:val="000000"/>
          <w:sz w:val="28"/>
          <w:szCs w:val="28"/>
        </w:rPr>
      </w:pPr>
      <w:r>
        <w:rPr>
          <w:rFonts w:hint="eastAsia" w:ascii="仿宋_GB2312" w:hAnsi="ˎ̥" w:eastAsia="仿宋_GB2312" w:cs="宋体"/>
          <w:color w:val="000000"/>
          <w:sz w:val="28"/>
          <w:szCs w:val="28"/>
        </w:rPr>
        <w:t>市科协部门2019年支出预算717.85万元，比上年支出增加218万元，增长87.2%，</w:t>
      </w:r>
      <w:r>
        <w:rPr>
          <w:rFonts w:hint="eastAsia" w:ascii="仿宋_GB2312" w:eastAsia="仿宋_GB2312"/>
          <w:color w:val="000000"/>
          <w:sz w:val="28"/>
          <w:szCs w:val="28"/>
        </w:rPr>
        <w:t>主要原因是以往需向组织部人才办申报，再由财政划入科协的人才经费在今年直接划入科协2019年度预算，以提高经费支出效率。</w:t>
      </w:r>
    </w:p>
    <w:p>
      <w:pPr>
        <w:numPr>
          <w:ilvl w:val="0"/>
          <w:numId w:val="1"/>
        </w:numPr>
        <w:spacing w:line="560" w:lineRule="exact"/>
        <w:ind w:firstLine="560" w:firstLineChars="200"/>
        <w:rPr>
          <w:rFonts w:hint="eastAsia" w:ascii="仿宋_GB2312" w:eastAsia="仿宋_GB2312"/>
          <w:color w:val="000000"/>
          <w:sz w:val="28"/>
          <w:szCs w:val="28"/>
          <w:lang w:eastAsia="zh-CN"/>
        </w:rPr>
      </w:pPr>
      <w:r>
        <w:rPr>
          <w:rFonts w:hint="eastAsia" w:ascii="仿宋_GB2312" w:eastAsia="仿宋_GB2312"/>
          <w:color w:val="000000"/>
          <w:sz w:val="28"/>
          <w:szCs w:val="28"/>
        </w:rPr>
        <w:t>按支出功能分类，包括科学技术支出684.5万元、社会保障和就业支出33.35万元</w:t>
      </w:r>
      <w:r>
        <w:rPr>
          <w:rFonts w:hint="eastAsia" w:ascii="仿宋_GB2312" w:eastAsia="仿宋_GB2312"/>
          <w:color w:val="000000"/>
          <w:sz w:val="28"/>
          <w:szCs w:val="28"/>
          <w:lang w:eastAsia="zh-CN"/>
        </w:rPr>
        <w:t>。</w:t>
      </w:r>
    </w:p>
    <w:p>
      <w:pPr>
        <w:numPr>
          <w:ilvl w:val="0"/>
          <w:numId w:val="1"/>
        </w:numPr>
        <w:spacing w:line="560" w:lineRule="exact"/>
        <w:ind w:firstLine="560" w:firstLineChars="200"/>
        <w:rPr>
          <w:rFonts w:ascii="仿宋_GB2312" w:eastAsia="仿宋_GB2312"/>
          <w:b/>
          <w:bCs/>
          <w:color w:val="000000"/>
          <w:sz w:val="28"/>
          <w:szCs w:val="28"/>
        </w:rPr>
      </w:pPr>
      <w:r>
        <w:rPr>
          <w:rFonts w:hint="eastAsia" w:ascii="仿宋_GB2312" w:eastAsia="仿宋_GB2312"/>
          <w:color w:val="000000"/>
          <w:sz w:val="28"/>
          <w:szCs w:val="28"/>
        </w:rPr>
        <w:t>按支出用途分类，包括人员支出227.34万元，占31.67%；日常公用支出32.51万元，占4.53%；项目支出458万元，占63.8%</w:t>
      </w:r>
      <w:r>
        <w:rPr>
          <w:rFonts w:hint="eastAsia" w:ascii="仿宋_GB2312" w:eastAsia="仿宋_GB2312"/>
          <w:color w:val="000000"/>
          <w:sz w:val="28"/>
          <w:szCs w:val="28"/>
          <w:lang w:eastAsia="zh-CN"/>
        </w:rPr>
        <w:t>。</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结转下年0万元。</w:t>
      </w:r>
    </w:p>
    <w:p>
      <w:pPr>
        <w:widowControl w:val="0"/>
        <w:spacing w:line="590" w:lineRule="exact"/>
        <w:ind w:firstLine="562" w:firstLineChars="200"/>
        <w:rPr>
          <w:rFonts w:ascii="仿宋_GB2312" w:hAnsi="ˎ̥" w:eastAsia="仿宋_GB2312" w:cs="宋体"/>
          <w:b/>
          <w:bCs/>
          <w:sz w:val="28"/>
          <w:szCs w:val="28"/>
        </w:rPr>
      </w:pPr>
      <w:r>
        <w:rPr>
          <w:rFonts w:hint="eastAsia" w:ascii="仿宋_GB2312" w:hAnsi="ˎ̥" w:eastAsia="仿宋_GB2312" w:cs="宋体"/>
          <w:b/>
          <w:bCs/>
          <w:sz w:val="28"/>
          <w:szCs w:val="28"/>
        </w:rPr>
        <w:t>（四）关于市科协2019年财政拨款收支预算情况的总体说明</w:t>
      </w:r>
    </w:p>
    <w:p>
      <w:pPr>
        <w:widowControl w:val="0"/>
        <w:spacing w:line="590" w:lineRule="exact"/>
        <w:ind w:firstLine="560" w:firstLineChars="200"/>
        <w:rPr>
          <w:rFonts w:ascii="仿宋_GB2312" w:eastAsia="仿宋_GB2312"/>
          <w:sz w:val="28"/>
          <w:szCs w:val="28"/>
        </w:rPr>
      </w:pPr>
      <w:r>
        <w:rPr>
          <w:rFonts w:hint="eastAsia" w:ascii="仿宋_GB2312" w:eastAsia="仿宋_GB2312"/>
          <w:sz w:val="28"/>
          <w:szCs w:val="28"/>
        </w:rPr>
        <w:t>市科协部门2019年财政拨款收支总预算717.85万元。</w:t>
      </w:r>
      <w:r>
        <w:rPr>
          <w:rFonts w:hint="eastAsia" w:ascii="仿宋_GB2312" w:hAnsi="ˎ̥" w:eastAsia="仿宋_GB2312" w:cs="宋体"/>
          <w:sz w:val="28"/>
          <w:szCs w:val="28"/>
        </w:rPr>
        <w:t>比上年增加218万元，增长87.2%，</w:t>
      </w:r>
      <w:r>
        <w:rPr>
          <w:rFonts w:hint="eastAsia" w:ascii="仿宋_GB2312" w:eastAsia="仿宋_GB2312"/>
          <w:sz w:val="28"/>
          <w:szCs w:val="28"/>
        </w:rPr>
        <w:t>主要原因是往年需向组织部人才办申报，再由财政划入科协的人才经费在今年直接列入科协2019年度财政预算中。</w:t>
      </w:r>
    </w:p>
    <w:p>
      <w:pPr>
        <w:widowControl w:val="0"/>
        <w:spacing w:line="590" w:lineRule="exact"/>
        <w:ind w:firstLine="560" w:firstLineChars="200"/>
        <w:rPr>
          <w:rFonts w:ascii="仿宋_GB2312" w:eastAsia="仿宋_GB2312"/>
          <w:sz w:val="28"/>
          <w:szCs w:val="28"/>
        </w:rPr>
      </w:pPr>
      <w:r>
        <w:rPr>
          <w:rFonts w:hint="eastAsia" w:ascii="仿宋_GB2312" w:eastAsia="仿宋_GB2312"/>
          <w:sz w:val="28"/>
          <w:szCs w:val="28"/>
        </w:rPr>
        <w:t>收入包括：一般公共预算714.66万元、</w:t>
      </w:r>
      <w:r>
        <w:rPr>
          <w:rFonts w:hint="eastAsia" w:ascii="仿宋_GB2312" w:hAnsi="ˎ̥" w:eastAsia="仿宋_GB2312" w:cs="宋体"/>
          <w:sz w:val="28"/>
          <w:szCs w:val="28"/>
        </w:rPr>
        <w:t>上年结转3.19万元。</w:t>
      </w:r>
    </w:p>
    <w:p>
      <w:pPr>
        <w:widowControl w:val="0"/>
        <w:spacing w:line="590" w:lineRule="exact"/>
        <w:ind w:firstLine="560" w:firstLineChars="200"/>
        <w:rPr>
          <w:rFonts w:ascii="仿宋_GB2312" w:hAnsi="ˎ̥" w:eastAsia="仿宋_GB2312" w:cs="宋体"/>
          <w:sz w:val="28"/>
          <w:szCs w:val="28"/>
        </w:rPr>
      </w:pPr>
      <w:r>
        <w:rPr>
          <w:rFonts w:hint="eastAsia" w:ascii="仿宋_GB2312" w:eastAsia="仿宋_GB2312"/>
          <w:sz w:val="28"/>
          <w:szCs w:val="28"/>
        </w:rPr>
        <w:t>支出包括：科学技术支出684.5万元、社会保障和就业支出33.35万元</w:t>
      </w:r>
      <w:r>
        <w:rPr>
          <w:rFonts w:hint="eastAsia" w:ascii="仿宋_GB2312" w:eastAsia="仿宋_GB2312"/>
          <w:sz w:val="28"/>
          <w:szCs w:val="28"/>
          <w:lang w:eastAsia="zh-CN"/>
        </w:rPr>
        <w:t>。</w:t>
      </w:r>
    </w:p>
    <w:p>
      <w:pPr>
        <w:widowControl w:val="0"/>
        <w:spacing w:line="590" w:lineRule="exact"/>
        <w:ind w:firstLine="562" w:firstLineChars="200"/>
        <w:rPr>
          <w:rFonts w:ascii="仿宋_GB2312" w:eastAsia="仿宋_GB2312"/>
          <w:b/>
          <w:bCs/>
          <w:sz w:val="28"/>
          <w:szCs w:val="28"/>
        </w:rPr>
      </w:pPr>
      <w:r>
        <w:rPr>
          <w:rFonts w:hint="eastAsia" w:ascii="仿宋_GB2312" w:hAnsi="ˎ̥" w:eastAsia="仿宋_GB2312" w:cs="宋体"/>
          <w:b/>
          <w:bCs/>
          <w:sz w:val="28"/>
          <w:szCs w:val="28"/>
        </w:rPr>
        <w:t>（五）关于</w:t>
      </w:r>
      <w:r>
        <w:rPr>
          <w:rFonts w:hint="eastAsia" w:ascii="仿宋_GB2312" w:eastAsia="仿宋_GB2312"/>
          <w:b/>
          <w:bCs/>
          <w:sz w:val="28"/>
          <w:szCs w:val="28"/>
        </w:rPr>
        <w:t>市科协2019年</w:t>
      </w:r>
      <w:r>
        <w:rPr>
          <w:rFonts w:hint="eastAsia" w:ascii="仿宋_GB2312" w:hAnsi="ˎ̥" w:eastAsia="仿宋_GB2312" w:cs="宋体"/>
          <w:b/>
          <w:bCs/>
          <w:sz w:val="28"/>
          <w:szCs w:val="28"/>
        </w:rPr>
        <w:t>一般公共预算当年拨款情况说明</w:t>
      </w:r>
    </w:p>
    <w:p>
      <w:pPr>
        <w:spacing w:line="560" w:lineRule="exact"/>
        <w:ind w:firstLine="642"/>
        <w:rPr>
          <w:rFonts w:ascii="仿宋_GB2312" w:eastAsia="仿宋_GB2312"/>
          <w:sz w:val="28"/>
          <w:szCs w:val="28"/>
        </w:rPr>
      </w:pPr>
      <w:r>
        <w:rPr>
          <w:rFonts w:hint="eastAsia" w:ascii="仿宋_GB2312" w:hAnsi="楷体_GB2312" w:eastAsia="仿宋_GB2312" w:cs="楷体_GB2312"/>
          <w:b/>
          <w:sz w:val="28"/>
          <w:szCs w:val="28"/>
        </w:rPr>
        <w:t>1.一般公共预算当年拨款规模变化情况。</w:t>
      </w:r>
    </w:p>
    <w:p>
      <w:pPr>
        <w:widowControl w:val="0"/>
        <w:spacing w:line="590" w:lineRule="exact"/>
        <w:ind w:firstLine="560" w:firstLineChars="200"/>
        <w:rPr>
          <w:rFonts w:ascii="仿宋_GB2312" w:eastAsia="仿宋_GB2312"/>
          <w:sz w:val="28"/>
          <w:szCs w:val="28"/>
        </w:rPr>
      </w:pPr>
      <w:r>
        <w:rPr>
          <w:rFonts w:hint="eastAsia" w:ascii="仿宋_GB2312" w:eastAsia="仿宋_GB2312"/>
          <w:sz w:val="28"/>
          <w:szCs w:val="28"/>
        </w:rPr>
        <w:t>市科协部门2019年一般公共预算当年拨款71</w:t>
      </w:r>
      <w:r>
        <w:rPr>
          <w:rFonts w:hint="eastAsia" w:ascii="仿宋_GB2312" w:eastAsia="仿宋_GB2312"/>
          <w:sz w:val="28"/>
          <w:szCs w:val="28"/>
          <w:lang w:val="en-US" w:eastAsia="zh-CN"/>
        </w:rPr>
        <w:t>7.85</w:t>
      </w:r>
      <w:r>
        <w:rPr>
          <w:rFonts w:hint="eastAsia" w:ascii="仿宋_GB2312" w:eastAsia="仿宋_GB2312"/>
          <w:sz w:val="28"/>
          <w:szCs w:val="28"/>
        </w:rPr>
        <w:t>万元，比2018年执行数减少139.85万元，</w:t>
      </w:r>
      <w:r>
        <w:rPr>
          <w:rFonts w:hint="eastAsia" w:ascii="仿宋_GB2312" w:hAnsi="ˎ̥" w:eastAsia="仿宋_GB2312" w:cs="宋体"/>
          <w:sz w:val="28"/>
          <w:szCs w:val="28"/>
        </w:rPr>
        <w:t>下降16.31%，</w:t>
      </w:r>
      <w:r>
        <w:rPr>
          <w:rFonts w:hint="eastAsia" w:ascii="仿宋_GB2312" w:eastAsia="仿宋_GB2312"/>
          <w:sz w:val="28"/>
          <w:szCs w:val="28"/>
        </w:rPr>
        <w:t>主要原因是人才经费的支出不可控因素比较大，如当年没有一家企业工作站的建设入选台州市级院士工作站，当年院士工作站建站补助支出就为零。若有一家台州市级就新增支出30万元。</w:t>
      </w:r>
    </w:p>
    <w:p>
      <w:pPr>
        <w:widowControl w:val="0"/>
        <w:spacing w:line="590" w:lineRule="exact"/>
        <w:ind w:firstLine="562" w:firstLineChars="200"/>
        <w:rPr>
          <w:rFonts w:hint="default"/>
          <w:color w:val="auto"/>
          <w:sz w:val="28"/>
          <w:szCs w:val="28"/>
        </w:rPr>
      </w:pPr>
      <w:r>
        <w:rPr>
          <w:rFonts w:hint="eastAsia" w:ascii="仿宋_GB2312" w:hAnsi="ˎ̥" w:eastAsia="仿宋_GB2312" w:cs="宋体"/>
          <w:b/>
          <w:bCs/>
          <w:sz w:val="28"/>
          <w:szCs w:val="28"/>
        </w:rPr>
        <w:t>2. 一般公共预算当年拨款结构情况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科学技术（类）支出684.5万元，占95.35%；社会保障和就业（类）支出33.35万元，占4.65%</w:t>
      </w:r>
      <w:r>
        <w:rPr>
          <w:rFonts w:hint="eastAsia" w:ascii="仿宋_GB2312" w:eastAsia="仿宋_GB2312"/>
          <w:sz w:val="28"/>
          <w:szCs w:val="28"/>
          <w:lang w:eastAsia="zh-CN"/>
        </w:rPr>
        <w:t>。</w:t>
      </w:r>
    </w:p>
    <w:p>
      <w:pPr>
        <w:widowControl w:val="0"/>
        <w:spacing w:line="590" w:lineRule="exact"/>
        <w:ind w:firstLine="562" w:firstLineChars="200"/>
        <w:rPr>
          <w:rFonts w:ascii="仿宋_GB2312" w:hAnsi="ˎ̥" w:eastAsia="仿宋_GB2312" w:cs="宋体"/>
          <w:b/>
          <w:bCs/>
          <w:sz w:val="28"/>
          <w:szCs w:val="28"/>
        </w:rPr>
      </w:pPr>
      <w:r>
        <w:rPr>
          <w:rFonts w:hint="eastAsia" w:ascii="仿宋_GB2312" w:hAnsi="ˎ̥" w:eastAsia="仿宋_GB2312" w:cs="宋体"/>
          <w:b/>
          <w:bCs/>
          <w:sz w:val="28"/>
          <w:szCs w:val="28"/>
        </w:rPr>
        <w:t>3. 一般公共预算当年拨款具体使用情况</w:t>
      </w:r>
    </w:p>
    <w:p>
      <w:pPr>
        <w:spacing w:line="560" w:lineRule="exact"/>
        <w:ind w:firstLine="560" w:firstLineChars="200"/>
        <w:jc w:val="left"/>
        <w:rPr>
          <w:rFonts w:ascii="仿宋_GB2312" w:hAnsi="新宋体" w:eastAsia="仿宋_GB2312" w:cs="宋体"/>
          <w:sz w:val="28"/>
          <w:szCs w:val="28"/>
        </w:rPr>
      </w:pPr>
      <w:r>
        <w:rPr>
          <w:rFonts w:hint="eastAsia" w:ascii="仿宋_GB2312" w:hAnsi="新宋体" w:eastAsia="仿宋_GB2312" w:cs="宋体"/>
          <w:sz w:val="28"/>
          <w:szCs w:val="28"/>
        </w:rPr>
        <w:t>（1）</w:t>
      </w:r>
      <w:r>
        <w:rPr>
          <w:rFonts w:hint="eastAsia" w:ascii="仿宋_GB2312" w:hAnsi="仿宋" w:eastAsia="仿宋_GB2312" w:cs="宋体"/>
          <w:sz w:val="28"/>
          <w:szCs w:val="28"/>
        </w:rPr>
        <w:t>社会保障和就业支出（类）行政事业单位离退休（款）</w:t>
      </w:r>
      <w:r>
        <w:rPr>
          <w:rFonts w:hint="eastAsia" w:ascii="仿宋_GB2312" w:hAnsi="仿宋" w:eastAsia="仿宋_GB2312" w:cs="Arial"/>
          <w:sz w:val="28"/>
          <w:szCs w:val="28"/>
        </w:rPr>
        <w:t>机关事业单位职业年金缴费支出（项）</w:t>
      </w:r>
      <w:r>
        <w:rPr>
          <w:rFonts w:hint="eastAsia" w:ascii="仿宋_GB2312" w:hAnsi="新宋体" w:eastAsia="仿宋_GB2312" w:cs="宋体"/>
          <w:sz w:val="28"/>
          <w:szCs w:val="28"/>
        </w:rPr>
        <w:t>支出9.53万元，主要用于单位在职人员职业年金的支出。</w:t>
      </w:r>
    </w:p>
    <w:p>
      <w:pPr>
        <w:spacing w:line="560" w:lineRule="exact"/>
        <w:ind w:firstLine="560" w:firstLineChars="200"/>
        <w:jc w:val="left"/>
        <w:rPr>
          <w:rFonts w:ascii="仿宋_GB2312" w:hAnsi="新宋体" w:eastAsia="仿宋_GB2312" w:cs="宋体"/>
          <w:sz w:val="28"/>
          <w:szCs w:val="28"/>
        </w:rPr>
      </w:pPr>
      <w:r>
        <w:rPr>
          <w:rFonts w:hint="eastAsia" w:ascii="仿宋_GB2312" w:hAnsi="仿宋" w:eastAsia="仿宋_GB2312" w:cs="宋体"/>
          <w:sz w:val="28"/>
          <w:szCs w:val="28"/>
        </w:rPr>
        <w:t>(2)社会保障和就业支出（类）行政事业单位离退休（款）</w:t>
      </w:r>
      <w:r>
        <w:rPr>
          <w:rFonts w:hint="eastAsia" w:ascii="仿宋_GB2312" w:hAnsi="仿宋" w:eastAsia="仿宋_GB2312" w:cs="Arial"/>
          <w:sz w:val="28"/>
          <w:szCs w:val="28"/>
        </w:rPr>
        <w:t>机关事业单位基本养老保险缴费支出（项）</w:t>
      </w:r>
      <w:r>
        <w:rPr>
          <w:rFonts w:hint="eastAsia" w:ascii="仿宋_GB2312" w:hAnsi="新宋体" w:eastAsia="仿宋_GB2312" w:cs="宋体"/>
          <w:sz w:val="28"/>
          <w:szCs w:val="28"/>
        </w:rPr>
        <w:t>支出23.82万元，主要用于单位在职人员的养老金的支出</w:t>
      </w:r>
    </w:p>
    <w:p>
      <w:pPr>
        <w:spacing w:line="560" w:lineRule="exact"/>
        <w:ind w:firstLine="560" w:firstLineChars="200"/>
        <w:jc w:val="left"/>
        <w:rPr>
          <w:rFonts w:ascii="仿宋_GB2312" w:hAnsi="新宋体" w:eastAsia="仿宋_GB2312" w:cs="宋体"/>
          <w:sz w:val="28"/>
          <w:szCs w:val="28"/>
        </w:rPr>
      </w:pPr>
      <w:r>
        <w:rPr>
          <w:rFonts w:hint="eastAsia" w:ascii="仿宋_GB2312" w:hAnsi="新宋体" w:eastAsia="仿宋_GB2312" w:cs="宋体"/>
          <w:sz w:val="28"/>
          <w:szCs w:val="28"/>
        </w:rPr>
        <w:t>（3）</w:t>
      </w:r>
      <w:r>
        <w:rPr>
          <w:rFonts w:hint="eastAsia" w:ascii="仿宋_GB2312" w:hAnsi="仿宋" w:eastAsia="仿宋_GB2312" w:cs="宋体"/>
          <w:sz w:val="28"/>
          <w:szCs w:val="28"/>
        </w:rPr>
        <w:t>科学技术支出（类）科学技术管理事务（款）行政运行（项）</w:t>
      </w:r>
      <w:r>
        <w:rPr>
          <w:rFonts w:hint="eastAsia" w:ascii="仿宋_GB2312" w:hAnsi="新宋体" w:eastAsia="仿宋_GB2312" w:cs="宋体"/>
          <w:sz w:val="28"/>
          <w:szCs w:val="28"/>
        </w:rPr>
        <w:t>支出226.5万元，主要用于在职的工资，生育、工伤、医疗保险金等保险以及机构运行经费。</w:t>
      </w:r>
    </w:p>
    <w:p>
      <w:pPr>
        <w:spacing w:line="560" w:lineRule="exact"/>
        <w:ind w:firstLine="560" w:firstLineChars="200"/>
        <w:jc w:val="left"/>
        <w:rPr>
          <w:rFonts w:ascii="仿宋_GB2312" w:hAnsi="新宋体" w:eastAsia="仿宋_GB2312" w:cs="宋体"/>
          <w:sz w:val="28"/>
          <w:szCs w:val="28"/>
        </w:rPr>
      </w:pPr>
      <w:r>
        <w:rPr>
          <w:rFonts w:hint="eastAsia" w:ascii="仿宋_GB2312" w:hAnsi="新宋体" w:eastAsia="仿宋_GB2312" w:cs="宋体"/>
          <w:sz w:val="28"/>
          <w:szCs w:val="28"/>
        </w:rPr>
        <w:t>（4）</w:t>
      </w:r>
      <w:r>
        <w:rPr>
          <w:rFonts w:hint="eastAsia" w:ascii="仿宋_GB2312" w:hAnsi="仿宋" w:eastAsia="仿宋_GB2312" w:cs="宋体"/>
          <w:sz w:val="28"/>
          <w:szCs w:val="28"/>
        </w:rPr>
        <w:t>科学技术支出（类）技术研究与开发（款）科技成果转化与扩散（项）</w:t>
      </w:r>
      <w:r>
        <w:rPr>
          <w:rFonts w:hint="eastAsia" w:ascii="仿宋_GB2312" w:hAnsi="新宋体" w:eastAsia="仿宋_GB2312" w:cs="宋体"/>
          <w:sz w:val="28"/>
          <w:szCs w:val="28"/>
        </w:rPr>
        <w:t>支出301万元，</w:t>
      </w:r>
      <w:r>
        <w:rPr>
          <w:rFonts w:hint="eastAsia" w:ascii="仿宋_GB2312" w:hAnsi="仿宋" w:eastAsia="仿宋_GB2312" w:cs="宋体"/>
          <w:sz w:val="28"/>
          <w:szCs w:val="28"/>
        </w:rPr>
        <w:t>科学技术支出（类）科学技术普及（款）科普活动（项）</w:t>
      </w:r>
      <w:r>
        <w:rPr>
          <w:rFonts w:hint="eastAsia" w:ascii="仿宋_GB2312" w:hAnsi="新宋体" w:eastAsia="仿宋_GB2312" w:cs="宋体"/>
          <w:sz w:val="28"/>
          <w:szCs w:val="28"/>
        </w:rPr>
        <w:t>支出130万元，</w:t>
      </w:r>
      <w:r>
        <w:rPr>
          <w:rFonts w:hint="eastAsia" w:ascii="仿宋_GB2312" w:hAnsi="仿宋" w:eastAsia="仿宋_GB2312" w:cs="宋体"/>
          <w:sz w:val="28"/>
          <w:szCs w:val="28"/>
        </w:rPr>
        <w:t>科学技术支出（类）科学技术普及（款）学术交流活动（项）</w:t>
      </w:r>
      <w:r>
        <w:rPr>
          <w:rFonts w:hint="eastAsia" w:ascii="仿宋_GB2312" w:hAnsi="新宋体" w:eastAsia="仿宋_GB2312" w:cs="宋体"/>
          <w:sz w:val="28"/>
          <w:szCs w:val="28"/>
        </w:rPr>
        <w:t>支出27万元，共计458万元，这些均为项目支出。</w:t>
      </w:r>
    </w:p>
    <w:p>
      <w:pPr>
        <w:spacing w:line="560" w:lineRule="exact"/>
        <w:ind w:firstLine="640"/>
        <w:jc w:val="left"/>
        <w:rPr>
          <w:rFonts w:ascii="仿宋_GB2312" w:hAnsi="ˎ̥" w:eastAsia="仿宋_GB2312" w:cs="宋体"/>
          <w:b/>
          <w:bCs/>
          <w:sz w:val="28"/>
          <w:szCs w:val="28"/>
        </w:rPr>
      </w:pPr>
      <w:r>
        <w:rPr>
          <w:rFonts w:hint="eastAsia" w:ascii="仿宋_GB2312" w:eastAsia="仿宋_GB2312"/>
          <w:b/>
          <w:bCs/>
          <w:sz w:val="28"/>
          <w:szCs w:val="28"/>
        </w:rPr>
        <w:t>（六）关于科协部门2019年一</w:t>
      </w:r>
      <w:r>
        <w:rPr>
          <w:rFonts w:hint="eastAsia" w:ascii="仿宋_GB2312" w:hAnsi="ˎ̥" w:eastAsia="仿宋_GB2312" w:cs="宋体"/>
          <w:b/>
          <w:bCs/>
          <w:sz w:val="28"/>
          <w:szCs w:val="28"/>
        </w:rPr>
        <w:t>般公共预算基本支出情况说明</w:t>
      </w:r>
    </w:p>
    <w:p>
      <w:pPr>
        <w:widowControl w:val="0"/>
        <w:spacing w:line="590" w:lineRule="exact"/>
        <w:ind w:firstLine="560" w:firstLineChars="200"/>
        <w:rPr>
          <w:rFonts w:ascii="仿宋_GB2312" w:hAnsi="ˎ̥" w:eastAsia="仿宋_GB2312" w:cs="宋体"/>
          <w:sz w:val="28"/>
          <w:szCs w:val="28"/>
        </w:rPr>
      </w:pPr>
      <w:r>
        <w:rPr>
          <w:rFonts w:hint="eastAsia" w:ascii="仿宋_GB2312" w:hAnsi="ˎ̥" w:eastAsia="仿宋_GB2312" w:cs="宋体"/>
          <w:sz w:val="28"/>
          <w:szCs w:val="28"/>
        </w:rPr>
        <w:t>市科协部门2019年一般公共预算基本支出</w:t>
      </w:r>
      <w:r>
        <w:rPr>
          <w:rFonts w:hint="eastAsia" w:ascii="仿宋_GB2312" w:hAnsi="ˎ̥" w:eastAsia="仿宋_GB2312" w:cs="宋体"/>
          <w:sz w:val="28"/>
          <w:szCs w:val="28"/>
          <w:lang w:val="en-US" w:eastAsia="zh-CN"/>
        </w:rPr>
        <w:t>259.85</w:t>
      </w:r>
      <w:r>
        <w:rPr>
          <w:rFonts w:hint="eastAsia" w:ascii="仿宋_GB2312" w:hAnsi="ˎ̥" w:eastAsia="仿宋_GB2312" w:cs="宋体"/>
          <w:sz w:val="28"/>
          <w:szCs w:val="28"/>
        </w:rPr>
        <w:t>万元，其中：</w:t>
      </w:r>
    </w:p>
    <w:p>
      <w:pPr>
        <w:widowControl w:val="0"/>
        <w:spacing w:line="590" w:lineRule="exact"/>
        <w:ind w:firstLine="642"/>
        <w:rPr>
          <w:rFonts w:ascii="仿宋_GB2312" w:eastAsia="仿宋_GB2312"/>
          <w:sz w:val="28"/>
          <w:szCs w:val="28"/>
        </w:rPr>
      </w:pPr>
      <w:r>
        <w:rPr>
          <w:rFonts w:hint="eastAsia" w:ascii="仿宋_GB2312" w:eastAsia="仿宋_GB2312"/>
          <w:sz w:val="28"/>
          <w:szCs w:val="28"/>
        </w:rPr>
        <w:t>人员经费227.34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pPr>
        <w:widowControl w:val="0"/>
        <w:spacing w:line="590" w:lineRule="exact"/>
        <w:ind w:firstLine="642"/>
        <w:rPr>
          <w:rFonts w:ascii="仿宋_GB2312" w:eastAsia="仿宋_GB2312"/>
          <w:sz w:val="28"/>
          <w:szCs w:val="28"/>
        </w:rPr>
      </w:pPr>
      <w:r>
        <w:rPr>
          <w:rFonts w:hint="eastAsia" w:ascii="仿宋_GB2312" w:eastAsia="仿宋_GB2312"/>
          <w:sz w:val="28"/>
          <w:szCs w:val="28"/>
        </w:rPr>
        <w:t>公用经费32.51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pPr>
        <w:widowControl w:val="0"/>
        <w:spacing w:line="590" w:lineRule="exact"/>
        <w:ind w:firstLine="642"/>
        <w:rPr>
          <w:rFonts w:ascii="仿宋_GB2312" w:eastAsia="仿宋_GB2312"/>
          <w:sz w:val="28"/>
          <w:szCs w:val="28"/>
        </w:rPr>
      </w:pPr>
      <w:r>
        <w:rPr>
          <w:rFonts w:hint="eastAsia" w:ascii="仿宋_GB2312" w:eastAsia="仿宋_GB2312"/>
          <w:sz w:val="28"/>
          <w:szCs w:val="28"/>
        </w:rPr>
        <w:t>其他资本性支出</w:t>
      </w:r>
      <w:r>
        <w:rPr>
          <w:rFonts w:hint="eastAsia" w:ascii="仿宋_GB2312" w:eastAsia="仿宋_GB2312"/>
          <w:sz w:val="28"/>
          <w:szCs w:val="28"/>
          <w:lang w:val="en-US" w:eastAsia="zh-CN"/>
        </w:rPr>
        <w:t>0</w:t>
      </w:r>
      <w:r>
        <w:rPr>
          <w:rFonts w:hint="eastAsia" w:ascii="仿宋_GB2312" w:eastAsia="仿宋_GB2312"/>
          <w:sz w:val="28"/>
          <w:szCs w:val="28"/>
        </w:rPr>
        <w:t>万元。</w:t>
      </w:r>
    </w:p>
    <w:p>
      <w:pPr>
        <w:widowControl w:val="0"/>
        <w:spacing w:line="590" w:lineRule="exact"/>
        <w:ind w:firstLine="642"/>
        <w:rPr>
          <w:rFonts w:ascii="仿宋_GB2312" w:eastAsia="仿宋_GB2312"/>
          <w:b/>
          <w:bCs/>
          <w:sz w:val="28"/>
          <w:szCs w:val="28"/>
        </w:rPr>
      </w:pPr>
      <w:r>
        <w:rPr>
          <w:rFonts w:hint="eastAsia" w:ascii="仿宋_GB2312" w:eastAsia="仿宋_GB2312"/>
          <w:b/>
          <w:bCs/>
          <w:sz w:val="28"/>
          <w:szCs w:val="28"/>
        </w:rPr>
        <w:t>（七）关于市科协部门2019年政府性基金预算支出情况说明</w:t>
      </w:r>
    </w:p>
    <w:p>
      <w:pPr>
        <w:widowControl w:val="0"/>
        <w:spacing w:line="590" w:lineRule="exact"/>
        <w:ind w:firstLine="642"/>
        <w:rPr>
          <w:rFonts w:ascii="仿宋_GB2312" w:eastAsia="仿宋_GB2312"/>
          <w:sz w:val="28"/>
          <w:szCs w:val="28"/>
        </w:rPr>
      </w:pPr>
      <w:r>
        <w:rPr>
          <w:rFonts w:hint="eastAsia" w:ascii="仿宋_GB2312" w:eastAsia="仿宋_GB2312"/>
          <w:bCs/>
          <w:sz w:val="28"/>
          <w:szCs w:val="28"/>
        </w:rPr>
        <w:t>市科协部门2019年没有使用政府性基金预算拨款安排的支出，故本表无数据。</w:t>
      </w:r>
      <w:r>
        <w:rPr>
          <w:rFonts w:hint="eastAsia" w:ascii="仿宋_GB2312" w:eastAsia="仿宋_GB2312"/>
          <w:sz w:val="28"/>
          <w:szCs w:val="28"/>
        </w:rPr>
        <w:t xml:space="preserve"> </w:t>
      </w:r>
    </w:p>
    <w:p>
      <w:pPr>
        <w:widowControl w:val="0"/>
        <w:numPr>
          <w:ilvl w:val="0"/>
          <w:numId w:val="2"/>
        </w:numPr>
        <w:spacing w:line="590" w:lineRule="exact"/>
        <w:ind w:firstLine="562" w:firstLineChars="200"/>
        <w:rPr>
          <w:rFonts w:ascii="仿宋_GB2312" w:hAnsi="ˎ̥" w:eastAsia="仿宋_GB2312" w:cs="宋体"/>
          <w:b/>
          <w:bCs/>
          <w:sz w:val="28"/>
          <w:szCs w:val="28"/>
        </w:rPr>
      </w:pPr>
      <w:r>
        <w:rPr>
          <w:rFonts w:hint="eastAsia" w:ascii="仿宋_GB2312" w:hAnsi="ˎ̥" w:eastAsia="仿宋_GB2312" w:cs="宋体"/>
          <w:b/>
          <w:bCs/>
          <w:sz w:val="28"/>
          <w:szCs w:val="28"/>
        </w:rPr>
        <w:t>关于市科协部门2019年一般公共预算“三公”经费预算情况说明</w:t>
      </w:r>
    </w:p>
    <w:p>
      <w:pPr>
        <w:widowControl w:val="0"/>
        <w:spacing w:line="590" w:lineRule="exact"/>
        <w:ind w:firstLine="840" w:firstLineChars="300"/>
        <w:rPr>
          <w:rFonts w:ascii="仿宋_GB2312" w:hAnsi="ˎ̥" w:eastAsia="仿宋_GB2312" w:cs="宋体"/>
          <w:sz w:val="28"/>
          <w:szCs w:val="28"/>
        </w:rPr>
      </w:pPr>
      <w:r>
        <w:rPr>
          <w:rFonts w:hint="eastAsia" w:ascii="仿宋_GB2312" w:hAnsi="ˎ̥" w:eastAsia="仿宋_GB2312" w:cs="宋体"/>
          <w:sz w:val="28"/>
          <w:szCs w:val="28"/>
        </w:rPr>
        <w:t>市科协部门2019年“三公”经费预算数为6.88万元，比2018年执行数增加4.72万元，增长218.52%，具体如下：</w:t>
      </w:r>
    </w:p>
    <w:p>
      <w:pPr>
        <w:widowControl w:val="0"/>
        <w:spacing w:line="590" w:lineRule="exact"/>
        <w:ind w:firstLine="560" w:firstLineChars="200"/>
        <w:rPr>
          <w:rFonts w:ascii="仿宋_GB2312" w:hAnsi="ˎ̥" w:eastAsia="仿宋_GB2312" w:cs="宋体"/>
          <w:sz w:val="28"/>
          <w:szCs w:val="28"/>
        </w:rPr>
      </w:pPr>
      <w:r>
        <w:rPr>
          <w:rFonts w:hint="eastAsia" w:ascii="仿宋_GB2312" w:hAnsi="ˎ̥" w:eastAsia="仿宋_GB2312" w:cs="宋体"/>
          <w:sz w:val="28"/>
          <w:szCs w:val="28"/>
        </w:rPr>
        <w:t>1.因公出国（境）费用：根据因公出国计划和实际工作需要，2019年安排因公出国（境）费用预算0万元，主要用于机关及下属预算单位人员的等公务出国（境）的国际旅费、国外城市间交通费、住宿费、伙食费、培训费、公杂费等支出。</w:t>
      </w:r>
      <w:r>
        <w:rPr>
          <w:rFonts w:hint="eastAsia" w:ascii="仿宋_GB2312" w:hAnsi="仿宋_GB2312" w:eastAsia="仿宋_GB2312" w:cs="仿宋_GB2312"/>
          <w:sz w:val="28"/>
          <w:szCs w:val="28"/>
        </w:rPr>
        <w:t>与</w:t>
      </w:r>
      <w:r>
        <w:rPr>
          <w:rFonts w:hint="eastAsia" w:ascii="仿宋_GB2312" w:eastAsia="仿宋_GB2312" w:cs="仿宋_GB2312"/>
          <w:sz w:val="28"/>
          <w:szCs w:val="28"/>
        </w:rPr>
        <w:t>2018</w:t>
      </w:r>
      <w:r>
        <w:rPr>
          <w:rFonts w:hint="eastAsia" w:ascii="仿宋_GB2312" w:hAnsi="仿宋_GB2312" w:eastAsia="仿宋_GB2312" w:cs="仿宋_GB2312"/>
          <w:sz w:val="28"/>
          <w:szCs w:val="28"/>
        </w:rPr>
        <w:t>年执行数持平</w:t>
      </w:r>
      <w:r>
        <w:rPr>
          <w:rFonts w:hint="eastAsia" w:ascii="仿宋_GB2312" w:hAnsi="ˎ̥" w:eastAsia="仿宋_GB2312" w:cs="宋体"/>
          <w:sz w:val="28"/>
          <w:szCs w:val="28"/>
        </w:rPr>
        <w:t>。主要原因是</w:t>
      </w:r>
      <w:r>
        <w:rPr>
          <w:rFonts w:hint="eastAsia" w:ascii="仿宋_GB2312" w:hAnsi="新宋体" w:eastAsia="仿宋_GB2312" w:cs="宋体"/>
          <w:sz w:val="28"/>
          <w:szCs w:val="28"/>
        </w:rPr>
        <w:t>2019年没有安排因公出国（境）费用。</w:t>
      </w:r>
    </w:p>
    <w:p>
      <w:pPr>
        <w:widowControl w:val="0"/>
        <w:spacing w:line="590" w:lineRule="exact"/>
        <w:ind w:firstLine="560" w:firstLineChars="200"/>
        <w:rPr>
          <w:rFonts w:ascii="仿宋_GB2312" w:hAnsi="ˎ̥" w:eastAsia="仿宋_GB2312" w:cs="宋体"/>
          <w:sz w:val="28"/>
          <w:szCs w:val="28"/>
        </w:rPr>
      </w:pPr>
      <w:r>
        <w:rPr>
          <w:rFonts w:hint="eastAsia" w:ascii="仿宋_GB2312" w:hAnsi="ˎ̥" w:eastAsia="仿宋_GB2312" w:cs="宋体"/>
          <w:sz w:val="28"/>
          <w:szCs w:val="28"/>
        </w:rPr>
        <w:t>2.公务接待费：2019年安排公务接待费预算6.11万元，比上年执行数增长196.6%，（2018年公务接待费执行数为2.06万元，主要是科协在2018年召开科协五年一次的换届大会，相比上年与外界的沟通减少了许多，故执行数很低。而</w:t>
      </w:r>
      <w:r>
        <w:rPr>
          <w:rFonts w:hint="eastAsia" w:ascii="仿宋_GB2312" w:hAnsi="新宋体" w:eastAsia="仿宋_GB2312" w:cs="宋体"/>
          <w:sz w:val="28"/>
          <w:szCs w:val="28"/>
        </w:rPr>
        <w:t>2018年预算安排公务接待费预算6.43万元，今年比上年减少5 %</w:t>
      </w:r>
      <w:r>
        <w:rPr>
          <w:rFonts w:hint="eastAsia" w:ascii="仿宋_GB2312" w:hAnsi="ˎ̥" w:eastAsia="仿宋_GB2312" w:cs="宋体"/>
          <w:sz w:val="28"/>
          <w:szCs w:val="28"/>
        </w:rPr>
        <w:t>）。主要用于</w:t>
      </w:r>
      <w:r>
        <w:rPr>
          <w:rFonts w:hint="eastAsia" w:ascii="仿宋_GB2312" w:hAnsi="新宋体" w:eastAsia="仿宋_GB2312" w:cs="宋体"/>
          <w:sz w:val="28"/>
          <w:szCs w:val="28"/>
        </w:rPr>
        <w:t>接待温岭籍外地科技人员，及高校专家，工作交流的接待费用等支出。</w:t>
      </w:r>
      <w:r>
        <w:rPr>
          <w:rFonts w:hint="eastAsia" w:ascii="仿宋_GB2312" w:hAnsi="ˎ̥" w:eastAsia="仿宋_GB2312" w:cs="宋体"/>
          <w:sz w:val="28"/>
          <w:szCs w:val="28"/>
        </w:rPr>
        <w:t>减少的主要原因是</w:t>
      </w:r>
      <w:r>
        <w:rPr>
          <w:rFonts w:hint="eastAsia" w:ascii="仿宋_GB2312" w:hAnsi="新宋体" w:eastAsia="仿宋_GB2312" w:cs="宋体"/>
          <w:sz w:val="28"/>
          <w:szCs w:val="28"/>
        </w:rPr>
        <w:t>根据国家政策，单位严格把关，尽量减少没必要的接待工作，从而减少费用的支出。</w:t>
      </w:r>
    </w:p>
    <w:p>
      <w:pPr>
        <w:spacing w:line="590" w:lineRule="exact"/>
        <w:ind w:firstLine="642"/>
        <w:jc w:val="left"/>
        <w:rPr>
          <w:rFonts w:ascii="仿宋_GB2312" w:hAnsi="新宋体" w:eastAsia="仿宋_GB2312" w:cs="宋体"/>
          <w:sz w:val="28"/>
          <w:szCs w:val="28"/>
        </w:rPr>
      </w:pPr>
      <w:r>
        <w:rPr>
          <w:rFonts w:hint="eastAsia" w:ascii="仿宋_GB2312" w:hAnsi="ˎ̥" w:eastAsia="仿宋_GB2312" w:cs="宋体"/>
          <w:sz w:val="28"/>
          <w:szCs w:val="28"/>
        </w:rPr>
        <w:t>3. 公务用车购置及运行维护费：2019年安排公务用车购置及运行维护费预算0.7</w:t>
      </w:r>
      <w:r>
        <w:rPr>
          <w:rFonts w:hint="eastAsia" w:ascii="仿宋_GB2312" w:hAnsi="ˎ̥" w:eastAsia="仿宋_GB2312" w:cs="宋体"/>
          <w:sz w:val="28"/>
          <w:szCs w:val="28"/>
          <w:lang w:val="en-US" w:eastAsia="zh-CN"/>
        </w:rPr>
        <w:t>7</w:t>
      </w:r>
      <w:r>
        <w:rPr>
          <w:rFonts w:hint="eastAsia" w:ascii="仿宋_GB2312" w:hAnsi="ˎ̥" w:eastAsia="仿宋_GB2312" w:cs="宋体"/>
          <w:sz w:val="28"/>
          <w:szCs w:val="28"/>
        </w:rPr>
        <w:t>万元，比上年执行数增长660%。（2018年租车费执行数为0.1万元）,</w:t>
      </w:r>
      <w:r>
        <w:rPr>
          <w:rFonts w:hint="eastAsia" w:ascii="仿宋_GB2312" w:hAnsi="新宋体" w:eastAsia="仿宋_GB2312" w:cs="宋体"/>
          <w:sz w:val="28"/>
          <w:szCs w:val="28"/>
        </w:rPr>
        <w:t>实际是单位公务交通补贴的租车费，因为单位车改已无公务车，就没有“公务用车购置费”和“公务用车运行费”。</w:t>
      </w:r>
      <w:r>
        <w:rPr>
          <w:rFonts w:hint="eastAsia" w:ascii="仿宋_GB2312" w:hAnsi="ˎ̥" w:eastAsia="仿宋_GB2312" w:cs="宋体"/>
          <w:sz w:val="28"/>
          <w:szCs w:val="28"/>
        </w:rPr>
        <w:t>增加的是交通补贴费（租车费），增加</w:t>
      </w:r>
      <w:r>
        <w:rPr>
          <w:rFonts w:hint="eastAsia" w:ascii="仿宋_GB2312" w:hAnsi="新宋体" w:eastAsia="仿宋_GB2312" w:cs="宋体"/>
          <w:sz w:val="28"/>
          <w:szCs w:val="28"/>
        </w:rPr>
        <w:t>是因为单位新增加一位同志因此新增交通补贴的租车费。（2018年预算安排租车补贴0.69万元，增长10.14%）</w:t>
      </w:r>
    </w:p>
    <w:p>
      <w:pPr>
        <w:widowControl w:val="0"/>
        <w:spacing w:line="590" w:lineRule="exact"/>
        <w:ind w:firstLine="562" w:firstLineChars="200"/>
        <w:rPr>
          <w:rFonts w:ascii="仿宋_GB2312" w:hAnsi="ˎ̥" w:eastAsia="仿宋_GB2312" w:cs="宋体"/>
          <w:b/>
          <w:bCs/>
          <w:sz w:val="28"/>
          <w:szCs w:val="28"/>
        </w:rPr>
      </w:pPr>
      <w:r>
        <w:rPr>
          <w:rFonts w:hint="eastAsia" w:ascii="仿宋_GB2312" w:hAnsi="ˎ̥" w:eastAsia="仿宋_GB2312" w:cs="宋体"/>
          <w:b/>
          <w:bCs/>
          <w:sz w:val="28"/>
          <w:szCs w:val="28"/>
        </w:rPr>
        <w:t>（九）其他重要事项的情况说明</w:t>
      </w:r>
    </w:p>
    <w:p>
      <w:pPr>
        <w:widowControl w:val="0"/>
        <w:spacing w:line="590" w:lineRule="exact"/>
        <w:ind w:firstLine="562" w:firstLineChars="200"/>
        <w:rPr>
          <w:rFonts w:ascii="仿宋_GB2312" w:hAnsi="ˎ̥" w:eastAsia="仿宋_GB2312" w:cs="宋体"/>
          <w:b/>
          <w:bCs/>
          <w:sz w:val="28"/>
          <w:szCs w:val="28"/>
        </w:rPr>
      </w:pPr>
      <w:r>
        <w:rPr>
          <w:rFonts w:hint="eastAsia" w:ascii="仿宋_GB2312" w:hAnsi="ˎ̥" w:eastAsia="仿宋_GB2312" w:cs="宋体"/>
          <w:b/>
          <w:bCs/>
          <w:sz w:val="28"/>
          <w:szCs w:val="28"/>
        </w:rPr>
        <w:t>1.机关运行经费</w:t>
      </w:r>
    </w:p>
    <w:p>
      <w:pPr>
        <w:widowControl w:val="0"/>
        <w:spacing w:line="590" w:lineRule="exact"/>
        <w:ind w:firstLine="560" w:firstLineChars="200"/>
        <w:rPr>
          <w:rFonts w:ascii="仿宋_GB2312" w:hAnsi="ˎ̥" w:eastAsia="仿宋_GB2312" w:cs="宋体"/>
          <w:sz w:val="28"/>
          <w:szCs w:val="28"/>
        </w:rPr>
      </w:pPr>
      <w:r>
        <w:rPr>
          <w:rFonts w:hint="eastAsia" w:ascii="仿宋_GB2312" w:hAnsi="ˎ̥" w:eastAsia="仿宋_GB2312" w:cs="宋体"/>
          <w:sz w:val="28"/>
          <w:szCs w:val="28"/>
        </w:rPr>
        <w:t>2019年市科协本级的机关运行经费财政拨款预算32.51万元，比2018年预算增加1.56万元，增长5.04%，主要是新增一名同志，2019年的运行费标准提高。</w:t>
      </w:r>
    </w:p>
    <w:p>
      <w:pPr>
        <w:widowControl w:val="0"/>
        <w:spacing w:line="590" w:lineRule="exact"/>
        <w:ind w:firstLine="562" w:firstLineChars="200"/>
        <w:rPr>
          <w:rFonts w:ascii="仿宋_GB2312" w:hAnsi="ˎ̥" w:eastAsia="仿宋_GB2312" w:cs="宋体"/>
          <w:b/>
          <w:bCs/>
          <w:sz w:val="28"/>
          <w:szCs w:val="28"/>
        </w:rPr>
      </w:pPr>
      <w:r>
        <w:rPr>
          <w:rFonts w:hint="eastAsia" w:ascii="仿宋_GB2312" w:hAnsi="ˎ̥" w:eastAsia="仿宋_GB2312" w:cs="宋体"/>
          <w:b/>
          <w:bCs/>
          <w:sz w:val="28"/>
          <w:szCs w:val="28"/>
        </w:rPr>
        <w:t>2.政府采购情况</w:t>
      </w:r>
    </w:p>
    <w:p>
      <w:pPr>
        <w:widowControl w:val="0"/>
        <w:spacing w:line="590" w:lineRule="exact"/>
        <w:ind w:firstLine="560" w:firstLineChars="200"/>
        <w:rPr>
          <w:rFonts w:ascii="仿宋_GB2312" w:hAnsi="ˎ̥" w:eastAsia="仿宋_GB2312" w:cs="宋体"/>
          <w:sz w:val="28"/>
          <w:szCs w:val="28"/>
        </w:rPr>
      </w:pPr>
      <w:r>
        <w:rPr>
          <w:rFonts w:hint="eastAsia" w:ascii="仿宋_GB2312" w:hAnsi="ˎ̥" w:eastAsia="仿宋_GB2312" w:cs="宋体"/>
          <w:sz w:val="28"/>
          <w:szCs w:val="28"/>
        </w:rPr>
        <w:t>2019年科协部门各单位政府采购预算总额9.5万元，其中：政府采购货物预算9.5万元、政府采购工程预算0万元、政府采购服务预算0万元。</w:t>
      </w:r>
    </w:p>
    <w:p>
      <w:pPr>
        <w:widowControl w:val="0"/>
        <w:spacing w:line="590" w:lineRule="exact"/>
        <w:ind w:firstLine="562" w:firstLineChars="200"/>
        <w:rPr>
          <w:rFonts w:ascii="仿宋_GB2312" w:hAnsi="ˎ̥" w:eastAsia="仿宋_GB2312" w:cs="宋体"/>
          <w:b/>
          <w:bCs/>
          <w:sz w:val="28"/>
          <w:szCs w:val="28"/>
        </w:rPr>
      </w:pPr>
      <w:r>
        <w:rPr>
          <w:rFonts w:hint="eastAsia" w:ascii="仿宋_GB2312" w:hAnsi="ˎ̥" w:eastAsia="仿宋_GB2312" w:cs="宋体"/>
          <w:b/>
          <w:bCs/>
          <w:sz w:val="28"/>
          <w:szCs w:val="28"/>
        </w:rPr>
        <w:t>3.国有资产占有使用情况</w:t>
      </w:r>
    </w:p>
    <w:p>
      <w:pPr>
        <w:widowControl w:val="0"/>
        <w:spacing w:line="590" w:lineRule="exact"/>
        <w:ind w:firstLine="560" w:firstLineChars="200"/>
        <w:rPr>
          <w:rFonts w:ascii="仿宋_GB2312" w:hAnsi="ˎ̥" w:eastAsia="仿宋_GB2312" w:cs="宋体"/>
          <w:sz w:val="28"/>
          <w:szCs w:val="28"/>
        </w:rPr>
      </w:pPr>
      <w:r>
        <w:rPr>
          <w:rFonts w:hint="eastAsia" w:ascii="仿宋_GB2312" w:hAnsi="ˎ̥" w:eastAsia="仿宋_GB2312" w:cs="宋体"/>
          <w:sz w:val="28"/>
          <w:szCs w:val="28"/>
        </w:rPr>
        <w:t>截至2018年12月31日，市科协部门所属各预算单位共有车辆0辆，其中，领导用车0辆、机要通信用车及应急保障用车0辆、一般公务用车0辆、执法执勤用车0辆、特种专业技术用车0辆、老干部服务用车0辆、行政执法专用车0辆。单位价值50万元以上通用设备0台（套），单位价值100万元以上专用设备0台（套）</w:t>
      </w:r>
      <w:r>
        <w:rPr>
          <w:rFonts w:hint="eastAsia" w:ascii="仿宋_GB2312" w:eastAsia="仿宋_GB2312"/>
          <w:sz w:val="28"/>
          <w:szCs w:val="28"/>
        </w:rPr>
        <w:t>。</w:t>
      </w:r>
      <w:r>
        <w:rPr>
          <w:rFonts w:hint="eastAsia" w:ascii="仿宋_GB2312" w:hAnsi="ˎ̥" w:eastAsia="仿宋_GB2312" w:cs="宋体"/>
          <w:sz w:val="28"/>
          <w:szCs w:val="28"/>
        </w:rPr>
        <w:t xml:space="preserve"> </w:t>
      </w:r>
    </w:p>
    <w:p>
      <w:pPr>
        <w:widowControl w:val="0"/>
        <w:spacing w:line="590" w:lineRule="exact"/>
        <w:ind w:firstLine="642"/>
        <w:rPr>
          <w:rFonts w:ascii="仿宋_GB2312" w:hAnsi="ˎ̥" w:eastAsia="仿宋_GB2312" w:cs="宋体"/>
          <w:sz w:val="28"/>
          <w:szCs w:val="28"/>
        </w:rPr>
      </w:pPr>
      <w:r>
        <w:rPr>
          <w:rFonts w:hint="eastAsia" w:ascii="仿宋_GB2312" w:hAnsi="ˎ̥" w:eastAsia="仿宋_GB2312" w:cs="宋体"/>
          <w:sz w:val="28"/>
          <w:szCs w:val="28"/>
        </w:rPr>
        <w:t>2019年部门预算未安排购置车辆、单位价值50万元以上通用设备及单位价值100万元以上专用设备</w:t>
      </w:r>
      <w:r>
        <w:rPr>
          <w:rFonts w:hint="eastAsia" w:ascii="仿宋_GB2312" w:eastAsia="仿宋_GB2312"/>
          <w:sz w:val="28"/>
          <w:szCs w:val="28"/>
        </w:rPr>
        <w:t>。</w:t>
      </w:r>
      <w:r>
        <w:rPr>
          <w:rFonts w:hint="eastAsia" w:ascii="仿宋_GB2312" w:hAnsi="ˎ̥" w:eastAsia="仿宋_GB2312" w:cs="宋体"/>
          <w:sz w:val="28"/>
          <w:szCs w:val="28"/>
        </w:rPr>
        <w:t xml:space="preserve"> </w:t>
      </w:r>
    </w:p>
    <w:p>
      <w:pPr>
        <w:widowControl w:val="0"/>
        <w:spacing w:line="590" w:lineRule="exact"/>
        <w:ind w:firstLine="562" w:firstLineChars="200"/>
        <w:rPr>
          <w:rFonts w:ascii="仿宋_GB2312" w:hAnsi="ˎ̥" w:eastAsia="仿宋_GB2312" w:cs="宋体"/>
          <w:b/>
          <w:bCs/>
          <w:sz w:val="28"/>
          <w:szCs w:val="28"/>
        </w:rPr>
      </w:pPr>
      <w:r>
        <w:rPr>
          <w:rFonts w:hint="eastAsia" w:ascii="仿宋_GB2312" w:hAnsi="ˎ̥" w:eastAsia="仿宋_GB2312" w:cs="宋体"/>
          <w:b/>
          <w:bCs/>
          <w:sz w:val="28"/>
          <w:szCs w:val="28"/>
        </w:rPr>
        <w:t>4.绩效目标设置情况</w:t>
      </w:r>
    </w:p>
    <w:p>
      <w:pPr>
        <w:ind w:firstLine="560" w:firstLineChars="200"/>
        <w:rPr>
          <w:rFonts w:ascii="仿宋_GB2312" w:hAnsi="ˎ̥" w:eastAsia="仿宋_GB2312" w:cs="宋体"/>
          <w:sz w:val="28"/>
          <w:szCs w:val="28"/>
        </w:rPr>
      </w:pPr>
      <w:r>
        <w:rPr>
          <w:rFonts w:hint="eastAsia" w:ascii="仿宋_GB2312" w:hAnsi="ˎ̥" w:eastAsia="仿宋_GB2312" w:cs="宋体"/>
          <w:sz w:val="28"/>
          <w:szCs w:val="28"/>
        </w:rPr>
        <w:t>2019年市科协部门整体绩效目标是</w:t>
      </w:r>
      <w:r>
        <w:rPr>
          <w:rFonts w:hint="eastAsia" w:ascii="仿宋_GB2312" w:hAnsi="宋体" w:eastAsia="仿宋_GB2312" w:cs="宋体"/>
          <w:sz w:val="28"/>
          <w:szCs w:val="28"/>
        </w:rPr>
        <w:t>进一步深化三服务一加强职能。落实好公民科学素质纲要的要求，搞好科学普及工作；发挥政府和科技人员之间的桥梁作用，做好科技人员之家的建设；加强温岭籍在外科技人员联谊会的建设；做好非公企业科协的组织建设，充分发挥科技人才在企业转型升级中的主力军作用；做好院士专家对接温岭企业活动；做好“金桥工程”工作等，助推我市经济社会事业发展。</w:t>
      </w:r>
      <w:r>
        <w:rPr>
          <w:rFonts w:hint="eastAsia" w:ascii="仿宋_GB2312" w:hAnsi="ˎ̥" w:eastAsia="仿宋_GB2312" w:cs="宋体"/>
          <w:sz w:val="28"/>
          <w:szCs w:val="28"/>
        </w:rPr>
        <w:t>专项公用类、政策性项目和发展建设类项目均实行绩效目标管理，涉及一般公共预算当年拨款458万元。</w:t>
      </w:r>
    </w:p>
    <w:p>
      <w:pPr>
        <w:spacing w:line="590" w:lineRule="exact"/>
        <w:ind w:firstLine="562" w:firstLineChars="200"/>
        <w:rPr>
          <w:rFonts w:hint="eastAsia" w:ascii="仿宋_GB2312" w:hAnsi="ˎ̥" w:eastAsia="仿宋_GB2312" w:cs="宋体"/>
          <w:b/>
          <w:sz w:val="28"/>
          <w:szCs w:val="28"/>
        </w:rPr>
      </w:pPr>
      <w:r>
        <w:rPr>
          <w:rFonts w:hint="eastAsia" w:ascii="仿宋_GB2312" w:hAnsi="ˎ̥" w:eastAsia="仿宋_GB2312" w:cs="宋体"/>
          <w:b/>
          <w:sz w:val="28"/>
          <w:szCs w:val="28"/>
        </w:rPr>
        <w:t>三、名词解释</w:t>
      </w:r>
    </w:p>
    <w:p>
      <w:pPr>
        <w:pStyle w:val="8"/>
        <w:spacing w:line="560" w:lineRule="exact"/>
        <w:ind w:firstLine="560" w:firstLineChars="200"/>
        <w:rPr>
          <w:rFonts w:ascii="仿宋_GB2312" w:eastAsia="仿宋_GB2312"/>
          <w:sz w:val="28"/>
          <w:szCs w:val="28"/>
        </w:rPr>
      </w:pPr>
      <w:r>
        <w:rPr>
          <w:rFonts w:hint="eastAsia" w:ascii="仿宋_GB2312" w:eastAsia="仿宋_GB2312"/>
          <w:sz w:val="28"/>
          <w:szCs w:val="28"/>
        </w:rPr>
        <w:t>1.财政拨款收入：本级财政部门当年拨付的财政预算资金，包括一般公共预算财政拨款和政府性基金预算财政拨款。</w:t>
      </w:r>
    </w:p>
    <w:p>
      <w:pPr>
        <w:pStyle w:val="8"/>
        <w:spacing w:line="560" w:lineRule="exact"/>
        <w:rPr>
          <w:rFonts w:ascii="仿宋_GB2312" w:eastAsia="仿宋_GB2312"/>
          <w:sz w:val="28"/>
          <w:szCs w:val="28"/>
        </w:rPr>
      </w:pPr>
      <w:r>
        <w:rPr>
          <w:rFonts w:hint="eastAsia" w:ascii="仿宋_GB2312" w:eastAsia="仿宋_GB2312"/>
          <w:sz w:val="28"/>
          <w:szCs w:val="28"/>
        </w:rPr>
        <w:t xml:space="preserve">    2.专户资金:教育收费作为本部门的事业收入，纳入财政专户管理的资金。</w:t>
      </w:r>
    </w:p>
    <w:p>
      <w:pPr>
        <w:pStyle w:val="8"/>
        <w:spacing w:line="560" w:lineRule="exact"/>
        <w:ind w:firstLine="640"/>
        <w:rPr>
          <w:rFonts w:ascii="仿宋_GB2312" w:eastAsia="仿宋_GB2312"/>
          <w:sz w:val="28"/>
          <w:szCs w:val="28"/>
        </w:rPr>
      </w:pPr>
      <w:r>
        <w:rPr>
          <w:rFonts w:hint="eastAsia" w:ascii="仿宋_GB2312" w:eastAsia="仿宋_GB2312"/>
          <w:sz w:val="28"/>
          <w:szCs w:val="28"/>
        </w:rPr>
        <w:t>3.事业收入：事业单位开展专业业务活动及辅助活动所取得的收入，不含专户资金收入。</w:t>
      </w:r>
    </w:p>
    <w:p>
      <w:pPr>
        <w:pStyle w:val="8"/>
        <w:spacing w:line="560" w:lineRule="exact"/>
        <w:ind w:firstLine="640"/>
        <w:rPr>
          <w:rFonts w:ascii="仿宋_GB2312" w:eastAsia="仿宋_GB2312"/>
          <w:sz w:val="28"/>
          <w:szCs w:val="28"/>
        </w:rPr>
      </w:pPr>
      <w:r>
        <w:rPr>
          <w:rFonts w:hint="eastAsia" w:ascii="仿宋_GB2312" w:eastAsia="仿宋_GB2312"/>
          <w:sz w:val="28"/>
          <w:szCs w:val="28"/>
        </w:rPr>
        <w:t>4.事业单位经营收入：事业单位在专业业务活动及辅助活动之外开展非独立核算经营活动取得的收入。</w:t>
      </w:r>
    </w:p>
    <w:p>
      <w:pPr>
        <w:pStyle w:val="8"/>
        <w:spacing w:line="560" w:lineRule="exact"/>
        <w:rPr>
          <w:rFonts w:ascii="仿宋_GB2312" w:eastAsia="仿宋_GB2312"/>
          <w:sz w:val="28"/>
          <w:szCs w:val="28"/>
        </w:rPr>
      </w:pPr>
      <w:r>
        <w:rPr>
          <w:rFonts w:hint="eastAsia" w:ascii="仿宋_GB2312" w:eastAsia="仿宋_GB2312"/>
          <w:sz w:val="28"/>
          <w:szCs w:val="28"/>
        </w:rPr>
        <w:t xml:space="preserve">    5.其他收入：预算单位在“一般公共预算”“政府性基金”“专户资金”“事业收入”“事业单位经营收入”等之外取得的各项收入（含上级补助收入和附属单位缴款等收入）。</w:t>
      </w:r>
    </w:p>
    <w:p>
      <w:pPr>
        <w:pStyle w:val="8"/>
        <w:spacing w:line="560" w:lineRule="exact"/>
        <w:rPr>
          <w:rFonts w:ascii="仿宋_GB2312" w:eastAsia="仿宋_GB2312"/>
          <w:sz w:val="28"/>
          <w:szCs w:val="28"/>
        </w:rPr>
      </w:pPr>
      <w:r>
        <w:rPr>
          <w:rFonts w:hint="eastAsia" w:ascii="仿宋_GB2312" w:eastAsia="仿宋_GB2312"/>
          <w:sz w:val="28"/>
          <w:szCs w:val="28"/>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sz w:val="28"/>
          <w:szCs w:val="28"/>
        </w:rPr>
        <w:t>年支出的情况下，使</w:t>
      </w:r>
      <w:r>
        <w:rPr>
          <w:rFonts w:hint="eastAsia" w:ascii="仿宋_GB2312" w:eastAsia="仿宋_GB2312"/>
          <w:sz w:val="28"/>
          <w:szCs w:val="28"/>
        </w:rPr>
        <w:t>用以前年度积累的事业基金弥补本年收支缺口的资金。</w:t>
      </w:r>
    </w:p>
    <w:p>
      <w:pPr>
        <w:spacing w:line="560" w:lineRule="exact"/>
        <w:ind w:firstLine="560" w:firstLineChars="200"/>
        <w:rPr>
          <w:rFonts w:ascii="仿宋_GB2312" w:eastAsia="仿宋_GB2312"/>
          <w:sz w:val="28"/>
          <w:szCs w:val="28"/>
        </w:rPr>
      </w:pPr>
      <w:r>
        <w:rPr>
          <w:rFonts w:hint="eastAsia" w:ascii="仿宋_GB2312" w:eastAsia="仿宋_GB2312"/>
          <w:bCs/>
          <w:sz w:val="28"/>
          <w:szCs w:val="28"/>
        </w:rPr>
        <w:t>7.</w:t>
      </w:r>
      <w:r>
        <w:rPr>
          <w:rFonts w:hint="eastAsia" w:ascii="仿宋_GB2312" w:eastAsia="仿宋_GB2312"/>
          <w:sz w:val="28"/>
          <w:szCs w:val="28"/>
        </w:rPr>
        <w:t>上年结转：指以前年度尚未完成、结转到本年仍按原规定用途继续使用的资金。</w:t>
      </w:r>
    </w:p>
    <w:p>
      <w:pPr>
        <w:spacing w:line="560"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8.基本支出：是预算单位为保障其正常运转，完成日常工作任务所发生的支出，包括人员支出和日常公用支出。</w:t>
      </w:r>
    </w:p>
    <w:p>
      <w:pPr>
        <w:spacing w:line="560" w:lineRule="exact"/>
        <w:ind w:firstLine="560" w:firstLineChars="200"/>
        <w:jc w:val="left"/>
        <w:rPr>
          <w:rFonts w:ascii="仿宋_GB2312" w:hAnsi="仿宋_GB2312" w:eastAsia="仿宋_GB2312"/>
          <w:sz w:val="28"/>
          <w:szCs w:val="28"/>
        </w:rPr>
      </w:pPr>
      <w:r>
        <w:rPr>
          <w:rFonts w:hint="eastAsia" w:ascii="仿宋_GB2312" w:hAnsi="仿宋_GB2312" w:eastAsia="仿宋_GB2312"/>
          <w:sz w:val="28"/>
          <w:szCs w:val="28"/>
        </w:rPr>
        <w:t>9.项目支出：是预算单位为完成其特定的行政工作任务或事业发展目标所发生的支出。</w:t>
      </w:r>
    </w:p>
    <w:p>
      <w:pPr>
        <w:spacing w:line="560" w:lineRule="exact"/>
        <w:ind w:firstLine="560" w:firstLineChars="200"/>
        <w:jc w:val="left"/>
        <w:rPr>
          <w:rFonts w:ascii="仿宋_GB2312" w:hAnsi="仿宋_GB2312" w:eastAsia="仿宋_GB2312"/>
          <w:sz w:val="28"/>
          <w:szCs w:val="28"/>
        </w:rPr>
      </w:pPr>
      <w:r>
        <w:rPr>
          <w:rFonts w:hint="eastAsia" w:ascii="仿宋_GB2312" w:eastAsia="仿宋_GB2312"/>
          <w:bCs/>
          <w:sz w:val="28"/>
          <w:szCs w:val="28"/>
        </w:rPr>
        <w:t>10.</w:t>
      </w:r>
      <w:r>
        <w:rPr>
          <w:rFonts w:hint="eastAsia" w:ascii="仿宋_GB2312" w:hAnsi="仿宋_GB2312" w:eastAsia="仿宋_GB2312"/>
          <w:sz w:val="28"/>
          <w:szCs w:val="28"/>
        </w:rPr>
        <w:t>机关运行经费：机关运行经费是指各部门机关及参公单位的公用经费，包括办公及印刷费、水电费、邮电费、差旅费、会议费、福利费、物业管理费、日常维修费、专用材料费、日常办公设备购置费、公务用车运行维护费以及其他费用（其他交通费用、其他商品和服务支出）。</w:t>
      </w:r>
    </w:p>
    <w:p>
      <w:pPr>
        <w:spacing w:line="560" w:lineRule="exact"/>
        <w:ind w:firstLine="560" w:firstLineChars="200"/>
        <w:jc w:val="left"/>
        <w:rPr>
          <w:rFonts w:ascii="仿宋_GB2312" w:hAnsi="新宋体" w:eastAsia="仿宋_GB2312" w:cs="宋体"/>
          <w:sz w:val="28"/>
          <w:szCs w:val="28"/>
        </w:rPr>
      </w:pPr>
      <w:r>
        <w:rPr>
          <w:rFonts w:hint="eastAsia" w:ascii="仿宋_GB2312" w:hAnsi="新宋体" w:eastAsia="仿宋_GB2312" w:cs="宋体"/>
          <w:sz w:val="28"/>
          <w:szCs w:val="28"/>
        </w:rPr>
        <w:t>11.</w:t>
      </w:r>
      <w:r>
        <w:rPr>
          <w:rFonts w:hint="eastAsia" w:ascii="仿宋_GB2312" w:hAnsi="仿宋" w:eastAsia="仿宋_GB2312" w:cs="宋体"/>
          <w:sz w:val="28"/>
          <w:szCs w:val="28"/>
        </w:rPr>
        <w:t>社会保障和就业支出（类）行政事业单位离退休（款）</w:t>
      </w:r>
      <w:r>
        <w:rPr>
          <w:rFonts w:hint="eastAsia" w:ascii="仿宋_GB2312" w:hAnsi="仿宋" w:eastAsia="仿宋_GB2312" w:cs="Arial"/>
          <w:sz w:val="28"/>
          <w:szCs w:val="28"/>
        </w:rPr>
        <w:t>机关事业单位职业年金缴费支出（项）</w:t>
      </w:r>
      <w:r>
        <w:rPr>
          <w:rFonts w:hint="eastAsia" w:ascii="仿宋_GB2312" w:hAnsi="新宋体" w:eastAsia="仿宋_GB2312" w:cs="宋体"/>
          <w:sz w:val="28"/>
          <w:szCs w:val="28"/>
        </w:rPr>
        <w:t>，指反映机关事业单位实施养老保险制度由单位实际缴纳的职业年金支出。</w:t>
      </w:r>
    </w:p>
    <w:p>
      <w:pPr>
        <w:spacing w:line="560" w:lineRule="exact"/>
        <w:ind w:firstLine="560" w:firstLineChars="200"/>
        <w:jc w:val="left"/>
        <w:rPr>
          <w:rFonts w:ascii="仿宋_GB2312" w:hAnsi="新宋体" w:eastAsia="仿宋_GB2312" w:cs="宋体"/>
          <w:sz w:val="28"/>
          <w:szCs w:val="28"/>
        </w:rPr>
      </w:pPr>
      <w:r>
        <w:rPr>
          <w:rFonts w:hint="eastAsia" w:ascii="仿宋_GB2312" w:hAnsi="仿宋" w:eastAsia="仿宋_GB2312" w:cs="宋体"/>
          <w:sz w:val="28"/>
          <w:szCs w:val="28"/>
        </w:rPr>
        <w:t>12.</w:t>
      </w:r>
      <w:r>
        <w:rPr>
          <w:rFonts w:hint="eastAsia" w:ascii="仿宋_GB2312" w:hAnsi="仿宋" w:eastAsia="仿宋_GB2312" w:cs="宋体"/>
          <w:sz w:val="28"/>
          <w:szCs w:val="28"/>
          <w:lang w:eastAsia="zh-CN"/>
        </w:rPr>
        <w:t>社会</w:t>
      </w:r>
      <w:r>
        <w:rPr>
          <w:rFonts w:hint="eastAsia" w:ascii="仿宋_GB2312" w:hAnsi="仿宋" w:eastAsia="仿宋_GB2312" w:cs="宋体"/>
          <w:sz w:val="28"/>
          <w:szCs w:val="28"/>
        </w:rPr>
        <w:t>保障和就业支出（类）行政事业单位离退休（款）</w:t>
      </w:r>
      <w:r>
        <w:rPr>
          <w:rFonts w:hint="eastAsia" w:ascii="仿宋_GB2312" w:hAnsi="仿宋" w:eastAsia="仿宋_GB2312" w:cs="Arial"/>
          <w:sz w:val="28"/>
          <w:szCs w:val="28"/>
        </w:rPr>
        <w:t>机关事业单位基本养老保险缴费支出（项）</w:t>
      </w:r>
      <w:r>
        <w:rPr>
          <w:rFonts w:hint="eastAsia" w:ascii="仿宋_GB2312" w:hAnsi="新宋体" w:eastAsia="仿宋_GB2312" w:cs="宋体"/>
          <w:sz w:val="28"/>
          <w:szCs w:val="28"/>
        </w:rPr>
        <w:t>，指反映机关事业单位实施养老保险制度由单位缴纳的基本养老保险费支出。</w:t>
      </w:r>
    </w:p>
    <w:p>
      <w:pPr>
        <w:spacing w:line="560" w:lineRule="exact"/>
        <w:ind w:firstLine="560" w:firstLineChars="200"/>
        <w:jc w:val="left"/>
        <w:rPr>
          <w:rFonts w:ascii="仿宋_GB2312" w:hAnsi="新宋体" w:eastAsia="仿宋_GB2312" w:cs="宋体"/>
          <w:sz w:val="28"/>
          <w:szCs w:val="28"/>
        </w:rPr>
      </w:pPr>
      <w:r>
        <w:rPr>
          <w:rFonts w:hint="eastAsia" w:ascii="仿宋_GB2312" w:hAnsi="新宋体" w:eastAsia="仿宋_GB2312" w:cs="宋体"/>
          <w:sz w:val="28"/>
          <w:szCs w:val="28"/>
        </w:rPr>
        <w:t>13.</w:t>
      </w:r>
      <w:r>
        <w:rPr>
          <w:rFonts w:hint="eastAsia" w:ascii="仿宋_GB2312" w:hAnsi="新宋体" w:eastAsia="仿宋_GB2312" w:cs="宋体"/>
          <w:sz w:val="28"/>
          <w:szCs w:val="28"/>
          <w:lang w:eastAsia="zh-CN"/>
        </w:rPr>
        <w:t>科学技</w:t>
      </w:r>
      <w:r>
        <w:rPr>
          <w:rFonts w:hint="eastAsia" w:ascii="仿宋_GB2312" w:hAnsi="仿宋" w:eastAsia="仿宋_GB2312" w:cs="宋体"/>
          <w:sz w:val="28"/>
          <w:szCs w:val="28"/>
        </w:rPr>
        <w:t>术支出（类）科学技术管理事务（款）行政运行（项）</w:t>
      </w:r>
      <w:r>
        <w:rPr>
          <w:rFonts w:hint="eastAsia" w:ascii="仿宋_GB2312" w:hAnsi="新宋体" w:eastAsia="仿宋_GB2312" w:cs="宋体"/>
          <w:sz w:val="28"/>
          <w:szCs w:val="28"/>
        </w:rPr>
        <w:t>，指反映行政单位（包括实行公务员管理的单位）的基本支出。</w:t>
      </w:r>
    </w:p>
    <w:p>
      <w:pPr>
        <w:spacing w:line="560" w:lineRule="exact"/>
        <w:ind w:firstLine="560" w:firstLineChars="200"/>
        <w:jc w:val="left"/>
        <w:rPr>
          <w:rFonts w:ascii="仿宋_GB2312" w:hAnsi="仿宋" w:eastAsia="仿宋_GB2312" w:cs="宋体"/>
          <w:sz w:val="28"/>
          <w:szCs w:val="28"/>
        </w:rPr>
      </w:pPr>
      <w:r>
        <w:rPr>
          <w:rFonts w:hint="eastAsia" w:ascii="仿宋_GB2312" w:hAnsi="新宋体" w:eastAsia="仿宋_GB2312" w:cs="宋体"/>
          <w:sz w:val="28"/>
          <w:szCs w:val="28"/>
        </w:rPr>
        <w:t>14.</w:t>
      </w:r>
      <w:r>
        <w:rPr>
          <w:rFonts w:hint="eastAsia" w:ascii="仿宋_GB2312" w:hAnsi="新宋体" w:eastAsia="仿宋_GB2312" w:cs="宋体"/>
          <w:sz w:val="28"/>
          <w:szCs w:val="28"/>
          <w:lang w:eastAsia="zh-CN"/>
        </w:rPr>
        <w:t>科学技</w:t>
      </w:r>
      <w:r>
        <w:rPr>
          <w:rFonts w:hint="eastAsia" w:ascii="仿宋_GB2312" w:hAnsi="仿宋" w:eastAsia="仿宋_GB2312" w:cs="宋体"/>
          <w:sz w:val="28"/>
          <w:szCs w:val="28"/>
        </w:rPr>
        <w:t>术支出（类）技术研究与开发（款）科技成果转化与扩散（项），</w:t>
      </w:r>
      <w:r>
        <w:rPr>
          <w:rFonts w:hint="eastAsia" w:ascii="仿宋_GB2312" w:hAnsi="新宋体" w:eastAsia="仿宋_GB2312" w:cs="宋体"/>
          <w:sz w:val="28"/>
          <w:szCs w:val="28"/>
        </w:rPr>
        <w:t>指</w:t>
      </w:r>
      <w:r>
        <w:rPr>
          <w:rFonts w:hint="eastAsia" w:ascii="仿宋_GB2312" w:hAnsi="仿宋" w:eastAsia="仿宋_GB2312" w:cs="宋体"/>
          <w:sz w:val="28"/>
          <w:szCs w:val="28"/>
        </w:rPr>
        <w:t>反映促进科技成果转化为现实生产力的应用、推广和引导性支出，以及基本建设支出中用于支持企业科技自主创新的支出。</w:t>
      </w:r>
    </w:p>
    <w:p>
      <w:pPr>
        <w:spacing w:line="560" w:lineRule="exact"/>
        <w:ind w:firstLine="560" w:firstLineChars="200"/>
        <w:jc w:val="left"/>
        <w:rPr>
          <w:rFonts w:ascii="仿宋_GB2312" w:hAnsi="仿宋" w:eastAsia="仿宋_GB2312" w:cs="宋体"/>
          <w:sz w:val="28"/>
          <w:szCs w:val="28"/>
        </w:rPr>
      </w:pPr>
      <w:r>
        <w:rPr>
          <w:rFonts w:hint="eastAsia" w:ascii="仿宋_GB2312" w:hAnsi="仿宋" w:eastAsia="仿宋_GB2312" w:cs="宋体"/>
          <w:sz w:val="28"/>
          <w:szCs w:val="28"/>
        </w:rPr>
        <w:t>15.</w:t>
      </w:r>
      <w:r>
        <w:rPr>
          <w:rFonts w:hint="eastAsia" w:ascii="仿宋_GB2312" w:hAnsi="新宋体" w:eastAsia="仿宋_GB2312" w:cs="宋体"/>
          <w:sz w:val="28"/>
          <w:szCs w:val="28"/>
          <w:lang w:eastAsia="zh-CN"/>
        </w:rPr>
        <w:t>科学技</w:t>
      </w:r>
      <w:r>
        <w:rPr>
          <w:rFonts w:hint="eastAsia" w:ascii="仿宋_GB2312" w:hAnsi="仿宋" w:eastAsia="仿宋_GB2312" w:cs="宋体"/>
          <w:sz w:val="28"/>
          <w:szCs w:val="28"/>
        </w:rPr>
        <w:t>术支出（类）科学技术普及（款）科普活动（项），</w:t>
      </w:r>
      <w:r>
        <w:rPr>
          <w:rFonts w:hint="eastAsia" w:ascii="仿宋_GB2312" w:hAnsi="新宋体" w:eastAsia="仿宋_GB2312" w:cs="宋体"/>
          <w:sz w:val="28"/>
          <w:szCs w:val="28"/>
        </w:rPr>
        <w:t>指</w:t>
      </w:r>
      <w:r>
        <w:rPr>
          <w:rFonts w:hint="eastAsia" w:ascii="仿宋_GB2312" w:hAnsi="仿宋" w:eastAsia="仿宋_GB2312" w:cs="宋体"/>
          <w:sz w:val="28"/>
          <w:szCs w:val="28"/>
        </w:rPr>
        <w:t>反映用于开展科普活动的支出。</w:t>
      </w:r>
    </w:p>
    <w:p>
      <w:pPr>
        <w:spacing w:line="560" w:lineRule="exact"/>
        <w:ind w:firstLine="560" w:firstLineChars="200"/>
        <w:jc w:val="left"/>
        <w:rPr>
          <w:rFonts w:ascii="仿宋_GB2312" w:hAnsi="仿宋" w:eastAsia="仿宋_GB2312" w:cs="宋体"/>
          <w:sz w:val="28"/>
          <w:szCs w:val="28"/>
        </w:rPr>
      </w:pPr>
      <w:r>
        <w:rPr>
          <w:rFonts w:hint="eastAsia" w:ascii="仿宋_GB2312" w:hAnsi="仿宋" w:eastAsia="仿宋_GB2312" w:cs="宋体"/>
          <w:sz w:val="28"/>
          <w:szCs w:val="28"/>
        </w:rPr>
        <w:t>16.</w:t>
      </w:r>
      <w:r>
        <w:rPr>
          <w:rFonts w:hint="eastAsia" w:ascii="仿宋_GB2312" w:hAnsi="新宋体" w:eastAsia="仿宋_GB2312" w:cs="宋体"/>
          <w:sz w:val="28"/>
          <w:szCs w:val="28"/>
          <w:lang w:eastAsia="zh-CN"/>
        </w:rPr>
        <w:t>科学技</w:t>
      </w:r>
      <w:r>
        <w:rPr>
          <w:rFonts w:hint="eastAsia" w:ascii="仿宋_GB2312" w:hAnsi="仿宋" w:eastAsia="仿宋_GB2312" w:cs="宋体"/>
          <w:sz w:val="28"/>
          <w:szCs w:val="28"/>
        </w:rPr>
        <w:t>术支出</w:t>
      </w:r>
      <w:bookmarkStart w:id="0" w:name="_GoBack"/>
      <w:bookmarkEnd w:id="0"/>
      <w:r>
        <w:rPr>
          <w:rFonts w:hint="eastAsia" w:ascii="仿宋_GB2312" w:hAnsi="仿宋" w:eastAsia="仿宋_GB2312" w:cs="宋体"/>
          <w:sz w:val="28"/>
          <w:szCs w:val="28"/>
        </w:rPr>
        <w:t>（类）科学技术普及（款）学术交流活动（项），</w:t>
      </w:r>
      <w:r>
        <w:rPr>
          <w:rFonts w:hint="eastAsia" w:ascii="仿宋_GB2312" w:hAnsi="新宋体" w:eastAsia="仿宋_GB2312" w:cs="宋体"/>
          <w:sz w:val="28"/>
          <w:szCs w:val="28"/>
        </w:rPr>
        <w:t>指</w:t>
      </w:r>
      <w:r>
        <w:rPr>
          <w:rFonts w:hint="eastAsia" w:ascii="仿宋_GB2312" w:hAnsi="仿宋" w:eastAsia="仿宋_GB2312" w:cs="宋体"/>
          <w:sz w:val="28"/>
          <w:szCs w:val="28"/>
        </w:rPr>
        <w:t>反映开展学术交流活动、编制学术期刊和学会补助等方面的支出。</w:t>
      </w:r>
    </w:p>
    <w:p>
      <w:pPr>
        <w:spacing w:line="560" w:lineRule="exact"/>
        <w:ind w:firstLine="560" w:firstLineChars="200"/>
        <w:jc w:val="left"/>
        <w:rPr>
          <w:rFonts w:ascii="仿宋_GB2312" w:hAnsi="新宋体" w:eastAsia="仿宋_GB2312" w:cs="宋体"/>
          <w:sz w:val="28"/>
          <w:szCs w:val="28"/>
        </w:rPr>
      </w:pPr>
    </w:p>
    <w:p>
      <w:pPr>
        <w:rPr>
          <w:rFonts w:ascii="仿宋_GB2312" w:eastAsia="仿宋_GB2312"/>
          <w:color w:val="FF0000"/>
          <w:sz w:val="28"/>
          <w:szCs w:val="28"/>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tbl>
      <w:tblPr>
        <w:tblW w:w="854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461"/>
        <w:gridCol w:w="1639"/>
        <w:gridCol w:w="2801"/>
        <w:gridCol w:w="1639"/>
      </w:tblGrid>
      <w:tr>
        <w:trPr>
          <w:trHeight w:val="624" w:hRule="atLeast"/>
        </w:trPr>
        <w:tc>
          <w:tcPr>
            <w:tcW w:w="8540" w:type="dxa"/>
            <w:gridSpan w:val="4"/>
            <w:vMerge w:val="restart"/>
            <w:tcBorders>
              <w:top w:val="nil"/>
              <w:left w:val="nil"/>
              <w:bottom w:val="nil"/>
              <w:right w:val="nil"/>
            </w:tcBorders>
            <w:vAlign w:val="center"/>
          </w:tcPr>
          <w:p>
            <w:pPr>
              <w:adjustRightInd/>
              <w:jc w:val="center"/>
              <w:textAlignment w:val="auto"/>
              <w:rPr>
                <w:rFonts w:ascii="楷体_GB2312" w:hAnsi="宋体" w:eastAsia="楷体_GB2312" w:cs="宋体"/>
                <w:b/>
                <w:bCs/>
                <w:sz w:val="32"/>
                <w:szCs w:val="32"/>
              </w:rPr>
            </w:pPr>
            <w:r>
              <w:rPr>
                <w:rFonts w:hint="eastAsia" w:ascii="楷体_GB2312" w:hAnsi="宋体" w:eastAsia="楷体_GB2312" w:cs="宋体"/>
                <w:b/>
                <w:bCs/>
                <w:sz w:val="32"/>
                <w:szCs w:val="32"/>
              </w:rPr>
              <w:t>2019年部门收支预算总表(01)</w:t>
            </w:r>
          </w:p>
        </w:tc>
      </w:tr>
      <w:tr>
        <w:trPr>
          <w:trHeight w:val="624" w:hRule="atLeast"/>
        </w:trPr>
        <w:tc>
          <w:tcPr>
            <w:tcW w:w="8540" w:type="dxa"/>
            <w:gridSpan w:val="4"/>
            <w:vMerge w:val="continue"/>
            <w:tcBorders>
              <w:top w:val="nil"/>
              <w:left w:val="nil"/>
              <w:bottom w:val="nil"/>
              <w:right w:val="nil"/>
            </w:tcBorders>
            <w:vAlign w:val="center"/>
          </w:tcPr>
          <w:p>
            <w:pPr>
              <w:adjustRightInd/>
              <w:jc w:val="left"/>
              <w:textAlignment w:val="auto"/>
              <w:rPr>
                <w:rFonts w:ascii="楷体_GB2312" w:hAnsi="宋体" w:eastAsia="楷体_GB2312" w:cs="宋体"/>
                <w:b/>
                <w:bCs/>
                <w:sz w:val="32"/>
                <w:szCs w:val="32"/>
              </w:rPr>
            </w:pPr>
          </w:p>
        </w:tc>
      </w:tr>
      <w:tr>
        <w:trPr>
          <w:trHeight w:val="499" w:hRule="atLeast"/>
        </w:trPr>
        <w:tc>
          <w:tcPr>
            <w:tcW w:w="4100" w:type="dxa"/>
            <w:gridSpan w:val="2"/>
            <w:tcBorders>
              <w:top w:val="nil"/>
              <w:left w:val="nil"/>
              <w:bottom w:val="nil"/>
              <w:right w:val="nil"/>
            </w:tcBorders>
            <w:shd w:val="clear" w:color="000000" w:fill="FFFFFF"/>
            <w:vAlign w:val="center"/>
          </w:tcPr>
          <w:p>
            <w:pPr>
              <w:adjustRightInd/>
              <w:jc w:val="left"/>
              <w:textAlignment w:val="auto"/>
              <w:rPr>
                <w:rFonts w:ascii="宋体" w:hAnsi="宋体" w:cs="宋体"/>
                <w:sz w:val="18"/>
                <w:szCs w:val="18"/>
              </w:rPr>
            </w:pPr>
            <w:r>
              <w:rPr>
                <w:rFonts w:hint="eastAsia" w:ascii="宋体" w:hAnsi="宋体" w:cs="宋体"/>
                <w:sz w:val="18"/>
                <w:szCs w:val="18"/>
              </w:rPr>
              <w:t>单位：温岭市科学技术协会(本级)</w:t>
            </w:r>
          </w:p>
        </w:tc>
        <w:tc>
          <w:tcPr>
            <w:tcW w:w="2801"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1639" w:type="dxa"/>
            <w:tcBorders>
              <w:top w:val="nil"/>
              <w:left w:val="nil"/>
              <w:bottom w:val="nil"/>
              <w:right w:val="nil"/>
            </w:tcBorders>
            <w:vAlign w:val="center"/>
          </w:tcPr>
          <w:p>
            <w:pPr>
              <w:adjustRightInd/>
              <w:jc w:val="right"/>
              <w:textAlignment w:val="auto"/>
              <w:rPr>
                <w:rFonts w:ascii="宋体" w:hAnsi="宋体" w:cs="宋体"/>
                <w:sz w:val="18"/>
                <w:szCs w:val="18"/>
              </w:rPr>
            </w:pPr>
            <w:r>
              <w:rPr>
                <w:rFonts w:hint="eastAsia" w:ascii="宋体" w:hAnsi="宋体" w:cs="宋体"/>
                <w:sz w:val="18"/>
                <w:szCs w:val="18"/>
              </w:rPr>
              <w:t>单位：元</w:t>
            </w:r>
          </w:p>
        </w:tc>
      </w:tr>
      <w:tr>
        <w:trPr>
          <w:trHeight w:val="499" w:hRule="atLeast"/>
        </w:trPr>
        <w:tc>
          <w:tcPr>
            <w:tcW w:w="4100" w:type="dxa"/>
            <w:gridSpan w:val="2"/>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收    入</w:t>
            </w:r>
          </w:p>
        </w:tc>
        <w:tc>
          <w:tcPr>
            <w:tcW w:w="4440" w:type="dxa"/>
            <w:gridSpan w:val="2"/>
            <w:tcBorders>
              <w:top w:val="single" w:color="auto" w:sz="4" w:space="0"/>
              <w:left w:val="nil"/>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支    出</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项    目</w:t>
            </w:r>
          </w:p>
        </w:tc>
        <w:tc>
          <w:tcPr>
            <w:tcW w:w="1639"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年初预算</w:t>
            </w:r>
          </w:p>
        </w:tc>
        <w:tc>
          <w:tcPr>
            <w:tcW w:w="280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项    目</w:t>
            </w:r>
          </w:p>
        </w:tc>
        <w:tc>
          <w:tcPr>
            <w:tcW w:w="1639"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年初预算</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一般公共预算拨款</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7,146,605.70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基本支出</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2,598,536.20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省补助</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工资福利支出</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2,243,746.20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专户收入</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其他基本支出</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325,080.00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政府性基金预算拨款</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对个人和家庭的补助支出</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29,710.00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其他收入</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项目支出</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4,580,000.00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镇(街道)补助</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专项公用类项目支出</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1,770,000.00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国有资本经营预算收入</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政策性项目支出</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2,810,000.00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发展建设类项目支出</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国有资本经营预算项目支出</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上缴上级支出</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税金</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事业单位经营支出</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本年收入小计：</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7,146,605.70 </w:t>
            </w:r>
          </w:p>
        </w:tc>
        <w:tc>
          <w:tcPr>
            <w:tcW w:w="280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本年支出小计：</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7,178,536.20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调入预算稳定调节基金</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调入资金</w:t>
            </w:r>
          </w:p>
        </w:tc>
        <w:tc>
          <w:tcPr>
            <w:tcW w:w="1639"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上年结转</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31,930.50 </w:t>
            </w:r>
          </w:p>
        </w:tc>
        <w:tc>
          <w:tcPr>
            <w:tcW w:w="280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461" w:type="dxa"/>
            <w:tcBorders>
              <w:top w:val="nil"/>
              <w:left w:val="single" w:color="auto" w:sz="4" w:space="0"/>
              <w:bottom w:val="single" w:color="auto" w:sz="4" w:space="0"/>
              <w:right w:val="single" w:color="auto"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收入合计：</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7,178,536.20</w:t>
            </w:r>
          </w:p>
        </w:tc>
        <w:tc>
          <w:tcPr>
            <w:tcW w:w="280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支出合计：</w:t>
            </w:r>
          </w:p>
        </w:tc>
        <w:tc>
          <w:tcPr>
            <w:tcW w:w="1639"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7,178,536.20</w:t>
            </w:r>
          </w:p>
        </w:tc>
      </w:tr>
      <w:tr>
        <w:trPr>
          <w:trHeight w:val="499" w:hRule="atLeast"/>
        </w:trPr>
        <w:tc>
          <w:tcPr>
            <w:tcW w:w="2461"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639"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2801"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639" w:type="dxa"/>
            <w:tcBorders>
              <w:top w:val="nil"/>
              <w:left w:val="nil"/>
              <w:bottom w:val="nil"/>
              <w:right w:val="nil"/>
            </w:tcBorders>
            <w:vAlign w:val="bottom"/>
          </w:tcPr>
          <w:p>
            <w:pPr>
              <w:adjustRightInd/>
              <w:jc w:val="left"/>
              <w:textAlignment w:val="auto"/>
              <w:rPr>
                <w:rFonts w:ascii="宋体" w:hAnsi="宋体" w:cs="宋体"/>
                <w:sz w:val="24"/>
                <w:szCs w:val="24"/>
              </w:rPr>
            </w:pPr>
          </w:p>
        </w:tc>
      </w:tr>
      <w:tr>
        <w:trPr>
          <w:trHeight w:val="285" w:hRule="atLeast"/>
        </w:trPr>
        <w:tc>
          <w:tcPr>
            <w:tcW w:w="2461"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639"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2801"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639" w:type="dxa"/>
            <w:tcBorders>
              <w:top w:val="nil"/>
              <w:left w:val="nil"/>
              <w:bottom w:val="nil"/>
              <w:right w:val="nil"/>
            </w:tcBorders>
            <w:vAlign w:val="bottom"/>
          </w:tcPr>
          <w:p>
            <w:pPr>
              <w:adjustRightInd/>
              <w:jc w:val="left"/>
              <w:textAlignment w:val="auto"/>
              <w:rPr>
                <w:rFonts w:ascii="宋体" w:hAnsi="宋体" w:cs="宋体"/>
                <w:sz w:val="24"/>
                <w:szCs w:val="24"/>
              </w:rPr>
            </w:pPr>
          </w:p>
        </w:tc>
      </w:tr>
    </w:tbl>
    <w:p>
      <w:pPr>
        <w:pStyle w:val="2"/>
        <w:sectPr>
          <w:pgSz w:w="11906" w:h="16838"/>
          <w:pgMar w:top="1440" w:right="1800" w:bottom="1440" w:left="1800" w:header="851" w:footer="992" w:gutter="0"/>
          <w:cols w:space="425" w:num="1"/>
          <w:docGrid w:type="lines" w:linePitch="312"/>
        </w:sectPr>
      </w:pPr>
    </w:p>
    <w:tbl>
      <w:tblPr>
        <w:tblW w:w="12205"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689"/>
        <w:gridCol w:w="2102"/>
        <w:gridCol w:w="3707"/>
        <w:gridCol w:w="2707"/>
      </w:tblGrid>
      <w:tr>
        <w:trPr>
          <w:trHeight w:val="624" w:hRule="atLeast"/>
        </w:trPr>
        <w:tc>
          <w:tcPr>
            <w:tcW w:w="12205" w:type="dxa"/>
            <w:gridSpan w:val="4"/>
            <w:vMerge w:val="restart"/>
            <w:tcBorders>
              <w:top w:val="nil"/>
              <w:left w:val="nil"/>
              <w:bottom w:val="nil"/>
              <w:right w:val="nil"/>
            </w:tcBorders>
            <w:vAlign w:val="center"/>
          </w:tcPr>
          <w:p>
            <w:pPr>
              <w:adjustRightInd/>
              <w:jc w:val="center"/>
              <w:textAlignment w:val="auto"/>
              <w:rPr>
                <w:rFonts w:ascii="楷体_GB2312" w:hAnsi="宋体" w:eastAsia="楷体_GB2312" w:cs="宋体"/>
                <w:color w:val="000000"/>
                <w:sz w:val="32"/>
                <w:szCs w:val="32"/>
              </w:rPr>
            </w:pPr>
            <w:r>
              <w:rPr>
                <w:rFonts w:hint="eastAsia" w:ascii="楷体_GB2312" w:hAnsi="宋体" w:eastAsia="楷体_GB2312" w:cs="宋体"/>
                <w:color w:val="000000"/>
                <w:sz w:val="32"/>
                <w:szCs w:val="32"/>
              </w:rPr>
              <w:t>2019年部门财政拨款收支预算总表(02)</w:t>
            </w:r>
          </w:p>
        </w:tc>
      </w:tr>
      <w:tr>
        <w:trPr>
          <w:trHeight w:val="624" w:hRule="atLeast"/>
        </w:trPr>
        <w:tc>
          <w:tcPr>
            <w:tcW w:w="12205" w:type="dxa"/>
            <w:gridSpan w:val="4"/>
            <w:vMerge w:val="continue"/>
            <w:tcBorders>
              <w:top w:val="nil"/>
              <w:left w:val="nil"/>
              <w:bottom w:val="nil"/>
              <w:right w:val="nil"/>
            </w:tcBorders>
            <w:vAlign w:val="center"/>
          </w:tcPr>
          <w:p>
            <w:pPr>
              <w:adjustRightInd/>
              <w:jc w:val="left"/>
              <w:textAlignment w:val="auto"/>
              <w:rPr>
                <w:rFonts w:ascii="楷体_GB2312" w:hAnsi="宋体" w:eastAsia="楷体_GB2312" w:cs="宋体"/>
                <w:color w:val="000000"/>
                <w:sz w:val="32"/>
                <w:szCs w:val="32"/>
              </w:rPr>
            </w:pPr>
          </w:p>
        </w:tc>
      </w:tr>
      <w:tr>
        <w:trPr>
          <w:trHeight w:val="315" w:hRule="atLeast"/>
        </w:trPr>
        <w:tc>
          <w:tcPr>
            <w:tcW w:w="5791" w:type="dxa"/>
            <w:gridSpan w:val="2"/>
            <w:tcBorders>
              <w:top w:val="nil"/>
              <w:left w:val="nil"/>
              <w:bottom w:val="nil"/>
              <w:right w:val="nil"/>
            </w:tcBorders>
            <w:shd w:val="clear" w:color="000000" w:fill="FFFFFF"/>
            <w:vAlign w:val="bottom"/>
          </w:tcPr>
          <w:p>
            <w:pPr>
              <w:adjustRightInd/>
              <w:jc w:val="left"/>
              <w:textAlignment w:val="auto"/>
              <w:rPr>
                <w:rFonts w:ascii="宋体" w:hAnsi="宋体" w:cs="宋体"/>
                <w:color w:val="000000"/>
                <w:sz w:val="18"/>
                <w:szCs w:val="18"/>
              </w:rPr>
            </w:pPr>
            <w:r>
              <w:rPr>
                <w:rFonts w:hint="eastAsia" w:ascii="宋体" w:hAnsi="宋体" w:cs="宋体"/>
                <w:color w:val="000000"/>
                <w:sz w:val="18"/>
                <w:szCs w:val="18"/>
              </w:rPr>
              <w:t>单位：温岭市科学技术协会(本级)</w:t>
            </w:r>
          </w:p>
        </w:tc>
        <w:tc>
          <w:tcPr>
            <w:tcW w:w="3707" w:type="dxa"/>
            <w:tcBorders>
              <w:top w:val="nil"/>
              <w:left w:val="nil"/>
              <w:bottom w:val="nil"/>
              <w:right w:val="nil"/>
            </w:tcBorders>
            <w:vAlign w:val="bottom"/>
          </w:tcPr>
          <w:p>
            <w:pPr>
              <w:adjustRightInd/>
              <w:jc w:val="left"/>
              <w:textAlignment w:val="auto"/>
              <w:rPr>
                <w:rFonts w:ascii="Calibri" w:hAnsi="Calibri" w:cs="宋体"/>
                <w:color w:val="000000"/>
                <w:szCs w:val="21"/>
              </w:rPr>
            </w:pPr>
          </w:p>
        </w:tc>
        <w:tc>
          <w:tcPr>
            <w:tcW w:w="2707" w:type="dxa"/>
            <w:tcBorders>
              <w:top w:val="nil"/>
              <w:left w:val="nil"/>
              <w:bottom w:val="nil"/>
              <w:right w:val="nil"/>
            </w:tcBorders>
            <w:vAlign w:val="bottom"/>
          </w:tcPr>
          <w:p>
            <w:pPr>
              <w:adjustRightInd/>
              <w:jc w:val="right"/>
              <w:textAlignment w:val="auto"/>
              <w:rPr>
                <w:rFonts w:ascii="宋体" w:hAnsi="宋体" w:cs="宋体"/>
                <w:color w:val="000000"/>
                <w:sz w:val="18"/>
                <w:szCs w:val="18"/>
              </w:rPr>
            </w:pPr>
            <w:r>
              <w:rPr>
                <w:rFonts w:hint="eastAsia" w:ascii="宋体" w:hAnsi="宋体" w:cs="宋体"/>
                <w:color w:val="000000"/>
                <w:sz w:val="18"/>
                <w:szCs w:val="18"/>
              </w:rPr>
              <w:t>单位：元</w:t>
            </w:r>
          </w:p>
        </w:tc>
      </w:tr>
      <w:tr>
        <w:trPr>
          <w:trHeight w:val="499" w:hRule="atLeast"/>
        </w:trPr>
        <w:tc>
          <w:tcPr>
            <w:tcW w:w="5791" w:type="dxa"/>
            <w:gridSpan w:val="2"/>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收    入</w:t>
            </w:r>
          </w:p>
        </w:tc>
        <w:tc>
          <w:tcPr>
            <w:tcW w:w="6414" w:type="dxa"/>
            <w:gridSpan w:val="2"/>
            <w:tcBorders>
              <w:top w:val="single" w:color="auto" w:sz="4" w:space="0"/>
              <w:left w:val="nil"/>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支    出</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项    目</w:t>
            </w:r>
          </w:p>
        </w:tc>
        <w:tc>
          <w:tcPr>
            <w:tcW w:w="2102"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年初预算</w:t>
            </w:r>
          </w:p>
        </w:tc>
        <w:tc>
          <w:tcPr>
            <w:tcW w:w="3707"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项    目</w:t>
            </w:r>
          </w:p>
        </w:tc>
        <w:tc>
          <w:tcPr>
            <w:tcW w:w="2707"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年初预算</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一般公共预算拨款</w:t>
            </w:r>
          </w:p>
        </w:tc>
        <w:tc>
          <w:tcPr>
            <w:tcW w:w="2102"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7,178,536.20 </w:t>
            </w:r>
          </w:p>
        </w:tc>
        <w:tc>
          <w:tcPr>
            <w:tcW w:w="3707"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基本支出</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2,598,536.20 </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政府性基金预算拨款</w:t>
            </w:r>
          </w:p>
        </w:tc>
        <w:tc>
          <w:tcPr>
            <w:tcW w:w="2102"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3707"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工资福利支出</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2,243,746.20 </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102"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3707"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其他基本支出</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325,080.00 </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102"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3707"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对个人和家庭的补助支出</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29,710.00 </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102"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3707"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项目支出</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4,580,000.00 </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102"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3707"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专项公用类项目支出</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1,770,000.00 </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102"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3707"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政策性项目支出</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2,810,000.00 </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102"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3707"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发展建设类项目支出</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102"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3707"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上缴上级支出</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102"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3707"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税金</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2102"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3707"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xml:space="preserve">  事业单位经营支出</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689" w:type="dxa"/>
            <w:tcBorders>
              <w:top w:val="nil"/>
              <w:left w:val="single" w:color="auto" w:sz="4" w:space="0"/>
              <w:bottom w:val="single" w:color="auto" w:sz="4" w:space="0"/>
              <w:right w:val="single" w:color="auto"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收入合计：</w:t>
            </w:r>
          </w:p>
        </w:tc>
        <w:tc>
          <w:tcPr>
            <w:tcW w:w="2102"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7,178,536.20 </w:t>
            </w:r>
          </w:p>
        </w:tc>
        <w:tc>
          <w:tcPr>
            <w:tcW w:w="3707"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支出合计：</w:t>
            </w:r>
          </w:p>
        </w:tc>
        <w:tc>
          <w:tcPr>
            <w:tcW w:w="2707"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xml:space="preserve">7,178,536.20 </w:t>
            </w:r>
          </w:p>
        </w:tc>
      </w:tr>
    </w:tbl>
    <w:p>
      <w:pPr>
        <w:pStyle w:val="2"/>
        <w:sectPr>
          <w:pgSz w:w="16838" w:h="11906" w:orient="landscape"/>
          <w:pgMar w:top="1418" w:right="1440" w:bottom="1134" w:left="1440" w:header="851" w:footer="992" w:gutter="0"/>
          <w:cols w:space="425" w:num="1"/>
          <w:docGrid w:type="lines" w:linePitch="312"/>
        </w:sectPr>
      </w:pPr>
    </w:p>
    <w:tbl>
      <w:tblPr>
        <w:tblW w:w="1314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824"/>
        <w:gridCol w:w="1772"/>
        <w:gridCol w:w="1772"/>
        <w:gridCol w:w="1772"/>
      </w:tblGrid>
      <w:tr>
        <w:trPr>
          <w:trHeight w:val="624" w:hRule="atLeast"/>
        </w:trPr>
        <w:tc>
          <w:tcPr>
            <w:tcW w:w="13140" w:type="dxa"/>
            <w:gridSpan w:val="4"/>
            <w:vMerge w:val="restart"/>
            <w:tcBorders>
              <w:top w:val="nil"/>
              <w:left w:val="nil"/>
              <w:bottom w:val="nil"/>
              <w:right w:val="nil"/>
            </w:tcBorders>
            <w:vAlign w:val="center"/>
          </w:tcPr>
          <w:p>
            <w:pPr>
              <w:adjustRightInd/>
              <w:jc w:val="center"/>
              <w:textAlignment w:val="auto"/>
              <w:rPr>
                <w:rFonts w:ascii="方正楷体_GBK" w:hAnsi="宋体" w:eastAsia="方正楷体_GBK" w:cs="宋体"/>
                <w:b/>
                <w:bCs/>
                <w:color w:val="000000"/>
                <w:sz w:val="32"/>
                <w:szCs w:val="32"/>
              </w:rPr>
            </w:pPr>
            <w:r>
              <w:rPr>
                <w:rFonts w:hint="eastAsia" w:ascii="方正楷体_GBK" w:hAnsi="宋体" w:eastAsia="方正楷体_GBK" w:cs="宋体"/>
                <w:b/>
                <w:bCs/>
                <w:color w:val="000000"/>
                <w:sz w:val="32"/>
                <w:szCs w:val="32"/>
              </w:rPr>
              <w:t>2019年部门一般公共预算支出表（表03）</w:t>
            </w:r>
          </w:p>
        </w:tc>
      </w:tr>
      <w:tr>
        <w:trPr>
          <w:trHeight w:val="624" w:hRule="atLeast"/>
        </w:trPr>
        <w:tc>
          <w:tcPr>
            <w:tcW w:w="13140" w:type="dxa"/>
            <w:gridSpan w:val="4"/>
            <w:vMerge w:val="continue"/>
            <w:tcBorders>
              <w:top w:val="nil"/>
              <w:left w:val="nil"/>
              <w:bottom w:val="nil"/>
              <w:right w:val="nil"/>
            </w:tcBorders>
            <w:vAlign w:val="center"/>
          </w:tcPr>
          <w:p>
            <w:pPr>
              <w:adjustRightInd/>
              <w:jc w:val="left"/>
              <w:textAlignment w:val="auto"/>
              <w:rPr>
                <w:rFonts w:ascii="方正楷体_GBK" w:hAnsi="宋体" w:eastAsia="方正楷体_GBK" w:cs="宋体"/>
                <w:b/>
                <w:bCs/>
                <w:color w:val="000000"/>
                <w:sz w:val="32"/>
                <w:szCs w:val="32"/>
              </w:rPr>
            </w:pPr>
          </w:p>
        </w:tc>
      </w:tr>
      <w:tr>
        <w:trPr>
          <w:trHeight w:val="300" w:hRule="atLeast"/>
        </w:trPr>
        <w:tc>
          <w:tcPr>
            <w:tcW w:w="7824" w:type="dxa"/>
            <w:tcBorders>
              <w:top w:val="nil"/>
              <w:left w:val="nil"/>
              <w:bottom w:val="nil"/>
              <w:right w:val="nil"/>
            </w:tcBorders>
            <w:vAlign w:val="center"/>
          </w:tcPr>
          <w:p>
            <w:pPr>
              <w:adjustRightInd/>
              <w:jc w:val="left"/>
              <w:textAlignment w:val="auto"/>
              <w:rPr>
                <w:rFonts w:ascii="Arial" w:hAnsi="Arial" w:cs="Arial"/>
                <w:color w:val="000000"/>
                <w:sz w:val="24"/>
                <w:szCs w:val="24"/>
              </w:rPr>
            </w:pPr>
          </w:p>
        </w:tc>
        <w:tc>
          <w:tcPr>
            <w:tcW w:w="1772"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1772" w:type="dxa"/>
            <w:tcBorders>
              <w:top w:val="nil"/>
              <w:left w:val="nil"/>
              <w:bottom w:val="nil"/>
              <w:right w:val="nil"/>
            </w:tcBorders>
            <w:vAlign w:val="center"/>
          </w:tcPr>
          <w:p>
            <w:pPr>
              <w:adjustRightInd/>
              <w:jc w:val="left"/>
              <w:textAlignment w:val="auto"/>
              <w:rPr>
                <w:rFonts w:ascii="Arial" w:hAnsi="Arial" w:cs="Arial"/>
                <w:color w:val="000000"/>
                <w:sz w:val="24"/>
                <w:szCs w:val="24"/>
              </w:rPr>
            </w:pPr>
          </w:p>
        </w:tc>
        <w:tc>
          <w:tcPr>
            <w:tcW w:w="1772" w:type="dxa"/>
            <w:tcBorders>
              <w:top w:val="nil"/>
              <w:left w:val="nil"/>
              <w:bottom w:val="nil"/>
              <w:right w:val="nil"/>
            </w:tcBorders>
            <w:vAlign w:val="center"/>
          </w:tcPr>
          <w:p>
            <w:pPr>
              <w:adjustRightInd/>
              <w:jc w:val="left"/>
              <w:textAlignment w:val="auto"/>
              <w:rPr>
                <w:rFonts w:ascii="宋体" w:hAnsi="宋体" w:cs="宋体"/>
                <w:color w:val="000000"/>
                <w:sz w:val="24"/>
                <w:szCs w:val="24"/>
              </w:rPr>
            </w:pPr>
            <w:r>
              <w:rPr>
                <w:rFonts w:hint="eastAsia" w:ascii="宋体" w:hAnsi="宋体" w:cs="宋体"/>
                <w:color w:val="000000"/>
                <w:sz w:val="24"/>
                <w:szCs w:val="24"/>
              </w:rPr>
              <w:t>单位：元</w:t>
            </w:r>
          </w:p>
        </w:tc>
      </w:tr>
      <w:tr>
        <w:trPr>
          <w:trHeight w:val="402" w:hRule="atLeast"/>
        </w:trPr>
        <w:tc>
          <w:tcPr>
            <w:tcW w:w="7824" w:type="dxa"/>
            <w:tcBorders>
              <w:top w:val="single" w:color="auto" w:sz="4" w:space="0"/>
              <w:left w:val="single" w:color="auto" w:sz="4" w:space="0"/>
              <w:bottom w:val="nil"/>
              <w:right w:val="single" w:color="auto"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单位名称</w:t>
            </w:r>
          </w:p>
        </w:tc>
        <w:tc>
          <w:tcPr>
            <w:tcW w:w="1772" w:type="dxa"/>
            <w:tcBorders>
              <w:top w:val="single" w:color="auto" w:sz="4" w:space="0"/>
              <w:left w:val="nil"/>
              <w:bottom w:val="nil"/>
              <w:right w:val="single" w:color="auto" w:sz="4" w:space="0"/>
            </w:tcBorders>
            <w:vAlign w:val="center"/>
          </w:tcPr>
          <w:p>
            <w:pPr>
              <w:adjustRightInd/>
              <w:jc w:val="center"/>
              <w:textAlignment w:val="auto"/>
              <w:rPr>
                <w:rFonts w:ascii="宋体" w:hAnsi="宋体" w:cs="宋体"/>
                <w:b/>
                <w:bCs/>
                <w:color w:val="000000"/>
                <w:sz w:val="20"/>
              </w:rPr>
            </w:pPr>
            <w:r>
              <w:rPr>
                <w:rFonts w:hint="eastAsia" w:ascii="宋体" w:hAnsi="宋体" w:cs="宋体"/>
                <w:b/>
                <w:bCs/>
                <w:color w:val="000000"/>
                <w:sz w:val="20"/>
              </w:rPr>
              <w:t>总计</w:t>
            </w:r>
          </w:p>
        </w:tc>
        <w:tc>
          <w:tcPr>
            <w:tcW w:w="1772" w:type="dxa"/>
            <w:tcBorders>
              <w:top w:val="single" w:color="auto" w:sz="4" w:space="0"/>
              <w:left w:val="nil"/>
              <w:bottom w:val="nil"/>
              <w:right w:val="single" w:color="auto"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基本支出</w:t>
            </w:r>
          </w:p>
        </w:tc>
        <w:tc>
          <w:tcPr>
            <w:tcW w:w="1772" w:type="dxa"/>
            <w:tcBorders>
              <w:top w:val="single" w:color="auto" w:sz="4" w:space="0"/>
              <w:left w:val="nil"/>
              <w:bottom w:val="nil"/>
              <w:right w:val="single" w:color="auto"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项目支出</w:t>
            </w:r>
          </w:p>
        </w:tc>
      </w:tr>
      <w:tr>
        <w:trPr>
          <w:trHeight w:val="402" w:hRule="atLeast"/>
        </w:trPr>
        <w:tc>
          <w:tcPr>
            <w:tcW w:w="7824" w:type="dxa"/>
            <w:tcBorders>
              <w:top w:val="single" w:color="000000" w:sz="4" w:space="0"/>
              <w:left w:val="single" w:color="000000" w:sz="4" w:space="0"/>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160100温岭市科学技术协会(本级)</w:t>
            </w:r>
          </w:p>
        </w:tc>
        <w:tc>
          <w:tcPr>
            <w:tcW w:w="1772" w:type="dxa"/>
            <w:tcBorders>
              <w:top w:val="single" w:color="000000" w:sz="4" w:space="0"/>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7,178,536.20 </w:t>
            </w:r>
          </w:p>
        </w:tc>
        <w:tc>
          <w:tcPr>
            <w:tcW w:w="1772" w:type="dxa"/>
            <w:tcBorders>
              <w:top w:val="single" w:color="000000" w:sz="4" w:space="0"/>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2,598,536.20 </w:t>
            </w:r>
          </w:p>
        </w:tc>
        <w:tc>
          <w:tcPr>
            <w:tcW w:w="1772" w:type="dxa"/>
            <w:tcBorders>
              <w:top w:val="single" w:color="000000" w:sz="4" w:space="0"/>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4,580,000.00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180" w:firstLineChars="1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206科学技术支出</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6,845,010.00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2,265,010.00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4,580,000.00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360" w:firstLineChars="2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20601科学技术管理事务</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2,265,010.00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2,265,010.00 </w:t>
            </w:r>
          </w:p>
        </w:tc>
        <w:tc>
          <w:tcPr>
            <w:tcW w:w="1772" w:type="dxa"/>
            <w:tcBorders>
              <w:top w:val="nil"/>
              <w:left w:val="nil"/>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540" w:firstLineChars="3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2060101行政运行</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2,265,010.00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2,265,010.00 </w:t>
            </w:r>
          </w:p>
        </w:tc>
        <w:tc>
          <w:tcPr>
            <w:tcW w:w="1772" w:type="dxa"/>
            <w:tcBorders>
              <w:top w:val="nil"/>
              <w:left w:val="nil"/>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360" w:firstLineChars="2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20604技术研究与开发</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3,010,000.00 </w:t>
            </w:r>
          </w:p>
        </w:tc>
        <w:tc>
          <w:tcPr>
            <w:tcW w:w="1772" w:type="dxa"/>
            <w:tcBorders>
              <w:top w:val="nil"/>
              <w:left w:val="nil"/>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3,010,000.00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540" w:firstLineChars="3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2060404科技成果转化与扩散</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3,010,000.00 </w:t>
            </w:r>
          </w:p>
        </w:tc>
        <w:tc>
          <w:tcPr>
            <w:tcW w:w="1772" w:type="dxa"/>
            <w:tcBorders>
              <w:top w:val="nil"/>
              <w:left w:val="nil"/>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3,010,000.00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360" w:firstLineChars="2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20607科学技术普及</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1,570,000.00 </w:t>
            </w:r>
          </w:p>
        </w:tc>
        <w:tc>
          <w:tcPr>
            <w:tcW w:w="1772" w:type="dxa"/>
            <w:tcBorders>
              <w:top w:val="nil"/>
              <w:left w:val="nil"/>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1,570,000.00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540" w:firstLineChars="3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2060702科普活动</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1,300,000.00 </w:t>
            </w:r>
          </w:p>
        </w:tc>
        <w:tc>
          <w:tcPr>
            <w:tcW w:w="1772" w:type="dxa"/>
            <w:tcBorders>
              <w:top w:val="nil"/>
              <w:left w:val="nil"/>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1,300,000.00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540" w:firstLineChars="3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2060704学术交流活动</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270,000.00 </w:t>
            </w:r>
          </w:p>
        </w:tc>
        <w:tc>
          <w:tcPr>
            <w:tcW w:w="1772" w:type="dxa"/>
            <w:tcBorders>
              <w:top w:val="nil"/>
              <w:left w:val="nil"/>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270,000.00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180" w:firstLineChars="1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208社会保障和就业支出</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333,526.20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333,526.20 </w:t>
            </w:r>
          </w:p>
        </w:tc>
        <w:tc>
          <w:tcPr>
            <w:tcW w:w="1772" w:type="dxa"/>
            <w:tcBorders>
              <w:top w:val="nil"/>
              <w:left w:val="nil"/>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360" w:firstLineChars="2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20805行政事业单位离退休</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333,526.20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333,526.20 </w:t>
            </w:r>
          </w:p>
        </w:tc>
        <w:tc>
          <w:tcPr>
            <w:tcW w:w="1772" w:type="dxa"/>
            <w:tcBorders>
              <w:top w:val="nil"/>
              <w:left w:val="nil"/>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540" w:firstLineChars="3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2080505机关事业单位基本养老保险缴费支出</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238,233.00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238,233.00 </w:t>
            </w:r>
          </w:p>
        </w:tc>
        <w:tc>
          <w:tcPr>
            <w:tcW w:w="1772" w:type="dxa"/>
            <w:tcBorders>
              <w:top w:val="nil"/>
              <w:left w:val="nil"/>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w:t>
            </w:r>
          </w:p>
        </w:tc>
      </w:tr>
      <w:tr>
        <w:trPr>
          <w:trHeight w:val="402" w:hRule="atLeast"/>
        </w:trPr>
        <w:tc>
          <w:tcPr>
            <w:tcW w:w="7824" w:type="dxa"/>
            <w:tcBorders>
              <w:top w:val="nil"/>
              <w:left w:val="single" w:color="000000" w:sz="4" w:space="0"/>
              <w:bottom w:val="single" w:color="000000" w:sz="4" w:space="0"/>
              <w:right w:val="single" w:color="000000" w:sz="4" w:space="0"/>
            </w:tcBorders>
            <w:vAlign w:val="bottom"/>
          </w:tcPr>
          <w:p>
            <w:pPr>
              <w:adjustRightInd/>
              <w:ind w:firstLine="540" w:firstLineChars="300"/>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2080506机关事业单位职业年金缴费支出</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95,293.20 </w:t>
            </w:r>
          </w:p>
        </w:tc>
        <w:tc>
          <w:tcPr>
            <w:tcW w:w="1772" w:type="dxa"/>
            <w:tcBorders>
              <w:top w:val="nil"/>
              <w:left w:val="nil"/>
              <w:bottom w:val="single" w:color="000000" w:sz="4" w:space="0"/>
              <w:right w:val="single" w:color="000000" w:sz="4" w:space="0"/>
            </w:tcBorders>
            <w:vAlign w:val="bottom"/>
          </w:tcPr>
          <w:p>
            <w:pPr>
              <w:adjustRightInd/>
              <w:jc w:val="righ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xml:space="preserve">95,293.20 </w:t>
            </w:r>
          </w:p>
        </w:tc>
        <w:tc>
          <w:tcPr>
            <w:tcW w:w="1772" w:type="dxa"/>
            <w:tcBorders>
              <w:top w:val="nil"/>
              <w:left w:val="nil"/>
              <w:bottom w:val="single" w:color="000000" w:sz="4" w:space="0"/>
              <w:right w:val="single" w:color="000000" w:sz="4" w:space="0"/>
            </w:tcBorders>
            <w:vAlign w:val="bottom"/>
          </w:tcPr>
          <w:p>
            <w:pPr>
              <w:adjustRightInd/>
              <w:jc w:val="left"/>
              <w:textAlignment w:val="auto"/>
              <w:rPr>
                <w:rFonts w:hint="eastAsia" w:ascii="宋体" w:hAnsi="宋体" w:eastAsia="宋体" w:cs="Arial"/>
                <w:color w:val="000000"/>
                <w:sz w:val="18"/>
                <w:szCs w:val="18"/>
              </w:rPr>
            </w:pPr>
            <w:r>
              <w:rPr>
                <w:rFonts w:hint="eastAsia" w:ascii="宋体" w:hAnsi="宋体" w:eastAsia="宋体" w:cs="Arial"/>
                <w:color w:val="000000"/>
                <w:sz w:val="18"/>
                <w:szCs w:val="18"/>
              </w:rPr>
              <w:t>　</w:t>
            </w:r>
          </w:p>
        </w:tc>
      </w:tr>
    </w:tbl>
    <w:p>
      <w:pPr>
        <w:pStyle w:val="2"/>
        <w:sectPr>
          <w:pgSz w:w="16838" w:h="11906" w:orient="landscape"/>
          <w:pgMar w:top="1418" w:right="1440" w:bottom="1134" w:left="1440" w:header="851" w:footer="992" w:gutter="0"/>
          <w:cols w:space="425" w:num="1"/>
          <w:docGrid w:type="lines" w:linePitch="312"/>
        </w:sectPr>
      </w:pPr>
    </w:p>
    <w:tbl>
      <w:tblPr>
        <w:tblW w:w="12914"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102"/>
        <w:gridCol w:w="2410"/>
        <w:gridCol w:w="1842"/>
        <w:gridCol w:w="1560"/>
      </w:tblGrid>
      <w:tr>
        <w:trPr>
          <w:trHeight w:val="624" w:hRule="atLeast"/>
        </w:trPr>
        <w:tc>
          <w:tcPr>
            <w:tcW w:w="12914" w:type="dxa"/>
            <w:gridSpan w:val="4"/>
            <w:vMerge w:val="restart"/>
            <w:tcBorders>
              <w:top w:val="nil"/>
              <w:left w:val="nil"/>
              <w:bottom w:val="nil"/>
              <w:right w:val="nil"/>
            </w:tcBorders>
            <w:vAlign w:val="bottom"/>
          </w:tcPr>
          <w:p>
            <w:pPr>
              <w:adjustRightInd/>
              <w:jc w:val="center"/>
              <w:textAlignment w:val="auto"/>
              <w:rPr>
                <w:rFonts w:ascii="黑体" w:hAnsi="黑体" w:eastAsia="黑体" w:cs="宋体"/>
                <w:sz w:val="36"/>
                <w:szCs w:val="36"/>
              </w:rPr>
            </w:pPr>
            <w:r>
              <w:rPr>
                <w:rFonts w:hint="eastAsia" w:ascii="黑体" w:hAnsi="黑体" w:eastAsia="黑体" w:cs="宋体"/>
                <w:sz w:val="36"/>
                <w:szCs w:val="36"/>
              </w:rPr>
              <w:t>2019年部门政府性基金预算支出表（表04）</w:t>
            </w:r>
          </w:p>
        </w:tc>
      </w:tr>
      <w:tr>
        <w:trPr>
          <w:trHeight w:val="624" w:hRule="atLeast"/>
        </w:trPr>
        <w:tc>
          <w:tcPr>
            <w:tcW w:w="12914" w:type="dxa"/>
            <w:gridSpan w:val="4"/>
            <w:vMerge w:val="continue"/>
            <w:tcBorders>
              <w:top w:val="nil"/>
              <w:left w:val="nil"/>
              <w:bottom w:val="nil"/>
              <w:right w:val="nil"/>
            </w:tcBorders>
            <w:vAlign w:val="center"/>
          </w:tcPr>
          <w:p>
            <w:pPr>
              <w:adjustRightInd/>
              <w:jc w:val="left"/>
              <w:textAlignment w:val="auto"/>
              <w:rPr>
                <w:rFonts w:ascii="黑体" w:hAnsi="黑体" w:eastAsia="黑体" w:cs="宋体"/>
                <w:sz w:val="36"/>
                <w:szCs w:val="36"/>
              </w:rPr>
            </w:pPr>
          </w:p>
        </w:tc>
      </w:tr>
      <w:tr>
        <w:trPr>
          <w:trHeight w:val="499" w:hRule="atLeast"/>
        </w:trPr>
        <w:tc>
          <w:tcPr>
            <w:tcW w:w="7102" w:type="dxa"/>
            <w:tcBorders>
              <w:top w:val="nil"/>
              <w:left w:val="nil"/>
              <w:bottom w:val="nil"/>
              <w:right w:val="nil"/>
            </w:tcBorders>
            <w:vAlign w:val="bottom"/>
          </w:tcPr>
          <w:p>
            <w:pPr>
              <w:adjustRightInd/>
              <w:jc w:val="left"/>
              <w:textAlignment w:val="auto"/>
              <w:rPr>
                <w:rFonts w:ascii="Arial" w:hAnsi="Arial" w:cs="Arial"/>
                <w:sz w:val="24"/>
                <w:szCs w:val="24"/>
              </w:rPr>
            </w:pPr>
          </w:p>
        </w:tc>
        <w:tc>
          <w:tcPr>
            <w:tcW w:w="2410" w:type="dxa"/>
            <w:tcBorders>
              <w:top w:val="nil"/>
              <w:left w:val="nil"/>
              <w:bottom w:val="nil"/>
              <w:right w:val="nil"/>
            </w:tcBorders>
            <w:vAlign w:val="bottom"/>
          </w:tcPr>
          <w:p>
            <w:pPr>
              <w:adjustRightInd/>
              <w:jc w:val="left"/>
              <w:textAlignment w:val="auto"/>
              <w:rPr>
                <w:rFonts w:ascii="Arial" w:hAnsi="Arial" w:cs="Arial"/>
                <w:sz w:val="24"/>
                <w:szCs w:val="24"/>
              </w:rPr>
            </w:pPr>
          </w:p>
        </w:tc>
        <w:tc>
          <w:tcPr>
            <w:tcW w:w="1842" w:type="dxa"/>
            <w:tcBorders>
              <w:top w:val="nil"/>
              <w:left w:val="nil"/>
              <w:bottom w:val="nil"/>
              <w:right w:val="nil"/>
            </w:tcBorders>
            <w:vAlign w:val="bottom"/>
          </w:tcPr>
          <w:p>
            <w:pPr>
              <w:adjustRightInd/>
              <w:jc w:val="left"/>
              <w:textAlignment w:val="auto"/>
              <w:rPr>
                <w:rFonts w:ascii="Arial" w:hAnsi="Arial" w:cs="Arial"/>
                <w:sz w:val="24"/>
                <w:szCs w:val="24"/>
              </w:rPr>
            </w:pPr>
          </w:p>
        </w:tc>
        <w:tc>
          <w:tcPr>
            <w:tcW w:w="1560" w:type="dxa"/>
            <w:tcBorders>
              <w:top w:val="nil"/>
              <w:left w:val="nil"/>
              <w:bottom w:val="nil"/>
              <w:right w:val="nil"/>
            </w:tcBorders>
            <w:vAlign w:val="bottom"/>
          </w:tcPr>
          <w:p>
            <w:pPr>
              <w:adjustRightInd/>
              <w:jc w:val="left"/>
              <w:textAlignment w:val="auto"/>
              <w:rPr>
                <w:rFonts w:ascii="宋体" w:hAnsi="宋体" w:cs="宋体"/>
                <w:sz w:val="24"/>
                <w:szCs w:val="24"/>
              </w:rPr>
            </w:pPr>
            <w:r>
              <w:rPr>
                <w:rFonts w:hint="eastAsia" w:ascii="宋体" w:hAnsi="宋体" w:cs="宋体"/>
                <w:sz w:val="24"/>
                <w:szCs w:val="24"/>
              </w:rPr>
              <w:t>单位：元</w:t>
            </w:r>
          </w:p>
        </w:tc>
      </w:tr>
      <w:tr>
        <w:trPr>
          <w:trHeight w:val="499" w:hRule="atLeast"/>
        </w:trPr>
        <w:tc>
          <w:tcPr>
            <w:tcW w:w="7102" w:type="dxa"/>
            <w:tcBorders>
              <w:top w:val="single" w:color="auto" w:sz="8" w:space="0"/>
              <w:left w:val="single" w:color="auto" w:sz="8" w:space="0"/>
              <w:bottom w:val="single" w:color="auto" w:sz="8" w:space="0"/>
              <w:right w:val="single" w:color="auto" w:sz="8" w:space="0"/>
            </w:tcBorders>
            <w:vAlign w:val="bottom"/>
          </w:tcPr>
          <w:p>
            <w:pPr>
              <w:adjustRightInd/>
              <w:jc w:val="center"/>
              <w:textAlignment w:val="auto"/>
              <w:rPr>
                <w:rFonts w:ascii="宋体" w:hAnsi="宋体" w:cs="宋体"/>
                <w:b/>
                <w:bCs/>
                <w:sz w:val="18"/>
                <w:szCs w:val="18"/>
              </w:rPr>
            </w:pPr>
            <w:r>
              <w:rPr>
                <w:rFonts w:hint="eastAsia" w:ascii="宋体" w:hAnsi="宋体" w:cs="宋体"/>
                <w:b/>
                <w:bCs/>
                <w:sz w:val="18"/>
                <w:szCs w:val="18"/>
              </w:rPr>
              <w:t>单位名称</w:t>
            </w:r>
          </w:p>
        </w:tc>
        <w:tc>
          <w:tcPr>
            <w:tcW w:w="2410" w:type="dxa"/>
            <w:tcBorders>
              <w:top w:val="single" w:color="auto" w:sz="8" w:space="0"/>
              <w:left w:val="nil"/>
              <w:bottom w:val="single" w:color="auto" w:sz="8" w:space="0"/>
              <w:right w:val="single" w:color="auto" w:sz="8" w:space="0"/>
            </w:tcBorders>
            <w:vAlign w:val="bottom"/>
          </w:tcPr>
          <w:p>
            <w:pPr>
              <w:adjustRightInd/>
              <w:jc w:val="center"/>
              <w:textAlignment w:val="auto"/>
              <w:rPr>
                <w:rFonts w:ascii="宋体" w:hAnsi="宋体" w:cs="宋体"/>
                <w:b/>
                <w:bCs/>
                <w:sz w:val="18"/>
                <w:szCs w:val="18"/>
              </w:rPr>
            </w:pPr>
            <w:r>
              <w:rPr>
                <w:rFonts w:hint="eastAsia" w:ascii="宋体" w:hAnsi="宋体" w:cs="宋体"/>
                <w:b/>
                <w:bCs/>
                <w:sz w:val="18"/>
                <w:szCs w:val="18"/>
              </w:rPr>
              <w:t>总计</w:t>
            </w:r>
          </w:p>
        </w:tc>
        <w:tc>
          <w:tcPr>
            <w:tcW w:w="1842" w:type="dxa"/>
            <w:tcBorders>
              <w:top w:val="single" w:color="auto" w:sz="8" w:space="0"/>
              <w:left w:val="nil"/>
              <w:bottom w:val="single" w:color="auto" w:sz="8" w:space="0"/>
              <w:right w:val="single" w:color="auto" w:sz="8" w:space="0"/>
            </w:tcBorders>
            <w:vAlign w:val="bottom"/>
          </w:tcPr>
          <w:p>
            <w:pPr>
              <w:adjustRightInd/>
              <w:jc w:val="center"/>
              <w:textAlignment w:val="auto"/>
              <w:rPr>
                <w:rFonts w:ascii="宋体" w:hAnsi="宋体" w:cs="宋体"/>
                <w:b/>
                <w:bCs/>
                <w:sz w:val="18"/>
                <w:szCs w:val="18"/>
              </w:rPr>
            </w:pPr>
            <w:r>
              <w:rPr>
                <w:rFonts w:hint="eastAsia" w:ascii="宋体" w:hAnsi="宋体" w:cs="宋体"/>
                <w:b/>
                <w:bCs/>
                <w:sz w:val="18"/>
                <w:szCs w:val="18"/>
              </w:rPr>
              <w:t>基本支出</w:t>
            </w:r>
          </w:p>
        </w:tc>
        <w:tc>
          <w:tcPr>
            <w:tcW w:w="1560" w:type="dxa"/>
            <w:tcBorders>
              <w:top w:val="single" w:color="auto" w:sz="8" w:space="0"/>
              <w:left w:val="nil"/>
              <w:bottom w:val="single" w:color="auto" w:sz="8" w:space="0"/>
              <w:right w:val="single" w:color="auto" w:sz="8" w:space="0"/>
            </w:tcBorders>
            <w:vAlign w:val="bottom"/>
          </w:tcPr>
          <w:p>
            <w:pPr>
              <w:adjustRightInd/>
              <w:jc w:val="center"/>
              <w:textAlignment w:val="auto"/>
              <w:rPr>
                <w:rFonts w:ascii="宋体" w:hAnsi="宋体" w:cs="宋体"/>
                <w:b/>
                <w:bCs/>
                <w:sz w:val="18"/>
                <w:szCs w:val="18"/>
              </w:rPr>
            </w:pPr>
            <w:r>
              <w:rPr>
                <w:rFonts w:hint="eastAsia" w:ascii="宋体" w:hAnsi="宋体" w:cs="宋体"/>
                <w:b/>
                <w:bCs/>
                <w:sz w:val="18"/>
                <w:szCs w:val="18"/>
              </w:rPr>
              <w:t>项目支出</w:t>
            </w:r>
          </w:p>
        </w:tc>
      </w:tr>
      <w:tr>
        <w:trPr>
          <w:trHeight w:val="499" w:hRule="atLeast"/>
        </w:trPr>
        <w:tc>
          <w:tcPr>
            <w:tcW w:w="7102" w:type="dxa"/>
            <w:tcBorders>
              <w:top w:val="nil"/>
              <w:left w:val="single" w:color="auto" w:sz="8" w:space="0"/>
              <w:bottom w:val="single" w:color="auto" w:sz="8" w:space="0"/>
              <w:right w:val="single" w:color="auto" w:sz="8" w:space="0"/>
            </w:tcBorders>
            <w:vAlign w:val="bottom"/>
          </w:tcPr>
          <w:p>
            <w:pPr>
              <w:adjustRightInd/>
              <w:ind w:firstLine="200" w:firstLineChars="100"/>
              <w:jc w:val="left"/>
              <w:textAlignment w:val="auto"/>
              <w:rPr>
                <w:rFonts w:ascii="宋体" w:hAnsi="宋体" w:cs="宋体"/>
                <w:sz w:val="20"/>
              </w:rPr>
            </w:pPr>
            <w:r>
              <w:rPr>
                <w:rFonts w:hint="eastAsia" w:ascii="宋体" w:hAnsi="宋体" w:cs="宋体"/>
                <w:sz w:val="20"/>
              </w:rPr>
              <w:t>市科协</w:t>
            </w:r>
          </w:p>
        </w:tc>
        <w:tc>
          <w:tcPr>
            <w:tcW w:w="2410" w:type="dxa"/>
            <w:tcBorders>
              <w:top w:val="nil"/>
              <w:left w:val="nil"/>
              <w:bottom w:val="single" w:color="auto" w:sz="8" w:space="0"/>
              <w:right w:val="single" w:color="auto" w:sz="8" w:space="0"/>
            </w:tcBorders>
            <w:vAlign w:val="bottom"/>
          </w:tcPr>
          <w:p>
            <w:pPr>
              <w:adjustRightInd/>
              <w:jc w:val="left"/>
              <w:textAlignment w:val="auto"/>
              <w:rPr>
                <w:rFonts w:ascii="宋体" w:hAnsi="宋体" w:cs="宋体"/>
                <w:sz w:val="20"/>
              </w:rPr>
            </w:pPr>
            <w:r>
              <w:rPr>
                <w:rFonts w:hint="eastAsia" w:ascii="宋体" w:hAnsi="宋体" w:cs="宋体"/>
                <w:sz w:val="20"/>
              </w:rPr>
              <w:t>　</w:t>
            </w:r>
          </w:p>
        </w:tc>
        <w:tc>
          <w:tcPr>
            <w:tcW w:w="1842" w:type="dxa"/>
            <w:tcBorders>
              <w:top w:val="nil"/>
              <w:left w:val="nil"/>
              <w:bottom w:val="single" w:color="auto" w:sz="8" w:space="0"/>
              <w:right w:val="single" w:color="auto" w:sz="8" w:space="0"/>
            </w:tcBorders>
            <w:vAlign w:val="bottom"/>
          </w:tcPr>
          <w:p>
            <w:pPr>
              <w:adjustRightInd/>
              <w:jc w:val="right"/>
              <w:textAlignment w:val="auto"/>
              <w:rPr>
                <w:rFonts w:ascii="Arial" w:hAnsi="Arial" w:cs="Arial"/>
                <w:sz w:val="20"/>
              </w:rPr>
            </w:pPr>
            <w:r>
              <w:rPr>
                <w:rFonts w:ascii="Arial" w:hAnsi="Arial" w:cs="Arial"/>
                <w:sz w:val="20"/>
              </w:rPr>
              <w:t>　</w:t>
            </w:r>
          </w:p>
        </w:tc>
        <w:tc>
          <w:tcPr>
            <w:tcW w:w="1560" w:type="dxa"/>
            <w:tcBorders>
              <w:top w:val="nil"/>
              <w:left w:val="nil"/>
              <w:bottom w:val="single" w:color="auto" w:sz="8" w:space="0"/>
              <w:right w:val="single" w:color="auto" w:sz="8" w:space="0"/>
            </w:tcBorders>
            <w:vAlign w:val="bottom"/>
          </w:tcPr>
          <w:p>
            <w:pPr>
              <w:adjustRightInd/>
              <w:jc w:val="right"/>
              <w:textAlignment w:val="auto"/>
              <w:rPr>
                <w:rFonts w:ascii="Arial" w:hAnsi="Arial" w:cs="Arial"/>
                <w:sz w:val="20"/>
              </w:rPr>
            </w:pPr>
            <w:r>
              <w:rPr>
                <w:rFonts w:ascii="Arial" w:hAnsi="Arial" w:cs="Arial"/>
                <w:sz w:val="20"/>
              </w:rPr>
              <w:t>　</w:t>
            </w:r>
          </w:p>
        </w:tc>
      </w:tr>
      <w:tr>
        <w:trPr>
          <w:trHeight w:val="499" w:hRule="atLeast"/>
        </w:trPr>
        <w:tc>
          <w:tcPr>
            <w:tcW w:w="7102" w:type="dxa"/>
            <w:tcBorders>
              <w:top w:val="nil"/>
              <w:left w:val="single" w:color="auto" w:sz="8" w:space="0"/>
              <w:bottom w:val="single" w:color="auto" w:sz="8" w:space="0"/>
              <w:right w:val="single" w:color="auto" w:sz="8" w:space="0"/>
            </w:tcBorders>
            <w:vAlign w:val="bottom"/>
          </w:tcPr>
          <w:p>
            <w:pPr>
              <w:adjustRightInd/>
              <w:ind w:firstLine="400" w:firstLineChars="200"/>
              <w:jc w:val="left"/>
              <w:textAlignment w:val="auto"/>
              <w:rPr>
                <w:rFonts w:ascii="宋体" w:hAnsi="宋体" w:cs="宋体"/>
                <w:sz w:val="20"/>
              </w:rPr>
            </w:pPr>
            <w:r>
              <w:rPr>
                <w:rFonts w:hint="eastAsia" w:ascii="宋体" w:hAnsi="宋体" w:cs="宋体"/>
                <w:sz w:val="20"/>
              </w:rPr>
              <w:t>市科协</w:t>
            </w:r>
            <w:r>
              <w:rPr>
                <w:rFonts w:ascii="Arial" w:hAnsi="Arial" w:cs="Arial"/>
                <w:sz w:val="20"/>
              </w:rPr>
              <w:t>(</w:t>
            </w:r>
            <w:r>
              <w:rPr>
                <w:rFonts w:hint="eastAsia" w:ascii="宋体" w:hAnsi="宋体" w:cs="宋体"/>
                <w:sz w:val="20"/>
              </w:rPr>
              <w:t>本级</w:t>
            </w:r>
            <w:r>
              <w:rPr>
                <w:rFonts w:ascii="Arial" w:hAnsi="Arial" w:cs="Arial"/>
                <w:sz w:val="20"/>
              </w:rPr>
              <w:t>)</w:t>
            </w:r>
          </w:p>
        </w:tc>
        <w:tc>
          <w:tcPr>
            <w:tcW w:w="2410" w:type="dxa"/>
            <w:tcBorders>
              <w:top w:val="nil"/>
              <w:left w:val="nil"/>
              <w:bottom w:val="single" w:color="auto" w:sz="8" w:space="0"/>
              <w:right w:val="single" w:color="auto" w:sz="8" w:space="0"/>
            </w:tcBorders>
            <w:vAlign w:val="bottom"/>
          </w:tcPr>
          <w:p>
            <w:pPr>
              <w:adjustRightInd/>
              <w:jc w:val="left"/>
              <w:textAlignment w:val="auto"/>
              <w:rPr>
                <w:rFonts w:ascii="宋体" w:hAnsi="宋体" w:cs="宋体"/>
                <w:sz w:val="20"/>
              </w:rPr>
            </w:pPr>
            <w:r>
              <w:rPr>
                <w:rFonts w:hint="eastAsia" w:ascii="宋体" w:hAnsi="宋体" w:cs="宋体"/>
                <w:sz w:val="20"/>
              </w:rPr>
              <w:t>　</w:t>
            </w:r>
          </w:p>
        </w:tc>
        <w:tc>
          <w:tcPr>
            <w:tcW w:w="1842" w:type="dxa"/>
            <w:tcBorders>
              <w:top w:val="nil"/>
              <w:left w:val="nil"/>
              <w:bottom w:val="single" w:color="auto" w:sz="8" w:space="0"/>
              <w:right w:val="single" w:color="auto" w:sz="8" w:space="0"/>
            </w:tcBorders>
            <w:vAlign w:val="bottom"/>
          </w:tcPr>
          <w:p>
            <w:pPr>
              <w:adjustRightInd/>
              <w:jc w:val="right"/>
              <w:textAlignment w:val="auto"/>
              <w:rPr>
                <w:rFonts w:ascii="Arial" w:hAnsi="Arial" w:cs="Arial"/>
                <w:sz w:val="20"/>
              </w:rPr>
            </w:pPr>
            <w:r>
              <w:rPr>
                <w:rFonts w:ascii="Arial" w:hAnsi="Arial" w:cs="Arial"/>
                <w:sz w:val="20"/>
              </w:rPr>
              <w:t>　</w:t>
            </w:r>
          </w:p>
        </w:tc>
        <w:tc>
          <w:tcPr>
            <w:tcW w:w="1560" w:type="dxa"/>
            <w:tcBorders>
              <w:top w:val="nil"/>
              <w:left w:val="nil"/>
              <w:bottom w:val="single" w:color="auto" w:sz="8" w:space="0"/>
              <w:right w:val="single" w:color="auto" w:sz="8" w:space="0"/>
            </w:tcBorders>
            <w:vAlign w:val="bottom"/>
          </w:tcPr>
          <w:p>
            <w:pPr>
              <w:adjustRightInd/>
              <w:jc w:val="right"/>
              <w:textAlignment w:val="auto"/>
              <w:rPr>
                <w:rFonts w:ascii="Arial" w:hAnsi="Arial" w:cs="Arial"/>
                <w:sz w:val="20"/>
              </w:rPr>
            </w:pPr>
            <w:r>
              <w:rPr>
                <w:rFonts w:ascii="Arial" w:hAnsi="Arial" w:cs="Arial"/>
                <w:sz w:val="20"/>
              </w:rPr>
              <w:t>　</w:t>
            </w:r>
          </w:p>
        </w:tc>
      </w:tr>
      <w:tr>
        <w:trPr>
          <w:trHeight w:val="499" w:hRule="atLeast"/>
        </w:trPr>
        <w:tc>
          <w:tcPr>
            <w:tcW w:w="7102" w:type="dxa"/>
            <w:tcBorders>
              <w:top w:val="nil"/>
              <w:left w:val="single" w:color="auto" w:sz="8" w:space="0"/>
              <w:bottom w:val="single" w:color="auto" w:sz="8" w:space="0"/>
              <w:right w:val="single" w:color="auto" w:sz="8" w:space="0"/>
            </w:tcBorders>
            <w:vAlign w:val="bottom"/>
          </w:tcPr>
          <w:p>
            <w:pPr>
              <w:adjustRightInd/>
              <w:ind w:firstLine="600" w:firstLineChars="300"/>
              <w:jc w:val="left"/>
              <w:textAlignment w:val="auto"/>
              <w:rPr>
                <w:rFonts w:ascii="Arial" w:hAnsi="Arial" w:cs="Arial"/>
                <w:sz w:val="20"/>
              </w:rPr>
            </w:pPr>
            <w:r>
              <w:rPr>
                <w:rFonts w:ascii="Arial" w:hAnsi="Arial" w:cs="Arial"/>
                <w:sz w:val="20"/>
              </w:rPr>
              <w:t>229</w:t>
            </w:r>
            <w:r>
              <w:rPr>
                <w:rFonts w:hint="eastAsia" w:ascii="宋体" w:hAnsi="宋体" w:cs="Arial"/>
                <w:sz w:val="20"/>
              </w:rPr>
              <w:t>其他支出</w:t>
            </w:r>
          </w:p>
        </w:tc>
        <w:tc>
          <w:tcPr>
            <w:tcW w:w="2410" w:type="dxa"/>
            <w:tcBorders>
              <w:top w:val="nil"/>
              <w:left w:val="nil"/>
              <w:bottom w:val="single" w:color="auto" w:sz="8" w:space="0"/>
              <w:right w:val="single" w:color="auto" w:sz="8" w:space="0"/>
            </w:tcBorders>
            <w:vAlign w:val="bottom"/>
          </w:tcPr>
          <w:p>
            <w:pPr>
              <w:adjustRightInd/>
              <w:jc w:val="left"/>
              <w:textAlignment w:val="auto"/>
              <w:rPr>
                <w:rFonts w:ascii="宋体" w:hAnsi="宋体" w:cs="宋体"/>
                <w:sz w:val="20"/>
              </w:rPr>
            </w:pPr>
            <w:r>
              <w:rPr>
                <w:rFonts w:hint="eastAsia" w:ascii="宋体" w:hAnsi="宋体" w:cs="宋体"/>
                <w:sz w:val="20"/>
              </w:rPr>
              <w:t>　</w:t>
            </w:r>
          </w:p>
        </w:tc>
        <w:tc>
          <w:tcPr>
            <w:tcW w:w="1842" w:type="dxa"/>
            <w:tcBorders>
              <w:top w:val="nil"/>
              <w:left w:val="nil"/>
              <w:bottom w:val="single" w:color="auto" w:sz="8" w:space="0"/>
              <w:right w:val="single" w:color="auto" w:sz="8" w:space="0"/>
            </w:tcBorders>
            <w:vAlign w:val="bottom"/>
          </w:tcPr>
          <w:p>
            <w:pPr>
              <w:adjustRightInd/>
              <w:jc w:val="right"/>
              <w:textAlignment w:val="auto"/>
              <w:rPr>
                <w:rFonts w:ascii="Arial" w:hAnsi="Arial" w:cs="Arial"/>
                <w:sz w:val="20"/>
              </w:rPr>
            </w:pPr>
            <w:r>
              <w:rPr>
                <w:rFonts w:ascii="Arial" w:hAnsi="Arial" w:cs="Arial"/>
                <w:sz w:val="20"/>
              </w:rPr>
              <w:t>　</w:t>
            </w:r>
          </w:p>
        </w:tc>
        <w:tc>
          <w:tcPr>
            <w:tcW w:w="1560" w:type="dxa"/>
            <w:tcBorders>
              <w:top w:val="nil"/>
              <w:left w:val="nil"/>
              <w:bottom w:val="single" w:color="auto" w:sz="8" w:space="0"/>
              <w:right w:val="single" w:color="auto" w:sz="8" w:space="0"/>
            </w:tcBorders>
            <w:vAlign w:val="bottom"/>
          </w:tcPr>
          <w:p>
            <w:pPr>
              <w:adjustRightInd/>
              <w:jc w:val="right"/>
              <w:textAlignment w:val="auto"/>
              <w:rPr>
                <w:rFonts w:ascii="Arial" w:hAnsi="Arial" w:cs="Arial"/>
                <w:sz w:val="20"/>
              </w:rPr>
            </w:pPr>
            <w:r>
              <w:rPr>
                <w:rFonts w:ascii="Arial" w:hAnsi="Arial" w:cs="Arial"/>
                <w:sz w:val="20"/>
              </w:rPr>
              <w:t>　</w:t>
            </w:r>
          </w:p>
        </w:tc>
      </w:tr>
      <w:tr>
        <w:trPr>
          <w:trHeight w:val="499" w:hRule="atLeast"/>
        </w:trPr>
        <w:tc>
          <w:tcPr>
            <w:tcW w:w="7102" w:type="dxa"/>
            <w:tcBorders>
              <w:top w:val="nil"/>
              <w:left w:val="single" w:color="auto" w:sz="8" w:space="0"/>
              <w:bottom w:val="single" w:color="auto" w:sz="8" w:space="0"/>
              <w:right w:val="single" w:color="auto" w:sz="8" w:space="0"/>
            </w:tcBorders>
            <w:vAlign w:val="bottom"/>
          </w:tcPr>
          <w:p>
            <w:pPr>
              <w:adjustRightInd/>
              <w:ind w:firstLine="800" w:firstLineChars="400"/>
              <w:jc w:val="left"/>
              <w:textAlignment w:val="auto"/>
              <w:rPr>
                <w:rFonts w:ascii="Arial" w:hAnsi="Arial" w:cs="Arial"/>
                <w:sz w:val="20"/>
              </w:rPr>
            </w:pPr>
            <w:r>
              <w:rPr>
                <w:rFonts w:ascii="Arial" w:hAnsi="Arial" w:cs="Arial"/>
                <w:sz w:val="20"/>
              </w:rPr>
              <w:t>22904</w:t>
            </w:r>
            <w:r>
              <w:rPr>
                <w:rFonts w:hint="eastAsia" w:ascii="宋体" w:hAnsi="宋体" w:cs="Arial"/>
                <w:sz w:val="20"/>
              </w:rPr>
              <w:t>其他政府性基金及对应专项债务收入安排的支出</w:t>
            </w:r>
          </w:p>
        </w:tc>
        <w:tc>
          <w:tcPr>
            <w:tcW w:w="2410" w:type="dxa"/>
            <w:tcBorders>
              <w:top w:val="nil"/>
              <w:left w:val="nil"/>
              <w:bottom w:val="single" w:color="auto" w:sz="8" w:space="0"/>
              <w:right w:val="single" w:color="auto" w:sz="8" w:space="0"/>
            </w:tcBorders>
            <w:vAlign w:val="bottom"/>
          </w:tcPr>
          <w:p>
            <w:pPr>
              <w:adjustRightInd/>
              <w:jc w:val="left"/>
              <w:textAlignment w:val="auto"/>
              <w:rPr>
                <w:rFonts w:ascii="宋体" w:hAnsi="宋体" w:cs="宋体"/>
                <w:sz w:val="20"/>
              </w:rPr>
            </w:pPr>
            <w:r>
              <w:rPr>
                <w:rFonts w:hint="eastAsia" w:ascii="宋体" w:hAnsi="宋体" w:cs="宋体"/>
                <w:sz w:val="20"/>
              </w:rPr>
              <w:t>　</w:t>
            </w:r>
          </w:p>
        </w:tc>
        <w:tc>
          <w:tcPr>
            <w:tcW w:w="1842" w:type="dxa"/>
            <w:tcBorders>
              <w:top w:val="nil"/>
              <w:left w:val="nil"/>
              <w:bottom w:val="single" w:color="auto" w:sz="8" w:space="0"/>
              <w:right w:val="single" w:color="auto" w:sz="8" w:space="0"/>
            </w:tcBorders>
            <w:vAlign w:val="bottom"/>
          </w:tcPr>
          <w:p>
            <w:pPr>
              <w:adjustRightInd/>
              <w:jc w:val="right"/>
              <w:textAlignment w:val="auto"/>
              <w:rPr>
                <w:rFonts w:ascii="Arial" w:hAnsi="Arial" w:cs="Arial"/>
                <w:sz w:val="20"/>
              </w:rPr>
            </w:pPr>
            <w:r>
              <w:rPr>
                <w:rFonts w:ascii="Arial" w:hAnsi="Arial" w:cs="Arial"/>
                <w:sz w:val="20"/>
              </w:rPr>
              <w:t>　</w:t>
            </w:r>
          </w:p>
        </w:tc>
        <w:tc>
          <w:tcPr>
            <w:tcW w:w="1560" w:type="dxa"/>
            <w:tcBorders>
              <w:top w:val="nil"/>
              <w:left w:val="nil"/>
              <w:bottom w:val="single" w:color="auto" w:sz="8" w:space="0"/>
              <w:right w:val="single" w:color="auto" w:sz="8" w:space="0"/>
            </w:tcBorders>
            <w:vAlign w:val="bottom"/>
          </w:tcPr>
          <w:p>
            <w:pPr>
              <w:adjustRightInd/>
              <w:jc w:val="right"/>
              <w:textAlignment w:val="auto"/>
              <w:rPr>
                <w:rFonts w:ascii="Arial" w:hAnsi="Arial" w:cs="Arial"/>
                <w:sz w:val="20"/>
              </w:rPr>
            </w:pPr>
            <w:r>
              <w:rPr>
                <w:rFonts w:ascii="Arial" w:hAnsi="Arial" w:cs="Arial"/>
                <w:sz w:val="20"/>
              </w:rPr>
              <w:t>　</w:t>
            </w:r>
          </w:p>
        </w:tc>
      </w:tr>
      <w:tr>
        <w:trPr>
          <w:trHeight w:val="499" w:hRule="atLeast"/>
        </w:trPr>
        <w:tc>
          <w:tcPr>
            <w:tcW w:w="7102" w:type="dxa"/>
            <w:tcBorders>
              <w:top w:val="nil"/>
              <w:left w:val="single" w:color="auto" w:sz="8" w:space="0"/>
              <w:bottom w:val="single" w:color="auto" w:sz="8" w:space="0"/>
              <w:right w:val="single" w:color="auto" w:sz="8" w:space="0"/>
            </w:tcBorders>
            <w:vAlign w:val="bottom"/>
          </w:tcPr>
          <w:p>
            <w:pPr>
              <w:adjustRightInd/>
              <w:ind w:firstLine="1000" w:firstLineChars="500"/>
              <w:jc w:val="left"/>
              <w:textAlignment w:val="auto"/>
              <w:rPr>
                <w:rFonts w:ascii="Arial" w:hAnsi="Arial" w:cs="Arial"/>
                <w:sz w:val="20"/>
              </w:rPr>
            </w:pPr>
            <w:r>
              <w:rPr>
                <w:rFonts w:ascii="Arial" w:hAnsi="Arial" w:cs="Arial"/>
                <w:sz w:val="20"/>
              </w:rPr>
              <w:t>2290499</w:t>
            </w:r>
            <w:r>
              <w:rPr>
                <w:rFonts w:hint="eastAsia" w:ascii="宋体" w:hAnsi="宋体" w:cs="Arial"/>
                <w:sz w:val="20"/>
              </w:rPr>
              <w:t>其他政府性基金支出</w:t>
            </w:r>
          </w:p>
        </w:tc>
        <w:tc>
          <w:tcPr>
            <w:tcW w:w="2410" w:type="dxa"/>
            <w:tcBorders>
              <w:top w:val="nil"/>
              <w:left w:val="nil"/>
              <w:bottom w:val="single" w:color="auto" w:sz="8" w:space="0"/>
              <w:right w:val="single" w:color="auto" w:sz="8" w:space="0"/>
            </w:tcBorders>
            <w:vAlign w:val="bottom"/>
          </w:tcPr>
          <w:p>
            <w:pPr>
              <w:adjustRightInd/>
              <w:jc w:val="left"/>
              <w:textAlignment w:val="auto"/>
              <w:rPr>
                <w:rFonts w:ascii="宋体" w:hAnsi="宋体" w:cs="宋体"/>
                <w:sz w:val="20"/>
              </w:rPr>
            </w:pPr>
            <w:r>
              <w:rPr>
                <w:rFonts w:hint="eastAsia" w:ascii="宋体" w:hAnsi="宋体" w:cs="宋体"/>
                <w:sz w:val="20"/>
              </w:rPr>
              <w:t>　</w:t>
            </w:r>
          </w:p>
        </w:tc>
        <w:tc>
          <w:tcPr>
            <w:tcW w:w="1842" w:type="dxa"/>
            <w:tcBorders>
              <w:top w:val="nil"/>
              <w:left w:val="nil"/>
              <w:bottom w:val="single" w:color="auto" w:sz="8" w:space="0"/>
              <w:right w:val="single" w:color="auto" w:sz="8" w:space="0"/>
            </w:tcBorders>
            <w:vAlign w:val="bottom"/>
          </w:tcPr>
          <w:p>
            <w:pPr>
              <w:adjustRightInd/>
              <w:jc w:val="right"/>
              <w:textAlignment w:val="auto"/>
              <w:rPr>
                <w:rFonts w:ascii="Arial" w:hAnsi="Arial" w:cs="Arial"/>
                <w:sz w:val="20"/>
              </w:rPr>
            </w:pPr>
            <w:r>
              <w:rPr>
                <w:rFonts w:ascii="Arial" w:hAnsi="Arial" w:cs="Arial"/>
                <w:sz w:val="20"/>
              </w:rPr>
              <w:t>　</w:t>
            </w:r>
          </w:p>
        </w:tc>
        <w:tc>
          <w:tcPr>
            <w:tcW w:w="1560" w:type="dxa"/>
            <w:tcBorders>
              <w:top w:val="nil"/>
              <w:left w:val="nil"/>
              <w:bottom w:val="single" w:color="auto" w:sz="8" w:space="0"/>
              <w:right w:val="single" w:color="auto" w:sz="8" w:space="0"/>
            </w:tcBorders>
            <w:vAlign w:val="bottom"/>
          </w:tcPr>
          <w:p>
            <w:pPr>
              <w:adjustRightInd/>
              <w:jc w:val="right"/>
              <w:textAlignment w:val="auto"/>
              <w:rPr>
                <w:rFonts w:ascii="Arial" w:hAnsi="Arial" w:cs="Arial"/>
                <w:sz w:val="20"/>
              </w:rPr>
            </w:pPr>
            <w:r>
              <w:rPr>
                <w:rFonts w:ascii="Arial" w:hAnsi="Arial" w:cs="Arial"/>
                <w:sz w:val="20"/>
              </w:rPr>
              <w:t>　</w:t>
            </w:r>
          </w:p>
        </w:tc>
      </w:tr>
      <w:tr>
        <w:trPr>
          <w:trHeight w:val="405" w:hRule="atLeast"/>
        </w:trPr>
        <w:tc>
          <w:tcPr>
            <w:tcW w:w="7102" w:type="dxa"/>
            <w:tcBorders>
              <w:top w:val="nil"/>
              <w:left w:val="nil"/>
              <w:bottom w:val="nil"/>
              <w:right w:val="nil"/>
            </w:tcBorders>
            <w:vAlign w:val="bottom"/>
          </w:tcPr>
          <w:p>
            <w:pPr>
              <w:adjustRightInd/>
              <w:textAlignment w:val="auto"/>
              <w:rPr>
                <w:sz w:val="32"/>
                <w:szCs w:val="32"/>
              </w:rPr>
            </w:pPr>
          </w:p>
        </w:tc>
        <w:tc>
          <w:tcPr>
            <w:tcW w:w="241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842"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560" w:type="dxa"/>
            <w:tcBorders>
              <w:top w:val="nil"/>
              <w:left w:val="nil"/>
              <w:bottom w:val="nil"/>
              <w:right w:val="nil"/>
            </w:tcBorders>
            <w:vAlign w:val="bottom"/>
          </w:tcPr>
          <w:p>
            <w:pPr>
              <w:adjustRightInd/>
              <w:jc w:val="left"/>
              <w:textAlignment w:val="auto"/>
              <w:rPr>
                <w:rFonts w:ascii="宋体" w:hAnsi="宋体" w:cs="宋体"/>
                <w:sz w:val="24"/>
                <w:szCs w:val="24"/>
              </w:rPr>
            </w:pPr>
          </w:p>
        </w:tc>
      </w:tr>
      <w:tr>
        <w:trPr>
          <w:trHeight w:val="405" w:hRule="atLeast"/>
        </w:trPr>
        <w:tc>
          <w:tcPr>
            <w:tcW w:w="12914" w:type="dxa"/>
            <w:gridSpan w:val="4"/>
            <w:tcBorders>
              <w:top w:val="nil"/>
              <w:left w:val="nil"/>
              <w:bottom w:val="nil"/>
              <w:right w:val="nil"/>
            </w:tcBorders>
            <w:vAlign w:val="bottom"/>
          </w:tcPr>
          <w:p>
            <w:pPr>
              <w:adjustRightInd/>
              <w:jc w:val="center"/>
              <w:textAlignment w:val="auto"/>
              <w:rPr>
                <w:rFonts w:ascii="仿宋_GB2312" w:hAnsi="宋体" w:eastAsia="仿宋_GB2312" w:cs="宋体"/>
                <w:sz w:val="32"/>
                <w:szCs w:val="32"/>
              </w:rPr>
            </w:pPr>
            <w:r>
              <w:rPr>
                <w:rFonts w:hint="eastAsia" w:ascii="仿宋_GB2312" w:hAnsi="宋体" w:eastAsia="仿宋_GB2312" w:cs="宋体"/>
                <w:sz w:val="32"/>
                <w:szCs w:val="32"/>
              </w:rPr>
              <w:t>市科协部门没有政府性基金预算拨款安排的支出，故本表无数据。</w:t>
            </w:r>
          </w:p>
        </w:tc>
      </w:tr>
    </w:tbl>
    <w:p>
      <w:pPr>
        <w:pStyle w:val="2"/>
        <w:sectPr>
          <w:pgSz w:w="16838" w:h="11906" w:orient="landscape"/>
          <w:pgMar w:top="1418" w:right="1440" w:bottom="1134" w:left="1440" w:header="851" w:footer="992" w:gutter="0"/>
          <w:cols w:space="425" w:num="1"/>
          <w:docGrid w:type="lines" w:linePitch="312"/>
        </w:sectPr>
      </w:pPr>
    </w:p>
    <w:tbl>
      <w:tblPr>
        <w:tblW w:w="856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840"/>
        <w:gridCol w:w="3720"/>
      </w:tblGrid>
      <w:tr>
        <w:trPr>
          <w:trHeight w:val="465" w:hRule="atLeast"/>
        </w:trPr>
        <w:tc>
          <w:tcPr>
            <w:tcW w:w="8560" w:type="dxa"/>
            <w:gridSpan w:val="2"/>
            <w:tcBorders>
              <w:top w:val="nil"/>
              <w:left w:val="nil"/>
              <w:bottom w:val="nil"/>
              <w:right w:val="nil"/>
            </w:tcBorders>
            <w:vAlign w:val="center"/>
          </w:tcPr>
          <w:p>
            <w:pPr>
              <w:adjustRightInd/>
              <w:jc w:val="center"/>
              <w:textAlignment w:val="auto"/>
              <w:rPr>
                <w:rFonts w:ascii="Arial" w:hAnsi="Arial" w:cs="Arial"/>
                <w:color w:val="000000"/>
                <w:sz w:val="36"/>
                <w:szCs w:val="36"/>
              </w:rPr>
            </w:pPr>
            <w:r>
              <w:rPr>
                <w:rFonts w:ascii="Arial" w:hAnsi="Arial" w:cs="Arial"/>
                <w:color w:val="000000"/>
                <w:sz w:val="36"/>
                <w:szCs w:val="36"/>
              </w:rPr>
              <w:t>2019</w:t>
            </w:r>
            <w:r>
              <w:rPr>
                <w:rFonts w:hint="eastAsia" w:ascii="宋体" w:hAnsi="宋体" w:cs="Arial"/>
                <w:color w:val="000000"/>
                <w:sz w:val="36"/>
                <w:szCs w:val="36"/>
              </w:rPr>
              <w:t>年一般公共预算基本支出表</w:t>
            </w:r>
            <w:r>
              <w:rPr>
                <w:rFonts w:ascii="Arial" w:hAnsi="Arial" w:cs="Arial"/>
                <w:color w:val="000000"/>
                <w:sz w:val="36"/>
                <w:szCs w:val="36"/>
              </w:rPr>
              <w:t>(</w:t>
            </w:r>
            <w:r>
              <w:rPr>
                <w:rFonts w:hint="eastAsia" w:ascii="宋体" w:hAnsi="宋体" w:cs="Arial"/>
                <w:color w:val="000000"/>
                <w:sz w:val="36"/>
                <w:szCs w:val="36"/>
              </w:rPr>
              <w:t>表</w:t>
            </w:r>
            <w:r>
              <w:rPr>
                <w:rFonts w:ascii="Arial" w:hAnsi="Arial" w:cs="Arial"/>
                <w:color w:val="000000"/>
                <w:sz w:val="36"/>
                <w:szCs w:val="36"/>
              </w:rPr>
              <w:t>05</w:t>
            </w:r>
            <w:r>
              <w:rPr>
                <w:rFonts w:hint="eastAsia" w:ascii="宋体" w:hAnsi="宋体" w:cs="Arial"/>
                <w:color w:val="000000"/>
                <w:sz w:val="36"/>
                <w:szCs w:val="36"/>
              </w:rPr>
              <w:t>）</w:t>
            </w:r>
          </w:p>
        </w:tc>
      </w:tr>
      <w:tr>
        <w:trPr>
          <w:trHeight w:val="499" w:hRule="atLeast"/>
        </w:trPr>
        <w:tc>
          <w:tcPr>
            <w:tcW w:w="4840" w:type="dxa"/>
            <w:tcBorders>
              <w:top w:val="nil"/>
              <w:left w:val="nil"/>
              <w:bottom w:val="nil"/>
              <w:right w:val="nil"/>
            </w:tcBorders>
            <w:vAlign w:val="center"/>
          </w:tcPr>
          <w:p>
            <w:pPr>
              <w:adjustRightInd/>
              <w:jc w:val="left"/>
              <w:textAlignment w:val="auto"/>
              <w:rPr>
                <w:rFonts w:ascii="宋体" w:hAnsi="宋体" w:cs="宋体"/>
                <w:color w:val="000000"/>
                <w:szCs w:val="21"/>
              </w:rPr>
            </w:pPr>
          </w:p>
          <w:p>
            <w:pPr>
              <w:adjustRightInd/>
              <w:jc w:val="left"/>
              <w:textAlignment w:val="auto"/>
              <w:rPr>
                <w:rFonts w:ascii="宋体" w:hAnsi="宋体" w:cs="宋体"/>
                <w:color w:val="000000"/>
                <w:szCs w:val="21"/>
              </w:rPr>
            </w:pPr>
            <w:r>
              <w:rPr>
                <w:rFonts w:hint="eastAsia" w:ascii="宋体" w:hAnsi="宋体" w:cs="宋体"/>
                <w:color w:val="000000"/>
                <w:szCs w:val="21"/>
              </w:rPr>
              <w:t>单位：温岭市科学技术协会</w:t>
            </w:r>
          </w:p>
        </w:tc>
        <w:tc>
          <w:tcPr>
            <w:tcW w:w="3720" w:type="dxa"/>
            <w:tcBorders>
              <w:top w:val="nil"/>
              <w:left w:val="nil"/>
              <w:bottom w:val="nil"/>
              <w:right w:val="nil"/>
            </w:tcBorders>
            <w:vAlign w:val="center"/>
          </w:tcPr>
          <w:p>
            <w:pPr>
              <w:adjustRightInd/>
              <w:jc w:val="right"/>
              <w:textAlignment w:val="auto"/>
              <w:rPr>
                <w:rFonts w:ascii="宋体" w:hAnsi="宋体" w:cs="宋体"/>
                <w:color w:val="000000"/>
                <w:szCs w:val="21"/>
              </w:rPr>
            </w:pPr>
            <w:r>
              <w:rPr>
                <w:rFonts w:hint="eastAsia" w:ascii="宋体" w:hAnsi="宋体" w:cs="宋体"/>
                <w:color w:val="000000"/>
                <w:szCs w:val="21"/>
              </w:rPr>
              <w:t>单位：元</w:t>
            </w:r>
          </w:p>
        </w:tc>
      </w:tr>
      <w:tr>
        <w:trPr>
          <w:trHeight w:val="300" w:hRule="atLeast"/>
        </w:trPr>
        <w:tc>
          <w:tcPr>
            <w:tcW w:w="4840" w:type="dxa"/>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Cs w:val="21"/>
              </w:rPr>
            </w:pPr>
            <w:r>
              <w:rPr>
                <w:rFonts w:hint="eastAsia" w:ascii="宋体" w:hAnsi="宋体" w:cs="宋体"/>
                <w:color w:val="000000"/>
                <w:szCs w:val="21"/>
              </w:rPr>
              <w:t>项  目</w:t>
            </w:r>
          </w:p>
        </w:tc>
        <w:tc>
          <w:tcPr>
            <w:tcW w:w="3720" w:type="dxa"/>
            <w:tcBorders>
              <w:top w:val="single" w:color="auto" w:sz="4" w:space="0"/>
              <w:left w:val="nil"/>
              <w:bottom w:val="single" w:color="auto" w:sz="4" w:space="0"/>
              <w:right w:val="single" w:color="auto" w:sz="4" w:space="0"/>
            </w:tcBorders>
            <w:vAlign w:val="center"/>
          </w:tcPr>
          <w:p>
            <w:pPr>
              <w:adjustRightInd/>
              <w:jc w:val="center"/>
              <w:textAlignment w:val="auto"/>
              <w:rPr>
                <w:rFonts w:ascii="宋体" w:hAnsi="宋体" w:cs="宋体"/>
                <w:color w:val="000000"/>
                <w:szCs w:val="21"/>
              </w:rPr>
            </w:pPr>
            <w:r>
              <w:rPr>
                <w:rFonts w:hint="eastAsia" w:ascii="宋体" w:hAnsi="宋体" w:cs="宋体"/>
                <w:color w:val="000000"/>
                <w:szCs w:val="21"/>
              </w:rPr>
              <w:t>金额</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eastAsia="宋体" w:cs="宋体"/>
                <w:color w:val="000000"/>
                <w:sz w:val="18"/>
                <w:szCs w:val="18"/>
              </w:rPr>
            </w:pPr>
            <w:r>
              <w:rPr>
                <w:rFonts w:hint="eastAsia" w:ascii="宋体" w:hAnsi="宋体" w:eastAsia="宋体" w:cs="宋体"/>
                <w:color w:val="000000"/>
                <w:sz w:val="18"/>
                <w:szCs w:val="18"/>
              </w:rPr>
              <w:t>一、工资福利支出</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2,243,746.20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基本工资</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470,160.00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津贴补贴</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683,412.00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奖金</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397,292.00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绩效工资</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机关事业单位单位基本养老保险缴费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238,233.00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职业年金缴费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95,293.20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宋体"/>
                <w:color w:val="000000"/>
                <w:sz w:val="18"/>
                <w:szCs w:val="18"/>
              </w:rPr>
            </w:pPr>
            <w:r>
              <w:rPr>
                <w:rFonts w:hint="eastAsia" w:ascii="宋体" w:hAnsi="宋体" w:eastAsia="宋体" w:cs="宋体"/>
                <w:color w:val="000000"/>
                <w:sz w:val="18"/>
                <w:szCs w:val="18"/>
              </w:rPr>
              <w:t>职工基本医疗保险缴费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51,100.00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宋体"/>
                <w:color w:val="000000"/>
                <w:sz w:val="18"/>
                <w:szCs w:val="18"/>
              </w:rPr>
            </w:pPr>
            <w:r>
              <w:rPr>
                <w:rFonts w:hint="eastAsia" w:ascii="宋体" w:hAnsi="宋体" w:eastAsia="宋体" w:cs="宋体"/>
                <w:color w:val="000000"/>
                <w:sz w:val="18"/>
                <w:szCs w:val="18"/>
              </w:rPr>
              <w:t>公务员医疗补助缴费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40,350.00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其他社会保障缴费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8,950.00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宋体"/>
                <w:color w:val="000000"/>
                <w:sz w:val="18"/>
                <w:szCs w:val="18"/>
              </w:rPr>
            </w:pPr>
            <w:r>
              <w:rPr>
                <w:rFonts w:hint="eastAsia" w:ascii="宋体" w:hAnsi="宋体" w:eastAsia="宋体" w:cs="宋体"/>
                <w:color w:val="000000"/>
                <w:sz w:val="18"/>
                <w:szCs w:val="18"/>
              </w:rPr>
              <w:t>住房公积金</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241,476.00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宋体"/>
                <w:color w:val="000000"/>
                <w:sz w:val="18"/>
                <w:szCs w:val="18"/>
              </w:rPr>
            </w:pPr>
            <w:r>
              <w:rPr>
                <w:rFonts w:hint="eastAsia" w:ascii="宋体" w:hAnsi="宋体" w:eastAsia="宋体" w:cs="宋体"/>
                <w:color w:val="000000"/>
                <w:sz w:val="18"/>
                <w:szCs w:val="18"/>
              </w:rPr>
              <w:t>医疗费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其他工资福利支出</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17,480.00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eastAsia="宋体" w:cs="宋体"/>
                <w:color w:val="000000"/>
                <w:sz w:val="18"/>
                <w:szCs w:val="18"/>
              </w:rPr>
            </w:pPr>
            <w:r>
              <w:rPr>
                <w:rFonts w:hint="eastAsia" w:ascii="宋体" w:hAnsi="宋体" w:eastAsia="宋体" w:cs="宋体"/>
                <w:color w:val="000000"/>
                <w:sz w:val="18"/>
                <w:szCs w:val="18"/>
              </w:rPr>
              <w:t>二、商品和服务支出</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325,080.00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办公费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18,000.00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印刷费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10,000.00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咨询费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手续费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水费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电费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邮电费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12,000.00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物业管理费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差旅费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15,000.00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维修（护）费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租赁费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会议费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10,000.00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培训费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公务接待费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10,000.00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专用材料费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被装购置费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劳务费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48,000.00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委托业务费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工会经费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16,000.00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福利费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68,000.00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公务用车运行维护费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其他交通费用</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84,480.00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其他商品和服务支出</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33,600.00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eastAsia="宋体" w:cs="宋体"/>
                <w:color w:val="000000"/>
                <w:sz w:val="18"/>
                <w:szCs w:val="18"/>
              </w:rPr>
            </w:pPr>
            <w:r>
              <w:rPr>
                <w:rFonts w:hint="eastAsia" w:ascii="宋体" w:hAnsi="宋体" w:eastAsia="宋体" w:cs="宋体"/>
                <w:color w:val="000000"/>
                <w:sz w:val="18"/>
                <w:szCs w:val="18"/>
              </w:rPr>
              <w:t>三、对个人和家庭的补助</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29,710.00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离休费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退休费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2,400.00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退职（役）费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抚恤金</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生活补助</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宋体"/>
                <w:color w:val="000000"/>
                <w:sz w:val="18"/>
                <w:szCs w:val="18"/>
              </w:rPr>
            </w:pPr>
            <w:r>
              <w:rPr>
                <w:rFonts w:hint="eastAsia" w:ascii="宋体" w:hAnsi="宋体" w:eastAsia="宋体" w:cs="宋体"/>
                <w:color w:val="000000"/>
                <w:sz w:val="18"/>
                <w:szCs w:val="18"/>
              </w:rPr>
              <w:t>医疗补助费</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27,210.00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奖励金</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100.00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其他对个人和家庭的补助支出</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jc w:val="left"/>
              <w:textAlignment w:val="auto"/>
              <w:rPr>
                <w:rFonts w:ascii="宋体" w:hAnsi="宋体" w:eastAsia="宋体" w:cs="宋体"/>
                <w:color w:val="000000"/>
                <w:sz w:val="18"/>
                <w:szCs w:val="18"/>
              </w:rPr>
            </w:pPr>
            <w:r>
              <w:rPr>
                <w:rFonts w:hint="eastAsia" w:ascii="宋体" w:hAnsi="宋体" w:eastAsia="宋体" w:cs="宋体"/>
                <w:color w:val="000000"/>
                <w:sz w:val="18"/>
                <w:szCs w:val="18"/>
              </w:rPr>
              <w:t>四、其他资本性支出</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办公设备购置</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专用设备购置</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ind w:firstLine="360" w:firstLineChars="200"/>
              <w:jc w:val="left"/>
              <w:textAlignment w:val="auto"/>
              <w:rPr>
                <w:rFonts w:ascii="宋体" w:hAnsi="宋体" w:eastAsia="宋体" w:cs="Arial"/>
                <w:color w:val="000000"/>
                <w:sz w:val="18"/>
                <w:szCs w:val="18"/>
              </w:rPr>
            </w:pPr>
            <w:r>
              <w:rPr>
                <w:rFonts w:ascii="宋体" w:hAnsi="宋体" w:eastAsia="宋体" w:cs="Arial"/>
                <w:color w:val="000000"/>
                <w:sz w:val="18"/>
                <w:szCs w:val="18"/>
              </w:rPr>
              <w:t>资本性支出其他</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0.00 </w:t>
            </w:r>
          </w:p>
        </w:tc>
      </w:tr>
      <w:tr>
        <w:trPr>
          <w:trHeight w:val="300" w:hRule="atLeast"/>
        </w:trPr>
        <w:tc>
          <w:tcPr>
            <w:tcW w:w="4840" w:type="dxa"/>
            <w:tcBorders>
              <w:top w:val="nil"/>
              <w:left w:val="single" w:color="auto" w:sz="4" w:space="0"/>
              <w:bottom w:val="single" w:color="auto" w:sz="4" w:space="0"/>
              <w:right w:val="single" w:color="auto" w:sz="4" w:space="0"/>
            </w:tcBorders>
            <w:vAlign w:val="center"/>
          </w:tcPr>
          <w:p>
            <w:pPr>
              <w:adjustRightInd/>
              <w:jc w:val="center"/>
              <w:textAlignment w:val="auto"/>
              <w:rPr>
                <w:rFonts w:ascii="宋体" w:hAnsi="宋体" w:eastAsia="宋体" w:cs="宋体"/>
                <w:color w:val="000000"/>
                <w:sz w:val="18"/>
                <w:szCs w:val="18"/>
              </w:rPr>
            </w:pPr>
            <w:r>
              <w:rPr>
                <w:rFonts w:hint="eastAsia" w:ascii="宋体" w:hAnsi="宋体" w:eastAsia="宋体" w:cs="宋体"/>
                <w:color w:val="000000"/>
                <w:sz w:val="18"/>
                <w:szCs w:val="18"/>
              </w:rPr>
              <w:t>支出合计</w:t>
            </w:r>
          </w:p>
        </w:tc>
        <w:tc>
          <w:tcPr>
            <w:tcW w:w="372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Cs w:val="21"/>
              </w:rPr>
            </w:pPr>
            <w:r>
              <w:rPr>
                <w:rFonts w:ascii="Arial" w:hAnsi="Arial" w:cs="Arial"/>
                <w:color w:val="000000"/>
                <w:szCs w:val="21"/>
              </w:rPr>
              <w:t xml:space="preserve">2,598,536.20 </w:t>
            </w:r>
          </w:p>
        </w:tc>
      </w:tr>
    </w:tbl>
    <w:p>
      <w:pPr>
        <w:pStyle w:val="2"/>
        <w:sectPr>
          <w:pgSz w:w="11906" w:h="16838"/>
          <w:pgMar w:top="1440" w:right="1134" w:bottom="1440" w:left="1418" w:header="851" w:footer="992" w:gutter="0"/>
          <w:cols w:space="425" w:num="1"/>
          <w:docGrid w:type="lines" w:linePitch="312"/>
        </w:sectPr>
      </w:pPr>
    </w:p>
    <w:tbl>
      <w:tblPr>
        <w:tblW w:w="14501"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432"/>
        <w:gridCol w:w="1560"/>
        <w:gridCol w:w="1120"/>
        <w:gridCol w:w="820"/>
        <w:gridCol w:w="660"/>
        <w:gridCol w:w="1380"/>
        <w:gridCol w:w="906"/>
        <w:gridCol w:w="856"/>
        <w:gridCol w:w="700"/>
        <w:gridCol w:w="708"/>
        <w:gridCol w:w="799"/>
        <w:gridCol w:w="1560"/>
      </w:tblGrid>
      <w:tr>
        <w:trPr>
          <w:trHeight w:val="499" w:hRule="atLeast"/>
        </w:trPr>
        <w:tc>
          <w:tcPr>
            <w:tcW w:w="14501" w:type="dxa"/>
            <w:gridSpan w:val="12"/>
            <w:tcBorders>
              <w:top w:val="nil"/>
              <w:left w:val="nil"/>
              <w:bottom w:val="nil"/>
              <w:right w:val="nil"/>
            </w:tcBorders>
            <w:vAlign w:val="center"/>
          </w:tcPr>
          <w:p>
            <w:pPr>
              <w:adjustRightInd/>
              <w:jc w:val="center"/>
              <w:textAlignment w:val="auto"/>
              <w:rPr>
                <w:rFonts w:ascii="Arial" w:hAnsi="Arial" w:cs="Arial"/>
                <w:color w:val="000000"/>
                <w:sz w:val="36"/>
                <w:szCs w:val="36"/>
              </w:rPr>
            </w:pPr>
            <w:r>
              <w:rPr>
                <w:rFonts w:ascii="Arial" w:hAnsi="Arial" w:cs="Arial"/>
                <w:color w:val="000000"/>
                <w:sz w:val="36"/>
                <w:szCs w:val="36"/>
              </w:rPr>
              <w:t>2019</w:t>
            </w:r>
            <w:r>
              <w:rPr>
                <w:rFonts w:hint="eastAsia" w:ascii="宋体" w:hAnsi="宋体" w:cs="Arial"/>
                <w:color w:val="000000"/>
                <w:sz w:val="36"/>
                <w:szCs w:val="36"/>
              </w:rPr>
              <w:t>年部门收入预算总表（</w:t>
            </w:r>
            <w:r>
              <w:rPr>
                <w:rFonts w:ascii="Arial" w:hAnsi="Arial" w:cs="Arial"/>
                <w:color w:val="000000"/>
                <w:sz w:val="36"/>
                <w:szCs w:val="36"/>
              </w:rPr>
              <w:t>06</w:t>
            </w:r>
            <w:r>
              <w:rPr>
                <w:rFonts w:hint="eastAsia" w:ascii="宋体" w:hAnsi="宋体" w:cs="Arial"/>
                <w:color w:val="000000"/>
                <w:sz w:val="36"/>
                <w:szCs w:val="36"/>
              </w:rPr>
              <w:t>表）</w:t>
            </w:r>
          </w:p>
        </w:tc>
      </w:tr>
      <w:tr>
        <w:trPr>
          <w:trHeight w:val="499" w:hRule="atLeast"/>
        </w:trPr>
        <w:tc>
          <w:tcPr>
            <w:tcW w:w="3432"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1560"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1120"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820"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660"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1380"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906"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856"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700"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708"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2359" w:type="dxa"/>
            <w:gridSpan w:val="2"/>
            <w:tcBorders>
              <w:top w:val="nil"/>
              <w:left w:val="nil"/>
              <w:bottom w:val="single" w:color="000000" w:sz="4" w:space="0"/>
              <w:right w:val="nil"/>
            </w:tcBorders>
            <w:vAlign w:val="bottom"/>
          </w:tcPr>
          <w:p>
            <w:pPr>
              <w:adjustRightInd/>
              <w:jc w:val="center"/>
              <w:textAlignment w:val="auto"/>
              <w:rPr>
                <w:rFonts w:ascii="宋体" w:hAnsi="宋体" w:cs="宋体"/>
                <w:color w:val="000000"/>
                <w:sz w:val="20"/>
              </w:rPr>
            </w:pPr>
            <w:r>
              <w:rPr>
                <w:rFonts w:hint="eastAsia" w:ascii="宋体" w:hAnsi="宋体" w:cs="宋体"/>
                <w:color w:val="000000"/>
                <w:sz w:val="20"/>
              </w:rPr>
              <w:t>单位：元</w:t>
            </w:r>
          </w:p>
        </w:tc>
      </w:tr>
      <w:tr>
        <w:trPr>
          <w:trHeight w:val="499" w:hRule="atLeast"/>
        </w:trPr>
        <w:tc>
          <w:tcPr>
            <w:tcW w:w="3432"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宋体" w:hAnsi="宋体" w:cs="宋体"/>
                <w:color w:val="000000"/>
                <w:sz w:val="20"/>
              </w:rPr>
            </w:pPr>
            <w:r>
              <w:rPr>
                <w:rFonts w:hint="eastAsia" w:ascii="宋体" w:hAnsi="宋体" w:cs="宋体"/>
                <w:color w:val="000000"/>
                <w:sz w:val="20"/>
              </w:rPr>
              <w:t>单位名称</w:t>
            </w:r>
          </w:p>
        </w:tc>
        <w:tc>
          <w:tcPr>
            <w:tcW w:w="5540" w:type="dxa"/>
            <w:gridSpan w:val="5"/>
            <w:tcBorders>
              <w:top w:val="single" w:color="000000" w:sz="4" w:space="0"/>
              <w:left w:val="nil"/>
              <w:bottom w:val="single" w:color="000000" w:sz="4" w:space="0"/>
              <w:right w:val="single" w:color="000000" w:sz="4" w:space="0"/>
            </w:tcBorders>
            <w:vAlign w:val="center"/>
          </w:tcPr>
          <w:p>
            <w:pPr>
              <w:adjustRightInd/>
              <w:jc w:val="center"/>
              <w:textAlignment w:val="auto"/>
              <w:rPr>
                <w:rFonts w:ascii="宋体" w:hAnsi="宋体" w:cs="宋体"/>
                <w:color w:val="000000"/>
                <w:sz w:val="20"/>
              </w:rPr>
            </w:pPr>
            <w:r>
              <w:rPr>
                <w:rFonts w:hint="eastAsia" w:ascii="宋体" w:hAnsi="宋体" w:cs="宋体"/>
                <w:color w:val="000000"/>
                <w:sz w:val="20"/>
              </w:rPr>
              <w:t>财政拨款</w:t>
            </w:r>
          </w:p>
        </w:tc>
        <w:tc>
          <w:tcPr>
            <w:tcW w:w="906"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专户收入</w:t>
            </w:r>
          </w:p>
        </w:tc>
        <w:tc>
          <w:tcPr>
            <w:tcW w:w="856"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国有资本经营预算收入</w:t>
            </w:r>
          </w:p>
        </w:tc>
        <w:tc>
          <w:tcPr>
            <w:tcW w:w="700"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其他收入</w:t>
            </w:r>
          </w:p>
        </w:tc>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退库</w:t>
            </w:r>
          </w:p>
        </w:tc>
        <w:tc>
          <w:tcPr>
            <w:tcW w:w="799" w:type="dxa"/>
            <w:vMerge w:val="restart"/>
            <w:tcBorders>
              <w:top w:val="nil"/>
              <w:left w:val="single" w:color="000000" w:sz="4" w:space="0"/>
              <w:bottom w:val="single" w:color="000000" w:sz="4" w:space="0"/>
              <w:right w:val="single" w:color="000000"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镇(街道)补助</w:t>
            </w:r>
          </w:p>
        </w:tc>
        <w:tc>
          <w:tcPr>
            <w:tcW w:w="1560" w:type="dxa"/>
            <w:vMerge w:val="restart"/>
            <w:tcBorders>
              <w:top w:val="nil"/>
              <w:left w:val="single" w:color="000000" w:sz="4" w:space="0"/>
              <w:bottom w:val="single" w:color="000000" w:sz="4" w:space="0"/>
              <w:right w:val="single" w:color="000000" w:sz="4" w:space="0"/>
            </w:tcBorders>
            <w:vAlign w:val="center"/>
          </w:tcPr>
          <w:p>
            <w:pPr>
              <w:adjustRightInd/>
              <w:jc w:val="center"/>
              <w:textAlignment w:val="auto"/>
              <w:rPr>
                <w:rFonts w:ascii="宋体" w:hAnsi="宋体" w:cs="宋体"/>
                <w:color w:val="000000"/>
                <w:sz w:val="20"/>
              </w:rPr>
            </w:pPr>
            <w:r>
              <w:rPr>
                <w:rFonts w:hint="eastAsia" w:ascii="宋体" w:hAnsi="宋体" w:cs="宋体"/>
                <w:color w:val="000000"/>
                <w:sz w:val="20"/>
              </w:rPr>
              <w:t>总计</w:t>
            </w:r>
          </w:p>
        </w:tc>
      </w:tr>
      <w:tr>
        <w:trPr>
          <w:trHeight w:val="960" w:hRule="atLeast"/>
        </w:trPr>
        <w:tc>
          <w:tcPr>
            <w:tcW w:w="3432"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宋体" w:hAnsi="宋体" w:cs="宋体"/>
                <w:color w:val="000000"/>
                <w:sz w:val="20"/>
              </w:rPr>
            </w:pPr>
          </w:p>
        </w:tc>
        <w:tc>
          <w:tcPr>
            <w:tcW w:w="1560" w:type="dxa"/>
            <w:tcBorders>
              <w:top w:val="nil"/>
              <w:left w:val="nil"/>
              <w:bottom w:val="single" w:color="000000" w:sz="4" w:space="0"/>
              <w:right w:val="single" w:color="000000"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一般公共预算拨款收入</w:t>
            </w:r>
          </w:p>
        </w:tc>
        <w:tc>
          <w:tcPr>
            <w:tcW w:w="1120" w:type="dxa"/>
            <w:tcBorders>
              <w:top w:val="nil"/>
              <w:left w:val="nil"/>
              <w:bottom w:val="single" w:color="000000" w:sz="4" w:space="0"/>
              <w:right w:val="single" w:color="000000"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政府性基金预算拨款</w:t>
            </w:r>
          </w:p>
        </w:tc>
        <w:tc>
          <w:tcPr>
            <w:tcW w:w="820" w:type="dxa"/>
            <w:tcBorders>
              <w:top w:val="nil"/>
              <w:left w:val="nil"/>
              <w:bottom w:val="single" w:color="000000" w:sz="4" w:space="0"/>
              <w:right w:val="single" w:color="000000"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省补助收入</w:t>
            </w:r>
          </w:p>
        </w:tc>
        <w:tc>
          <w:tcPr>
            <w:tcW w:w="660" w:type="dxa"/>
            <w:tcBorders>
              <w:top w:val="nil"/>
              <w:left w:val="nil"/>
              <w:bottom w:val="single" w:color="000000" w:sz="4" w:space="0"/>
              <w:right w:val="single" w:color="000000" w:sz="4" w:space="0"/>
            </w:tcBorders>
            <w:vAlign w:val="center"/>
          </w:tcPr>
          <w:p>
            <w:pPr>
              <w:adjustRightInd/>
              <w:jc w:val="left"/>
              <w:textAlignment w:val="auto"/>
              <w:rPr>
                <w:rFonts w:ascii="Arial" w:hAnsi="Arial" w:cs="Arial"/>
                <w:color w:val="000000"/>
                <w:sz w:val="20"/>
              </w:rPr>
            </w:pPr>
            <w:r>
              <w:rPr>
                <w:rFonts w:ascii="Arial" w:hAnsi="Arial" w:cs="Arial"/>
                <w:color w:val="000000"/>
                <w:sz w:val="20"/>
              </w:rPr>
              <w:t>调入资金</w:t>
            </w:r>
          </w:p>
        </w:tc>
        <w:tc>
          <w:tcPr>
            <w:tcW w:w="1380" w:type="dxa"/>
            <w:tcBorders>
              <w:top w:val="nil"/>
              <w:left w:val="nil"/>
              <w:bottom w:val="single" w:color="000000" w:sz="4" w:space="0"/>
              <w:right w:val="single" w:color="000000"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上年结转</w:t>
            </w:r>
          </w:p>
        </w:tc>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Arial" w:hAnsi="Arial" w:cs="Arial"/>
                <w:color w:val="000000"/>
                <w:sz w:val="20"/>
              </w:rPr>
            </w:pPr>
          </w:p>
        </w:tc>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Arial" w:hAnsi="Arial" w:cs="Arial"/>
                <w:color w:val="000000"/>
                <w:sz w:val="20"/>
              </w:rPr>
            </w:pPr>
          </w:p>
        </w:tc>
        <w:tc>
          <w:tcPr>
            <w:tcW w:w="700"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Arial" w:hAnsi="Arial" w:cs="Arial"/>
                <w:color w:val="000000"/>
                <w:sz w:val="20"/>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Arial" w:hAnsi="Arial" w:cs="Arial"/>
                <w:color w:val="000000"/>
                <w:sz w:val="20"/>
              </w:rPr>
            </w:pPr>
          </w:p>
        </w:tc>
        <w:tc>
          <w:tcPr>
            <w:tcW w:w="799" w:type="dxa"/>
            <w:vMerge w:val="continue"/>
            <w:tcBorders>
              <w:top w:val="nil"/>
              <w:left w:val="single" w:color="000000" w:sz="4" w:space="0"/>
              <w:bottom w:val="single" w:color="000000" w:sz="4" w:space="0"/>
              <w:right w:val="single" w:color="000000" w:sz="4" w:space="0"/>
            </w:tcBorders>
            <w:vAlign w:val="center"/>
          </w:tcPr>
          <w:p>
            <w:pPr>
              <w:adjustRightInd/>
              <w:jc w:val="left"/>
              <w:textAlignment w:val="auto"/>
              <w:rPr>
                <w:rFonts w:ascii="Arial" w:hAnsi="Arial" w:cs="Arial"/>
                <w:color w:val="000000"/>
                <w:sz w:val="20"/>
              </w:rPr>
            </w:pPr>
          </w:p>
        </w:tc>
        <w:tc>
          <w:tcPr>
            <w:tcW w:w="1560" w:type="dxa"/>
            <w:vMerge w:val="continue"/>
            <w:tcBorders>
              <w:top w:val="nil"/>
              <w:left w:val="single" w:color="000000" w:sz="4" w:space="0"/>
              <w:bottom w:val="single" w:color="000000" w:sz="4" w:space="0"/>
              <w:right w:val="single" w:color="000000" w:sz="4" w:space="0"/>
            </w:tcBorders>
            <w:vAlign w:val="center"/>
          </w:tcPr>
          <w:p>
            <w:pPr>
              <w:adjustRightInd/>
              <w:jc w:val="left"/>
              <w:textAlignment w:val="auto"/>
              <w:rPr>
                <w:rFonts w:ascii="宋体" w:hAnsi="宋体" w:cs="宋体"/>
                <w:color w:val="000000"/>
                <w:sz w:val="20"/>
              </w:rPr>
            </w:pPr>
          </w:p>
        </w:tc>
      </w:tr>
      <w:tr>
        <w:trPr>
          <w:trHeight w:val="499" w:hRule="atLeast"/>
        </w:trPr>
        <w:tc>
          <w:tcPr>
            <w:tcW w:w="3432" w:type="dxa"/>
            <w:tcBorders>
              <w:top w:val="nil"/>
              <w:left w:val="single" w:color="000000" w:sz="4" w:space="0"/>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1600温岭市科学技术协会</w:t>
            </w:r>
          </w:p>
        </w:tc>
        <w:tc>
          <w:tcPr>
            <w:tcW w:w="156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7,146,605.70 </w:t>
            </w:r>
          </w:p>
        </w:tc>
        <w:tc>
          <w:tcPr>
            <w:tcW w:w="1120"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820"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660"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138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31,930.50 </w:t>
            </w:r>
          </w:p>
        </w:tc>
        <w:tc>
          <w:tcPr>
            <w:tcW w:w="906"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856"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700"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708"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799"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156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7,178,536.20 </w:t>
            </w:r>
          </w:p>
        </w:tc>
      </w:tr>
      <w:tr>
        <w:trPr>
          <w:trHeight w:val="915" w:hRule="atLeast"/>
        </w:trPr>
        <w:tc>
          <w:tcPr>
            <w:tcW w:w="3432" w:type="dxa"/>
            <w:tcBorders>
              <w:top w:val="nil"/>
              <w:left w:val="single" w:color="000000" w:sz="4" w:space="0"/>
              <w:bottom w:val="single" w:color="000000" w:sz="4" w:space="0"/>
              <w:right w:val="single" w:color="000000" w:sz="4" w:space="0"/>
            </w:tcBorders>
            <w:vAlign w:val="bottom"/>
          </w:tcPr>
          <w:p>
            <w:pPr>
              <w:adjustRightInd/>
              <w:ind w:firstLine="200" w:firstLineChars="100"/>
              <w:jc w:val="left"/>
              <w:textAlignment w:val="auto"/>
              <w:rPr>
                <w:rFonts w:ascii="Arial" w:hAnsi="Arial" w:cs="Arial"/>
                <w:color w:val="000000"/>
                <w:sz w:val="20"/>
              </w:rPr>
            </w:pPr>
            <w:r>
              <w:rPr>
                <w:rFonts w:ascii="Arial" w:hAnsi="Arial" w:cs="Arial"/>
                <w:color w:val="000000"/>
                <w:sz w:val="20"/>
              </w:rPr>
              <w:t>160100温岭市科学技术协会(本级)</w:t>
            </w:r>
          </w:p>
        </w:tc>
        <w:tc>
          <w:tcPr>
            <w:tcW w:w="156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7,146,605.70 </w:t>
            </w:r>
          </w:p>
        </w:tc>
        <w:tc>
          <w:tcPr>
            <w:tcW w:w="1120"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820"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660"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138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31,930.50 </w:t>
            </w:r>
          </w:p>
        </w:tc>
        <w:tc>
          <w:tcPr>
            <w:tcW w:w="906"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856"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700"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708"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799"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156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7,178,536.20 </w:t>
            </w:r>
          </w:p>
        </w:tc>
      </w:tr>
      <w:tr>
        <w:trPr>
          <w:trHeight w:val="285" w:hRule="atLeast"/>
        </w:trPr>
        <w:tc>
          <w:tcPr>
            <w:tcW w:w="3432"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56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12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82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66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38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906"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856"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70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708"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799"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560" w:type="dxa"/>
            <w:tcBorders>
              <w:top w:val="nil"/>
              <w:left w:val="nil"/>
              <w:bottom w:val="nil"/>
              <w:right w:val="nil"/>
            </w:tcBorders>
            <w:vAlign w:val="bottom"/>
          </w:tcPr>
          <w:p>
            <w:pPr>
              <w:adjustRightInd/>
              <w:jc w:val="left"/>
              <w:textAlignment w:val="auto"/>
              <w:rPr>
                <w:rFonts w:ascii="宋体" w:hAnsi="宋体" w:cs="宋体"/>
                <w:sz w:val="24"/>
                <w:szCs w:val="24"/>
              </w:rPr>
            </w:pPr>
          </w:p>
        </w:tc>
      </w:tr>
    </w:tbl>
    <w:p>
      <w:pPr>
        <w:pStyle w:val="2"/>
        <w:sectPr>
          <w:pgSz w:w="16838" w:h="11906" w:orient="landscape"/>
          <w:pgMar w:top="1418" w:right="1440" w:bottom="1134" w:left="1440" w:header="851" w:footer="992" w:gutter="0"/>
          <w:cols w:space="425" w:num="1"/>
          <w:docGrid w:type="lines" w:linePitch="312"/>
        </w:sectPr>
      </w:pPr>
    </w:p>
    <w:tbl>
      <w:tblPr>
        <w:tblW w:w="14622"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432"/>
        <w:gridCol w:w="2040"/>
        <w:gridCol w:w="1780"/>
        <w:gridCol w:w="1640"/>
        <w:gridCol w:w="1046"/>
        <w:gridCol w:w="1012"/>
        <w:gridCol w:w="980"/>
        <w:gridCol w:w="952"/>
        <w:gridCol w:w="1740"/>
      </w:tblGrid>
      <w:tr>
        <w:trPr>
          <w:trHeight w:val="499" w:hRule="atLeast"/>
        </w:trPr>
        <w:tc>
          <w:tcPr>
            <w:tcW w:w="14622" w:type="dxa"/>
            <w:gridSpan w:val="9"/>
            <w:tcBorders>
              <w:top w:val="nil"/>
              <w:left w:val="nil"/>
              <w:bottom w:val="nil"/>
              <w:right w:val="nil"/>
            </w:tcBorders>
            <w:vAlign w:val="bottom"/>
          </w:tcPr>
          <w:p>
            <w:pPr>
              <w:adjustRightInd/>
              <w:jc w:val="center"/>
              <w:textAlignment w:val="auto"/>
              <w:rPr>
                <w:rFonts w:ascii="Arial" w:hAnsi="Arial" w:cs="Arial"/>
                <w:b/>
                <w:bCs/>
                <w:color w:val="000000"/>
                <w:sz w:val="32"/>
                <w:szCs w:val="32"/>
              </w:rPr>
            </w:pPr>
            <w:r>
              <w:rPr>
                <w:rFonts w:ascii="Arial" w:hAnsi="Arial" w:cs="Arial"/>
                <w:b/>
                <w:bCs/>
                <w:color w:val="000000"/>
                <w:sz w:val="32"/>
                <w:szCs w:val="32"/>
              </w:rPr>
              <w:t>2019</w:t>
            </w:r>
            <w:r>
              <w:rPr>
                <w:rFonts w:hint="eastAsia" w:ascii="宋体" w:hAnsi="宋体" w:cs="Arial"/>
                <w:b/>
                <w:bCs/>
                <w:color w:val="000000"/>
                <w:sz w:val="32"/>
                <w:szCs w:val="32"/>
              </w:rPr>
              <w:t>年部门支出预算总表（表</w:t>
            </w:r>
            <w:r>
              <w:rPr>
                <w:rFonts w:ascii="Arial" w:hAnsi="Arial" w:cs="Arial"/>
                <w:b/>
                <w:bCs/>
                <w:color w:val="000000"/>
                <w:sz w:val="32"/>
                <w:szCs w:val="32"/>
              </w:rPr>
              <w:t>07</w:t>
            </w:r>
            <w:r>
              <w:rPr>
                <w:rFonts w:hint="eastAsia" w:ascii="宋体" w:hAnsi="宋体" w:cs="Arial"/>
                <w:b/>
                <w:bCs/>
                <w:color w:val="000000"/>
                <w:sz w:val="32"/>
                <w:szCs w:val="32"/>
              </w:rPr>
              <w:t>）</w:t>
            </w:r>
          </w:p>
        </w:tc>
      </w:tr>
      <w:tr>
        <w:trPr>
          <w:trHeight w:val="499" w:hRule="atLeast"/>
        </w:trPr>
        <w:tc>
          <w:tcPr>
            <w:tcW w:w="3432"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2040"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1780"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1640"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1046"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1012"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980"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952" w:type="dxa"/>
            <w:tcBorders>
              <w:top w:val="nil"/>
              <w:left w:val="nil"/>
              <w:bottom w:val="nil"/>
              <w:right w:val="nil"/>
            </w:tcBorders>
            <w:vAlign w:val="bottom"/>
          </w:tcPr>
          <w:p>
            <w:pPr>
              <w:adjustRightInd/>
              <w:jc w:val="left"/>
              <w:textAlignment w:val="auto"/>
              <w:rPr>
                <w:rFonts w:ascii="Arial" w:hAnsi="Arial" w:cs="Arial"/>
                <w:color w:val="000000"/>
                <w:sz w:val="20"/>
              </w:rPr>
            </w:pPr>
          </w:p>
        </w:tc>
        <w:tc>
          <w:tcPr>
            <w:tcW w:w="1740" w:type="dxa"/>
            <w:tcBorders>
              <w:top w:val="nil"/>
              <w:left w:val="nil"/>
              <w:bottom w:val="nil"/>
              <w:right w:val="nil"/>
            </w:tcBorders>
            <w:vAlign w:val="bottom"/>
          </w:tcPr>
          <w:p>
            <w:pPr>
              <w:adjustRightInd/>
              <w:jc w:val="left"/>
              <w:textAlignment w:val="auto"/>
              <w:rPr>
                <w:rFonts w:ascii="宋体" w:hAnsi="宋体" w:cs="宋体"/>
                <w:b/>
                <w:bCs/>
                <w:color w:val="000000"/>
                <w:sz w:val="20"/>
              </w:rPr>
            </w:pPr>
            <w:r>
              <w:rPr>
                <w:rFonts w:hint="eastAsia" w:ascii="宋体" w:hAnsi="宋体" w:cs="宋体"/>
                <w:b/>
                <w:bCs/>
                <w:color w:val="000000"/>
                <w:sz w:val="20"/>
              </w:rPr>
              <w:t>单位：元</w:t>
            </w:r>
          </w:p>
        </w:tc>
      </w:tr>
      <w:tr>
        <w:trPr>
          <w:trHeight w:val="499" w:hRule="atLeast"/>
        </w:trPr>
        <w:tc>
          <w:tcPr>
            <w:tcW w:w="3432"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单位名称</w:t>
            </w:r>
          </w:p>
        </w:tc>
        <w:tc>
          <w:tcPr>
            <w:tcW w:w="3820" w:type="dxa"/>
            <w:gridSpan w:val="2"/>
            <w:tcBorders>
              <w:top w:val="single" w:color="000000" w:sz="4" w:space="0"/>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基本支出</w:t>
            </w:r>
          </w:p>
        </w:tc>
        <w:tc>
          <w:tcPr>
            <w:tcW w:w="1640"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项目支出</w:t>
            </w:r>
          </w:p>
        </w:tc>
        <w:tc>
          <w:tcPr>
            <w:tcW w:w="1046"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Arial" w:hAnsi="Arial" w:cs="Arial"/>
                <w:b/>
                <w:bCs/>
                <w:color w:val="000000"/>
                <w:sz w:val="18"/>
                <w:szCs w:val="18"/>
              </w:rPr>
            </w:pPr>
            <w:r>
              <w:rPr>
                <w:rFonts w:ascii="Arial" w:hAnsi="Arial" w:cs="Arial"/>
                <w:b/>
                <w:bCs/>
                <w:color w:val="000000"/>
                <w:sz w:val="18"/>
                <w:szCs w:val="18"/>
              </w:rPr>
              <w:t>上缴上级支出</w:t>
            </w:r>
          </w:p>
        </w:tc>
        <w:tc>
          <w:tcPr>
            <w:tcW w:w="1012"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Arial" w:hAnsi="Arial" w:cs="Arial"/>
                <w:b/>
                <w:bCs/>
                <w:color w:val="000000"/>
                <w:sz w:val="18"/>
                <w:szCs w:val="18"/>
              </w:rPr>
            </w:pPr>
            <w:r>
              <w:rPr>
                <w:rFonts w:ascii="Arial" w:hAnsi="Arial" w:cs="Arial"/>
                <w:b/>
                <w:bCs/>
                <w:color w:val="000000"/>
                <w:sz w:val="18"/>
                <w:szCs w:val="18"/>
              </w:rPr>
              <w:t>事业单位经营支出</w:t>
            </w:r>
          </w:p>
        </w:tc>
        <w:tc>
          <w:tcPr>
            <w:tcW w:w="980"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Arial" w:hAnsi="Arial" w:cs="Arial"/>
                <w:b/>
                <w:bCs/>
                <w:color w:val="000000"/>
                <w:sz w:val="18"/>
                <w:szCs w:val="18"/>
              </w:rPr>
            </w:pPr>
            <w:r>
              <w:rPr>
                <w:rFonts w:ascii="Arial" w:hAnsi="Arial" w:cs="Arial"/>
                <w:b/>
                <w:bCs/>
                <w:color w:val="000000"/>
                <w:sz w:val="18"/>
                <w:szCs w:val="18"/>
              </w:rPr>
              <w:t>税金</w:t>
            </w:r>
          </w:p>
        </w:tc>
        <w:tc>
          <w:tcPr>
            <w:tcW w:w="952"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Arial" w:hAnsi="Arial" w:cs="Arial"/>
                <w:b/>
                <w:bCs/>
                <w:color w:val="000000"/>
                <w:sz w:val="18"/>
                <w:szCs w:val="18"/>
              </w:rPr>
            </w:pPr>
            <w:r>
              <w:rPr>
                <w:rFonts w:ascii="Arial" w:hAnsi="Arial" w:cs="Arial"/>
                <w:b/>
                <w:bCs/>
                <w:color w:val="000000"/>
                <w:sz w:val="18"/>
                <w:szCs w:val="18"/>
              </w:rPr>
              <w:t>国有资本经营支出</w:t>
            </w:r>
          </w:p>
        </w:tc>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Arial" w:hAnsi="Arial" w:cs="Arial"/>
                <w:b/>
                <w:bCs/>
                <w:color w:val="000000"/>
                <w:sz w:val="18"/>
                <w:szCs w:val="18"/>
              </w:rPr>
            </w:pPr>
            <w:r>
              <w:rPr>
                <w:rFonts w:ascii="Arial" w:hAnsi="Arial" w:cs="Arial"/>
                <w:b/>
                <w:bCs/>
                <w:color w:val="000000"/>
                <w:sz w:val="18"/>
                <w:szCs w:val="18"/>
              </w:rPr>
              <w:t>总计</w:t>
            </w:r>
          </w:p>
        </w:tc>
      </w:tr>
      <w:tr>
        <w:trPr>
          <w:trHeight w:val="499" w:hRule="atLeast"/>
        </w:trPr>
        <w:tc>
          <w:tcPr>
            <w:tcW w:w="3432"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宋体" w:hAnsi="宋体" w:cs="宋体"/>
                <w:b/>
                <w:bCs/>
                <w:color w:val="000000"/>
                <w:sz w:val="18"/>
                <w:szCs w:val="18"/>
              </w:rPr>
            </w:pPr>
          </w:p>
        </w:tc>
        <w:tc>
          <w:tcPr>
            <w:tcW w:w="2040"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人员支出</w:t>
            </w:r>
          </w:p>
        </w:tc>
        <w:tc>
          <w:tcPr>
            <w:tcW w:w="1780" w:type="dxa"/>
            <w:tcBorders>
              <w:top w:val="nil"/>
              <w:left w:val="nil"/>
              <w:bottom w:val="single" w:color="000000" w:sz="4" w:space="0"/>
              <w:right w:val="single" w:color="000000" w:sz="4" w:space="0"/>
            </w:tcBorders>
            <w:vAlign w:val="center"/>
          </w:tcPr>
          <w:p>
            <w:pPr>
              <w:adjustRightInd/>
              <w:jc w:val="center"/>
              <w:textAlignment w:val="auto"/>
              <w:rPr>
                <w:rFonts w:ascii="Arial" w:hAnsi="Arial" w:cs="Arial"/>
                <w:b/>
                <w:bCs/>
                <w:color w:val="000000"/>
                <w:sz w:val="18"/>
                <w:szCs w:val="18"/>
              </w:rPr>
            </w:pPr>
            <w:r>
              <w:rPr>
                <w:rFonts w:ascii="Arial" w:hAnsi="Arial" w:cs="Arial"/>
                <w:b/>
                <w:bCs/>
                <w:color w:val="000000"/>
                <w:sz w:val="18"/>
                <w:szCs w:val="18"/>
              </w:rPr>
              <w:t>其他基本支出</w:t>
            </w:r>
          </w:p>
        </w:tc>
        <w:tc>
          <w:tcPr>
            <w:tcW w:w="1640"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宋体" w:hAnsi="宋体" w:cs="宋体"/>
                <w:b/>
                <w:bCs/>
                <w:color w:val="000000"/>
                <w:sz w:val="18"/>
                <w:szCs w:val="18"/>
              </w:rPr>
            </w:pPr>
          </w:p>
        </w:tc>
        <w:tc>
          <w:tcPr>
            <w:tcW w:w="1046"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Arial" w:hAnsi="Arial" w:cs="Arial"/>
                <w:b/>
                <w:bCs/>
                <w:color w:val="000000"/>
                <w:sz w:val="18"/>
                <w:szCs w:val="18"/>
              </w:rPr>
            </w:pPr>
          </w:p>
        </w:tc>
        <w:tc>
          <w:tcPr>
            <w:tcW w:w="1012"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Arial" w:hAnsi="Arial" w:cs="Arial"/>
                <w:b/>
                <w:bCs/>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Arial" w:hAnsi="Arial" w:cs="Arial"/>
                <w:b/>
                <w:bCs/>
                <w:color w:val="000000"/>
                <w:sz w:val="18"/>
                <w:szCs w:val="18"/>
              </w:rPr>
            </w:pPr>
          </w:p>
        </w:tc>
        <w:tc>
          <w:tcPr>
            <w:tcW w:w="952"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Arial" w:hAnsi="Arial" w:cs="Arial"/>
                <w:b/>
                <w:bCs/>
                <w:color w:val="000000"/>
                <w:sz w:val="18"/>
                <w:szCs w:val="18"/>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adjustRightInd/>
              <w:jc w:val="left"/>
              <w:textAlignment w:val="auto"/>
              <w:rPr>
                <w:rFonts w:ascii="Arial" w:hAnsi="Arial" w:cs="Arial"/>
                <w:b/>
                <w:bCs/>
                <w:color w:val="000000"/>
                <w:sz w:val="18"/>
                <w:szCs w:val="18"/>
              </w:rPr>
            </w:pPr>
          </w:p>
        </w:tc>
      </w:tr>
      <w:tr>
        <w:trPr>
          <w:trHeight w:val="499" w:hRule="atLeast"/>
        </w:trPr>
        <w:tc>
          <w:tcPr>
            <w:tcW w:w="3432" w:type="dxa"/>
            <w:tcBorders>
              <w:top w:val="nil"/>
              <w:left w:val="single" w:color="000000" w:sz="4" w:space="0"/>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1600温岭市科学技术协会</w:t>
            </w:r>
          </w:p>
        </w:tc>
        <w:tc>
          <w:tcPr>
            <w:tcW w:w="204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2,273,456.20 </w:t>
            </w:r>
          </w:p>
        </w:tc>
        <w:tc>
          <w:tcPr>
            <w:tcW w:w="178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325,080.00 </w:t>
            </w:r>
          </w:p>
        </w:tc>
        <w:tc>
          <w:tcPr>
            <w:tcW w:w="164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4,580,000.00 </w:t>
            </w:r>
          </w:p>
        </w:tc>
        <w:tc>
          <w:tcPr>
            <w:tcW w:w="1046"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1012"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980"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952"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174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7,178,536.20 </w:t>
            </w:r>
          </w:p>
        </w:tc>
      </w:tr>
      <w:tr>
        <w:trPr>
          <w:trHeight w:val="499" w:hRule="atLeast"/>
        </w:trPr>
        <w:tc>
          <w:tcPr>
            <w:tcW w:w="3432" w:type="dxa"/>
            <w:tcBorders>
              <w:top w:val="nil"/>
              <w:left w:val="single" w:color="000000" w:sz="4" w:space="0"/>
              <w:bottom w:val="single" w:color="000000" w:sz="4" w:space="0"/>
              <w:right w:val="single" w:color="000000" w:sz="4" w:space="0"/>
            </w:tcBorders>
            <w:vAlign w:val="bottom"/>
          </w:tcPr>
          <w:p>
            <w:pPr>
              <w:adjustRightInd/>
              <w:ind w:firstLine="200" w:firstLineChars="100"/>
              <w:jc w:val="left"/>
              <w:textAlignment w:val="auto"/>
              <w:rPr>
                <w:rFonts w:ascii="Arial" w:hAnsi="Arial" w:cs="Arial"/>
                <w:color w:val="000000"/>
                <w:sz w:val="20"/>
              </w:rPr>
            </w:pPr>
            <w:r>
              <w:rPr>
                <w:rFonts w:ascii="Arial" w:hAnsi="Arial" w:cs="Arial"/>
                <w:color w:val="000000"/>
                <w:sz w:val="20"/>
              </w:rPr>
              <w:t>160100温岭市科学技术协会(本级)</w:t>
            </w:r>
          </w:p>
        </w:tc>
        <w:tc>
          <w:tcPr>
            <w:tcW w:w="204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2,273,456.20 </w:t>
            </w:r>
          </w:p>
        </w:tc>
        <w:tc>
          <w:tcPr>
            <w:tcW w:w="178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325,080.00 </w:t>
            </w:r>
          </w:p>
        </w:tc>
        <w:tc>
          <w:tcPr>
            <w:tcW w:w="164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4,580,000.00 </w:t>
            </w:r>
          </w:p>
        </w:tc>
        <w:tc>
          <w:tcPr>
            <w:tcW w:w="1046"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1012"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980"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952" w:type="dxa"/>
            <w:tcBorders>
              <w:top w:val="nil"/>
              <w:left w:val="nil"/>
              <w:bottom w:val="single" w:color="000000" w:sz="4" w:space="0"/>
              <w:right w:val="single" w:color="000000"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1740" w:type="dxa"/>
            <w:tcBorders>
              <w:top w:val="nil"/>
              <w:left w:val="nil"/>
              <w:bottom w:val="single" w:color="000000" w:sz="4" w:space="0"/>
              <w:right w:val="single" w:color="000000"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 xml:space="preserve">7,178,536.20 </w:t>
            </w:r>
          </w:p>
        </w:tc>
      </w:tr>
      <w:tr>
        <w:trPr>
          <w:trHeight w:val="285" w:hRule="atLeast"/>
        </w:trPr>
        <w:tc>
          <w:tcPr>
            <w:tcW w:w="3432"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204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78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64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046"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012"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98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952"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740" w:type="dxa"/>
            <w:tcBorders>
              <w:top w:val="nil"/>
              <w:left w:val="nil"/>
              <w:bottom w:val="nil"/>
              <w:right w:val="nil"/>
            </w:tcBorders>
            <w:vAlign w:val="bottom"/>
          </w:tcPr>
          <w:p>
            <w:pPr>
              <w:adjustRightInd/>
              <w:jc w:val="left"/>
              <w:textAlignment w:val="auto"/>
              <w:rPr>
                <w:rFonts w:ascii="宋体" w:hAnsi="宋体" w:cs="宋体"/>
                <w:sz w:val="24"/>
                <w:szCs w:val="24"/>
              </w:rPr>
            </w:pPr>
          </w:p>
        </w:tc>
      </w:tr>
    </w:tbl>
    <w:p>
      <w:pPr>
        <w:adjustRightInd/>
        <w:jc w:val="left"/>
        <w:textAlignment w:val="auto"/>
        <w:rPr>
          <w:rFonts w:ascii="仿宋_GB2312" w:hAnsi="仿宋_GB2312" w:eastAsia="仿宋_GB2312"/>
          <w:color w:val="000000"/>
          <w:szCs w:val="21"/>
        </w:rPr>
      </w:pPr>
      <w:r>
        <w:rPr>
          <w:szCs w:val="21"/>
        </w:rPr>
        <w:br w:type="page"/>
      </w:r>
    </w:p>
    <w:p>
      <w:pPr>
        <w:adjustRightInd/>
        <w:jc w:val="left"/>
        <w:textAlignment w:val="auto"/>
        <w:rPr>
          <w:rFonts w:ascii="宋体" w:hAnsi="宋体" w:cs="宋体"/>
          <w:sz w:val="18"/>
          <w:szCs w:val="18"/>
        </w:rPr>
      </w:pPr>
      <w:r>
        <w:rPr>
          <w:rFonts w:hint="eastAsia" w:ascii="宋体" w:hAnsi="宋体" w:cs="宋体"/>
          <w:sz w:val="18"/>
          <w:szCs w:val="18"/>
        </w:rPr>
        <w:t>　</w:t>
      </w:r>
    </w:p>
    <w:tbl>
      <w:tblPr>
        <w:tblW w:w="15026"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828"/>
        <w:gridCol w:w="1842"/>
        <w:gridCol w:w="1296"/>
        <w:gridCol w:w="1539"/>
        <w:gridCol w:w="426"/>
        <w:gridCol w:w="425"/>
        <w:gridCol w:w="709"/>
        <w:gridCol w:w="567"/>
        <w:gridCol w:w="488"/>
        <w:gridCol w:w="1026"/>
        <w:gridCol w:w="612"/>
        <w:gridCol w:w="567"/>
        <w:gridCol w:w="850"/>
        <w:gridCol w:w="426"/>
        <w:gridCol w:w="425"/>
      </w:tblGrid>
      <w:tr>
        <w:trPr>
          <w:trHeight w:val="624" w:hRule="atLeast"/>
        </w:trPr>
        <w:tc>
          <w:tcPr>
            <w:tcW w:w="15026" w:type="dxa"/>
            <w:gridSpan w:val="15"/>
            <w:vMerge w:val="restart"/>
            <w:tcBorders>
              <w:top w:val="nil"/>
              <w:left w:val="nil"/>
              <w:bottom w:val="nil"/>
              <w:right w:val="nil"/>
            </w:tcBorders>
            <w:vAlign w:val="center"/>
          </w:tcPr>
          <w:p>
            <w:pPr>
              <w:adjustRightInd/>
              <w:jc w:val="center"/>
              <w:textAlignment w:val="auto"/>
              <w:rPr>
                <w:rFonts w:ascii="宋体" w:hAnsi="宋体" w:cs="宋体"/>
                <w:b/>
                <w:bCs/>
                <w:sz w:val="32"/>
                <w:szCs w:val="32"/>
              </w:rPr>
            </w:pPr>
            <w:r>
              <w:rPr>
                <w:rFonts w:hint="eastAsia" w:ascii="宋体" w:hAnsi="宋体" w:cs="宋体"/>
                <w:b/>
                <w:bCs/>
                <w:sz w:val="32"/>
                <w:szCs w:val="32"/>
              </w:rPr>
              <w:t>部门预算支出核定表(08)</w:t>
            </w:r>
          </w:p>
        </w:tc>
      </w:tr>
      <w:tr>
        <w:trPr>
          <w:trHeight w:val="624" w:hRule="atLeast"/>
        </w:trPr>
        <w:tc>
          <w:tcPr>
            <w:tcW w:w="15026" w:type="dxa"/>
            <w:gridSpan w:val="15"/>
            <w:vMerge w:val="continue"/>
            <w:tcBorders>
              <w:top w:val="nil"/>
              <w:left w:val="nil"/>
              <w:bottom w:val="nil"/>
              <w:right w:val="nil"/>
            </w:tcBorders>
            <w:vAlign w:val="center"/>
          </w:tcPr>
          <w:p>
            <w:pPr>
              <w:adjustRightInd/>
              <w:jc w:val="left"/>
              <w:textAlignment w:val="auto"/>
              <w:rPr>
                <w:rFonts w:ascii="宋体" w:hAnsi="宋体" w:cs="宋体"/>
                <w:b/>
                <w:bCs/>
                <w:sz w:val="32"/>
                <w:szCs w:val="32"/>
              </w:rPr>
            </w:pPr>
          </w:p>
        </w:tc>
      </w:tr>
      <w:tr>
        <w:trPr>
          <w:trHeight w:val="74" w:hRule="atLeast"/>
        </w:trPr>
        <w:tc>
          <w:tcPr>
            <w:tcW w:w="3828" w:type="dxa"/>
            <w:tcBorders>
              <w:top w:val="nil"/>
              <w:left w:val="nil"/>
              <w:bottom w:val="nil"/>
              <w:right w:val="nil"/>
            </w:tcBorders>
            <w:shd w:val="clear" w:color="000000" w:fill="FFFFFF"/>
            <w:vAlign w:val="center"/>
          </w:tcPr>
          <w:p>
            <w:pPr>
              <w:adjustRightInd/>
              <w:jc w:val="left"/>
              <w:textAlignment w:val="auto"/>
              <w:rPr>
                <w:rFonts w:ascii="宋体" w:hAnsi="宋体" w:cs="宋体"/>
                <w:color w:val="000000"/>
                <w:sz w:val="18"/>
                <w:szCs w:val="18"/>
              </w:rPr>
            </w:pPr>
            <w:r>
              <w:rPr>
                <w:rFonts w:hint="eastAsia" w:ascii="宋体" w:hAnsi="宋体" w:cs="宋体"/>
                <w:color w:val="000000"/>
                <w:sz w:val="18"/>
                <w:szCs w:val="18"/>
              </w:rPr>
              <w:t>　</w:t>
            </w:r>
          </w:p>
        </w:tc>
        <w:tc>
          <w:tcPr>
            <w:tcW w:w="1842" w:type="dxa"/>
            <w:tcBorders>
              <w:top w:val="nil"/>
              <w:left w:val="nil"/>
              <w:bottom w:val="nil"/>
              <w:right w:val="nil"/>
            </w:tcBorders>
            <w:vAlign w:val="bottom"/>
          </w:tcPr>
          <w:p>
            <w:pPr>
              <w:adjustRightInd/>
              <w:jc w:val="left"/>
              <w:textAlignment w:val="auto"/>
              <w:rPr>
                <w:rFonts w:ascii="宋体" w:hAnsi="宋体" w:cs="宋体"/>
                <w:sz w:val="18"/>
                <w:szCs w:val="18"/>
              </w:rPr>
            </w:pPr>
          </w:p>
        </w:tc>
        <w:tc>
          <w:tcPr>
            <w:tcW w:w="1296" w:type="dxa"/>
            <w:tcBorders>
              <w:top w:val="nil"/>
              <w:left w:val="nil"/>
              <w:bottom w:val="nil"/>
              <w:right w:val="nil"/>
            </w:tcBorders>
            <w:vAlign w:val="center"/>
          </w:tcPr>
          <w:p>
            <w:pPr>
              <w:adjustRightInd/>
              <w:jc w:val="left"/>
              <w:textAlignment w:val="auto"/>
              <w:rPr>
                <w:rFonts w:ascii="Arial" w:hAnsi="Arial" w:cs="Arial"/>
                <w:sz w:val="20"/>
              </w:rPr>
            </w:pPr>
          </w:p>
        </w:tc>
        <w:tc>
          <w:tcPr>
            <w:tcW w:w="1539" w:type="dxa"/>
            <w:tcBorders>
              <w:top w:val="nil"/>
              <w:left w:val="nil"/>
              <w:bottom w:val="nil"/>
              <w:right w:val="nil"/>
            </w:tcBorders>
            <w:vAlign w:val="center"/>
          </w:tcPr>
          <w:p>
            <w:pPr>
              <w:adjustRightInd/>
              <w:jc w:val="right"/>
              <w:textAlignment w:val="auto"/>
              <w:rPr>
                <w:rFonts w:ascii="宋体" w:hAnsi="宋体" w:cs="宋体"/>
                <w:sz w:val="18"/>
                <w:szCs w:val="18"/>
              </w:rPr>
            </w:pPr>
          </w:p>
        </w:tc>
        <w:tc>
          <w:tcPr>
            <w:tcW w:w="426" w:type="dxa"/>
            <w:tcBorders>
              <w:top w:val="nil"/>
              <w:left w:val="nil"/>
              <w:bottom w:val="nil"/>
              <w:right w:val="nil"/>
            </w:tcBorders>
            <w:vAlign w:val="center"/>
          </w:tcPr>
          <w:p>
            <w:pPr>
              <w:adjustRightInd/>
              <w:jc w:val="left"/>
              <w:textAlignment w:val="auto"/>
              <w:rPr>
                <w:rFonts w:ascii="Arial" w:hAnsi="Arial" w:cs="Arial"/>
                <w:sz w:val="20"/>
              </w:rPr>
            </w:pPr>
          </w:p>
        </w:tc>
        <w:tc>
          <w:tcPr>
            <w:tcW w:w="425" w:type="dxa"/>
            <w:tcBorders>
              <w:top w:val="nil"/>
              <w:left w:val="nil"/>
              <w:bottom w:val="nil"/>
              <w:right w:val="nil"/>
            </w:tcBorders>
            <w:vAlign w:val="center"/>
          </w:tcPr>
          <w:p>
            <w:pPr>
              <w:adjustRightInd/>
              <w:jc w:val="left"/>
              <w:textAlignment w:val="auto"/>
              <w:rPr>
                <w:rFonts w:ascii="Arial" w:hAnsi="Arial" w:cs="Arial"/>
                <w:sz w:val="20"/>
              </w:rPr>
            </w:pPr>
          </w:p>
        </w:tc>
        <w:tc>
          <w:tcPr>
            <w:tcW w:w="709" w:type="dxa"/>
            <w:tcBorders>
              <w:top w:val="nil"/>
              <w:left w:val="nil"/>
              <w:bottom w:val="nil"/>
              <w:right w:val="nil"/>
            </w:tcBorders>
            <w:vAlign w:val="center"/>
          </w:tcPr>
          <w:p>
            <w:pPr>
              <w:adjustRightInd/>
              <w:jc w:val="left"/>
              <w:textAlignment w:val="auto"/>
              <w:rPr>
                <w:rFonts w:ascii="Arial" w:hAnsi="Arial" w:cs="Arial"/>
                <w:sz w:val="20"/>
              </w:rPr>
            </w:pPr>
          </w:p>
        </w:tc>
        <w:tc>
          <w:tcPr>
            <w:tcW w:w="567" w:type="dxa"/>
            <w:tcBorders>
              <w:top w:val="nil"/>
              <w:left w:val="nil"/>
              <w:bottom w:val="nil"/>
              <w:right w:val="nil"/>
            </w:tcBorders>
            <w:vAlign w:val="center"/>
          </w:tcPr>
          <w:p>
            <w:pPr>
              <w:adjustRightInd/>
              <w:jc w:val="left"/>
              <w:textAlignment w:val="auto"/>
              <w:rPr>
                <w:rFonts w:ascii="Arial" w:hAnsi="Arial" w:cs="Arial"/>
                <w:sz w:val="20"/>
              </w:rPr>
            </w:pPr>
          </w:p>
        </w:tc>
        <w:tc>
          <w:tcPr>
            <w:tcW w:w="488" w:type="dxa"/>
            <w:tcBorders>
              <w:top w:val="nil"/>
              <w:left w:val="nil"/>
              <w:bottom w:val="nil"/>
              <w:right w:val="nil"/>
            </w:tcBorders>
            <w:vAlign w:val="center"/>
          </w:tcPr>
          <w:p>
            <w:pPr>
              <w:adjustRightInd/>
              <w:jc w:val="left"/>
              <w:textAlignment w:val="auto"/>
              <w:rPr>
                <w:rFonts w:ascii="Arial" w:hAnsi="Arial" w:cs="Arial"/>
                <w:sz w:val="20"/>
              </w:rPr>
            </w:pPr>
          </w:p>
        </w:tc>
        <w:tc>
          <w:tcPr>
            <w:tcW w:w="1026" w:type="dxa"/>
            <w:tcBorders>
              <w:top w:val="nil"/>
              <w:left w:val="nil"/>
              <w:bottom w:val="nil"/>
              <w:right w:val="nil"/>
            </w:tcBorders>
            <w:vAlign w:val="center"/>
          </w:tcPr>
          <w:p>
            <w:pPr>
              <w:adjustRightInd/>
              <w:jc w:val="left"/>
              <w:textAlignment w:val="auto"/>
              <w:rPr>
                <w:rFonts w:ascii="Arial" w:hAnsi="Arial" w:cs="Arial"/>
                <w:sz w:val="20"/>
              </w:rPr>
            </w:pPr>
          </w:p>
        </w:tc>
        <w:tc>
          <w:tcPr>
            <w:tcW w:w="612" w:type="dxa"/>
            <w:tcBorders>
              <w:top w:val="nil"/>
              <w:left w:val="nil"/>
              <w:bottom w:val="nil"/>
              <w:right w:val="nil"/>
            </w:tcBorders>
            <w:vAlign w:val="center"/>
          </w:tcPr>
          <w:p>
            <w:pPr>
              <w:adjustRightInd/>
              <w:jc w:val="left"/>
              <w:textAlignment w:val="auto"/>
              <w:rPr>
                <w:rFonts w:ascii="Arial" w:hAnsi="Arial" w:cs="Arial"/>
                <w:sz w:val="20"/>
              </w:rPr>
            </w:pPr>
          </w:p>
        </w:tc>
        <w:tc>
          <w:tcPr>
            <w:tcW w:w="567" w:type="dxa"/>
            <w:tcBorders>
              <w:top w:val="nil"/>
              <w:left w:val="nil"/>
              <w:bottom w:val="nil"/>
              <w:right w:val="nil"/>
            </w:tcBorders>
            <w:vAlign w:val="center"/>
          </w:tcPr>
          <w:p>
            <w:pPr>
              <w:adjustRightInd/>
              <w:jc w:val="left"/>
              <w:textAlignment w:val="auto"/>
              <w:rPr>
                <w:rFonts w:ascii="Arial" w:hAnsi="Arial" w:cs="Arial"/>
                <w:sz w:val="20"/>
              </w:rPr>
            </w:pPr>
          </w:p>
        </w:tc>
        <w:tc>
          <w:tcPr>
            <w:tcW w:w="850" w:type="dxa"/>
            <w:tcBorders>
              <w:top w:val="nil"/>
              <w:left w:val="nil"/>
              <w:bottom w:val="nil"/>
              <w:right w:val="nil"/>
            </w:tcBorders>
            <w:vAlign w:val="center"/>
          </w:tcPr>
          <w:p>
            <w:pPr>
              <w:adjustRightInd/>
              <w:jc w:val="left"/>
              <w:textAlignment w:val="auto"/>
              <w:rPr>
                <w:rFonts w:ascii="Arial" w:hAnsi="Arial" w:cs="Arial"/>
                <w:sz w:val="20"/>
              </w:rPr>
            </w:pPr>
            <w:r>
              <w:rPr>
                <w:rFonts w:hint="eastAsia" w:ascii="宋体" w:hAnsi="宋体" w:cs="宋体"/>
                <w:sz w:val="18"/>
                <w:szCs w:val="18"/>
              </w:rPr>
              <w:t>单位：元</w:t>
            </w:r>
          </w:p>
        </w:tc>
        <w:tc>
          <w:tcPr>
            <w:tcW w:w="426" w:type="dxa"/>
            <w:tcBorders>
              <w:top w:val="nil"/>
              <w:left w:val="nil"/>
              <w:bottom w:val="nil"/>
              <w:right w:val="nil"/>
            </w:tcBorders>
            <w:vAlign w:val="center"/>
          </w:tcPr>
          <w:p>
            <w:pPr>
              <w:adjustRightInd/>
              <w:jc w:val="left"/>
              <w:textAlignment w:val="auto"/>
              <w:rPr>
                <w:rFonts w:ascii="Arial" w:hAnsi="Arial" w:cs="Arial"/>
                <w:sz w:val="20"/>
              </w:rPr>
            </w:pPr>
          </w:p>
        </w:tc>
        <w:tc>
          <w:tcPr>
            <w:tcW w:w="425" w:type="dxa"/>
            <w:tcBorders>
              <w:top w:val="nil"/>
              <w:left w:val="nil"/>
              <w:bottom w:val="nil"/>
              <w:right w:val="nil"/>
            </w:tcBorders>
            <w:vAlign w:val="center"/>
          </w:tcPr>
          <w:p>
            <w:pPr>
              <w:adjustRightInd/>
              <w:jc w:val="right"/>
              <w:textAlignment w:val="auto"/>
              <w:rPr>
                <w:rFonts w:ascii="宋体" w:hAnsi="宋体" w:cs="宋体"/>
                <w:sz w:val="18"/>
                <w:szCs w:val="18"/>
              </w:rPr>
            </w:pPr>
          </w:p>
        </w:tc>
      </w:tr>
      <w:tr>
        <w:trPr>
          <w:trHeight w:val="960" w:hRule="atLeast"/>
        </w:trPr>
        <w:tc>
          <w:tcPr>
            <w:tcW w:w="3828" w:type="dxa"/>
            <w:tcBorders>
              <w:top w:val="single" w:color="000000" w:sz="4" w:space="0"/>
              <w:left w:val="single" w:color="000000" w:sz="4" w:space="0"/>
              <w:bottom w:val="single" w:color="000000" w:sz="4" w:space="0"/>
              <w:right w:val="single" w:color="000000"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单位名称(项目类别/名称)</w:t>
            </w:r>
          </w:p>
        </w:tc>
        <w:tc>
          <w:tcPr>
            <w:tcW w:w="1842" w:type="dxa"/>
            <w:tcBorders>
              <w:top w:val="single" w:color="000000" w:sz="4" w:space="0"/>
              <w:left w:val="nil"/>
              <w:bottom w:val="single" w:color="000000" w:sz="4" w:space="0"/>
              <w:right w:val="single" w:color="000000"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功能科目名称</w:t>
            </w:r>
          </w:p>
        </w:tc>
        <w:tc>
          <w:tcPr>
            <w:tcW w:w="1296" w:type="dxa"/>
            <w:tcBorders>
              <w:top w:val="single" w:color="000000" w:sz="4" w:space="0"/>
              <w:left w:val="nil"/>
              <w:bottom w:val="single" w:color="000000" w:sz="4" w:space="0"/>
              <w:right w:val="single" w:color="000000"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合计</w:t>
            </w:r>
          </w:p>
        </w:tc>
        <w:tc>
          <w:tcPr>
            <w:tcW w:w="1539" w:type="dxa"/>
            <w:tcBorders>
              <w:top w:val="single" w:color="000000" w:sz="4" w:space="0"/>
              <w:left w:val="nil"/>
              <w:bottom w:val="single" w:color="000000" w:sz="4" w:space="0"/>
              <w:right w:val="single" w:color="000000" w:sz="4" w:space="0"/>
            </w:tcBorders>
            <w:vAlign w:val="center"/>
          </w:tcPr>
          <w:p>
            <w:pPr>
              <w:adjustRightInd/>
              <w:jc w:val="center"/>
              <w:textAlignment w:val="auto"/>
              <w:rPr>
                <w:rFonts w:ascii="宋体" w:hAnsi="宋体" w:cs="宋体"/>
                <w:b/>
                <w:bCs/>
                <w:sz w:val="18"/>
                <w:szCs w:val="18"/>
              </w:rPr>
            </w:pPr>
            <w:r>
              <w:rPr>
                <w:rFonts w:hint="eastAsia" w:ascii="宋体" w:hAnsi="宋体" w:cs="宋体"/>
                <w:b/>
                <w:bCs/>
                <w:sz w:val="18"/>
                <w:szCs w:val="18"/>
              </w:rPr>
              <w:t>一般公共预算拨款收入</w:t>
            </w:r>
          </w:p>
        </w:tc>
        <w:tc>
          <w:tcPr>
            <w:tcW w:w="426" w:type="dxa"/>
            <w:tcBorders>
              <w:top w:val="single" w:color="000000" w:sz="4" w:space="0"/>
              <w:left w:val="nil"/>
              <w:bottom w:val="single" w:color="000000" w:sz="4" w:space="0"/>
              <w:right w:val="single" w:color="000000" w:sz="4" w:space="0"/>
            </w:tcBorders>
            <w:vAlign w:val="center"/>
          </w:tcPr>
          <w:p>
            <w:pPr>
              <w:adjustRightInd/>
              <w:spacing w:line="240" w:lineRule="exact"/>
              <w:jc w:val="center"/>
              <w:textAlignment w:val="auto"/>
              <w:rPr>
                <w:rFonts w:ascii="宋体" w:hAnsi="宋体" w:cs="宋体"/>
                <w:b/>
                <w:bCs/>
                <w:sz w:val="18"/>
                <w:szCs w:val="18"/>
              </w:rPr>
            </w:pPr>
            <w:r>
              <w:rPr>
                <w:rFonts w:hint="eastAsia" w:ascii="宋体" w:hAnsi="宋体" w:cs="宋体"/>
                <w:b/>
                <w:bCs/>
                <w:sz w:val="18"/>
                <w:szCs w:val="18"/>
              </w:rPr>
              <w:t>省补助收入</w:t>
            </w:r>
          </w:p>
        </w:tc>
        <w:tc>
          <w:tcPr>
            <w:tcW w:w="425" w:type="dxa"/>
            <w:tcBorders>
              <w:top w:val="single" w:color="000000" w:sz="4" w:space="0"/>
              <w:left w:val="nil"/>
              <w:bottom w:val="single" w:color="000000" w:sz="4" w:space="0"/>
              <w:right w:val="single" w:color="000000" w:sz="4" w:space="0"/>
            </w:tcBorders>
            <w:vAlign w:val="center"/>
          </w:tcPr>
          <w:p>
            <w:pPr>
              <w:adjustRightInd/>
              <w:spacing w:line="240" w:lineRule="exact"/>
              <w:jc w:val="center"/>
              <w:textAlignment w:val="auto"/>
              <w:rPr>
                <w:rFonts w:ascii="宋体" w:hAnsi="宋体" w:cs="宋体"/>
                <w:b/>
                <w:bCs/>
                <w:sz w:val="18"/>
                <w:szCs w:val="18"/>
              </w:rPr>
            </w:pPr>
            <w:r>
              <w:rPr>
                <w:rFonts w:hint="eastAsia" w:ascii="宋体" w:hAnsi="宋体" w:cs="宋体"/>
                <w:b/>
                <w:bCs/>
                <w:sz w:val="18"/>
                <w:szCs w:val="18"/>
              </w:rPr>
              <w:t>专户收入</w:t>
            </w:r>
          </w:p>
        </w:tc>
        <w:tc>
          <w:tcPr>
            <w:tcW w:w="709" w:type="dxa"/>
            <w:tcBorders>
              <w:top w:val="single" w:color="000000" w:sz="4" w:space="0"/>
              <w:left w:val="nil"/>
              <w:bottom w:val="single" w:color="000000" w:sz="4" w:space="0"/>
              <w:right w:val="single" w:color="000000" w:sz="4" w:space="0"/>
            </w:tcBorders>
            <w:vAlign w:val="center"/>
          </w:tcPr>
          <w:p>
            <w:pPr>
              <w:adjustRightInd/>
              <w:spacing w:line="240" w:lineRule="exact"/>
              <w:jc w:val="center"/>
              <w:textAlignment w:val="auto"/>
              <w:rPr>
                <w:rFonts w:ascii="宋体" w:hAnsi="宋体" w:cs="宋体"/>
                <w:b/>
                <w:bCs/>
                <w:sz w:val="18"/>
                <w:szCs w:val="18"/>
              </w:rPr>
            </w:pPr>
            <w:r>
              <w:rPr>
                <w:rFonts w:hint="eastAsia" w:ascii="宋体" w:hAnsi="宋体" w:cs="宋体"/>
                <w:b/>
                <w:bCs/>
                <w:sz w:val="18"/>
                <w:szCs w:val="18"/>
              </w:rPr>
              <w:t>政府性基金预算拨款</w:t>
            </w:r>
          </w:p>
        </w:tc>
        <w:tc>
          <w:tcPr>
            <w:tcW w:w="567" w:type="dxa"/>
            <w:tcBorders>
              <w:top w:val="single" w:color="000000" w:sz="4" w:space="0"/>
              <w:left w:val="nil"/>
              <w:bottom w:val="single" w:color="000000" w:sz="4" w:space="0"/>
              <w:right w:val="single" w:color="000000" w:sz="4" w:space="0"/>
            </w:tcBorders>
            <w:vAlign w:val="center"/>
          </w:tcPr>
          <w:p>
            <w:pPr>
              <w:adjustRightInd/>
              <w:spacing w:line="240" w:lineRule="exact"/>
              <w:jc w:val="center"/>
              <w:textAlignment w:val="auto"/>
              <w:rPr>
                <w:rFonts w:ascii="宋体" w:hAnsi="宋体" w:cs="宋体"/>
                <w:b/>
                <w:bCs/>
                <w:sz w:val="18"/>
                <w:szCs w:val="18"/>
              </w:rPr>
            </w:pPr>
            <w:r>
              <w:rPr>
                <w:rFonts w:hint="eastAsia" w:ascii="宋体" w:hAnsi="宋体" w:cs="宋体"/>
                <w:b/>
                <w:bCs/>
                <w:sz w:val="18"/>
                <w:szCs w:val="18"/>
              </w:rPr>
              <w:t>其他收入</w:t>
            </w:r>
          </w:p>
        </w:tc>
        <w:tc>
          <w:tcPr>
            <w:tcW w:w="488" w:type="dxa"/>
            <w:tcBorders>
              <w:top w:val="single" w:color="000000" w:sz="4" w:space="0"/>
              <w:left w:val="nil"/>
              <w:bottom w:val="single" w:color="000000" w:sz="4" w:space="0"/>
              <w:right w:val="single" w:color="000000" w:sz="4" w:space="0"/>
            </w:tcBorders>
            <w:vAlign w:val="center"/>
          </w:tcPr>
          <w:p>
            <w:pPr>
              <w:adjustRightInd/>
              <w:spacing w:line="240" w:lineRule="exact"/>
              <w:jc w:val="center"/>
              <w:textAlignment w:val="auto"/>
              <w:rPr>
                <w:rFonts w:ascii="宋体" w:hAnsi="宋体" w:cs="宋体"/>
                <w:b/>
                <w:bCs/>
                <w:sz w:val="18"/>
                <w:szCs w:val="18"/>
              </w:rPr>
            </w:pPr>
            <w:r>
              <w:rPr>
                <w:rFonts w:hint="eastAsia" w:ascii="宋体" w:hAnsi="宋体" w:cs="宋体"/>
                <w:b/>
                <w:bCs/>
                <w:sz w:val="18"/>
                <w:szCs w:val="18"/>
              </w:rPr>
              <w:t>镇(街道)补助</w:t>
            </w:r>
          </w:p>
        </w:tc>
        <w:tc>
          <w:tcPr>
            <w:tcW w:w="1026" w:type="dxa"/>
            <w:tcBorders>
              <w:top w:val="single" w:color="000000" w:sz="4" w:space="0"/>
              <w:left w:val="nil"/>
              <w:bottom w:val="single" w:color="000000" w:sz="4" w:space="0"/>
              <w:right w:val="single" w:color="000000" w:sz="4" w:space="0"/>
            </w:tcBorders>
            <w:vAlign w:val="center"/>
          </w:tcPr>
          <w:p>
            <w:pPr>
              <w:adjustRightInd/>
              <w:spacing w:line="240" w:lineRule="exact"/>
              <w:jc w:val="center"/>
              <w:textAlignment w:val="auto"/>
              <w:rPr>
                <w:rFonts w:ascii="宋体" w:hAnsi="宋体" w:cs="宋体"/>
                <w:b/>
                <w:bCs/>
                <w:sz w:val="18"/>
                <w:szCs w:val="18"/>
              </w:rPr>
            </w:pPr>
            <w:r>
              <w:rPr>
                <w:rFonts w:hint="eastAsia" w:ascii="宋体" w:hAnsi="宋体" w:cs="宋体"/>
                <w:b/>
                <w:bCs/>
                <w:sz w:val="18"/>
                <w:szCs w:val="18"/>
              </w:rPr>
              <w:t>上年结转</w:t>
            </w:r>
          </w:p>
        </w:tc>
        <w:tc>
          <w:tcPr>
            <w:tcW w:w="612" w:type="dxa"/>
            <w:tcBorders>
              <w:top w:val="single" w:color="000000" w:sz="4" w:space="0"/>
              <w:left w:val="nil"/>
              <w:bottom w:val="single" w:color="000000" w:sz="4" w:space="0"/>
              <w:right w:val="single" w:color="000000" w:sz="4" w:space="0"/>
            </w:tcBorders>
            <w:vAlign w:val="center"/>
          </w:tcPr>
          <w:p>
            <w:pPr>
              <w:adjustRightInd/>
              <w:spacing w:line="240" w:lineRule="exact"/>
              <w:jc w:val="center"/>
              <w:textAlignment w:val="auto"/>
              <w:rPr>
                <w:rFonts w:ascii="宋体" w:hAnsi="宋体" w:cs="宋体"/>
                <w:b/>
                <w:bCs/>
                <w:sz w:val="18"/>
                <w:szCs w:val="18"/>
              </w:rPr>
            </w:pPr>
            <w:r>
              <w:rPr>
                <w:rFonts w:hint="eastAsia" w:ascii="宋体" w:hAnsi="宋体" w:cs="宋体"/>
                <w:b/>
                <w:bCs/>
                <w:sz w:val="18"/>
                <w:szCs w:val="18"/>
              </w:rPr>
              <w:t>国有资本经营预算收入</w:t>
            </w:r>
          </w:p>
        </w:tc>
        <w:tc>
          <w:tcPr>
            <w:tcW w:w="567" w:type="dxa"/>
            <w:tcBorders>
              <w:top w:val="single" w:color="000000" w:sz="4" w:space="0"/>
              <w:left w:val="nil"/>
              <w:bottom w:val="single" w:color="000000" w:sz="4" w:space="0"/>
              <w:right w:val="single" w:color="000000" w:sz="4" w:space="0"/>
            </w:tcBorders>
            <w:vAlign w:val="center"/>
          </w:tcPr>
          <w:p>
            <w:pPr>
              <w:adjustRightInd/>
              <w:spacing w:line="240" w:lineRule="exact"/>
              <w:jc w:val="center"/>
              <w:textAlignment w:val="auto"/>
              <w:rPr>
                <w:rFonts w:ascii="宋体" w:hAnsi="宋体" w:cs="宋体"/>
                <w:b/>
                <w:bCs/>
                <w:sz w:val="18"/>
                <w:szCs w:val="18"/>
              </w:rPr>
            </w:pPr>
            <w:r>
              <w:rPr>
                <w:rFonts w:hint="eastAsia" w:ascii="宋体" w:hAnsi="宋体" w:cs="宋体"/>
                <w:b/>
                <w:bCs/>
                <w:sz w:val="18"/>
                <w:szCs w:val="18"/>
              </w:rPr>
              <w:t>调入资金</w:t>
            </w:r>
          </w:p>
        </w:tc>
        <w:tc>
          <w:tcPr>
            <w:tcW w:w="850" w:type="dxa"/>
            <w:tcBorders>
              <w:top w:val="single" w:color="000000" w:sz="4" w:space="0"/>
              <w:left w:val="nil"/>
              <w:bottom w:val="single" w:color="000000" w:sz="4" w:space="0"/>
              <w:right w:val="single" w:color="000000" w:sz="4" w:space="0"/>
            </w:tcBorders>
            <w:vAlign w:val="center"/>
          </w:tcPr>
          <w:p>
            <w:pPr>
              <w:adjustRightInd/>
              <w:spacing w:line="240" w:lineRule="exact"/>
              <w:jc w:val="center"/>
              <w:textAlignment w:val="auto"/>
              <w:rPr>
                <w:rFonts w:ascii="宋体" w:hAnsi="宋体" w:cs="宋体"/>
                <w:b/>
                <w:bCs/>
                <w:sz w:val="18"/>
                <w:szCs w:val="18"/>
              </w:rPr>
            </w:pPr>
            <w:r>
              <w:rPr>
                <w:rFonts w:hint="eastAsia" w:ascii="宋体" w:hAnsi="宋体" w:cs="宋体"/>
                <w:b/>
                <w:bCs/>
                <w:sz w:val="18"/>
                <w:szCs w:val="18"/>
              </w:rPr>
              <w:t>调入预算稳定调节资金</w:t>
            </w:r>
          </w:p>
        </w:tc>
        <w:tc>
          <w:tcPr>
            <w:tcW w:w="426" w:type="dxa"/>
            <w:tcBorders>
              <w:top w:val="single" w:color="000000" w:sz="4" w:space="0"/>
              <w:left w:val="nil"/>
              <w:bottom w:val="single" w:color="000000" w:sz="4" w:space="0"/>
              <w:right w:val="single" w:color="000000" w:sz="4" w:space="0"/>
            </w:tcBorders>
            <w:vAlign w:val="center"/>
          </w:tcPr>
          <w:p>
            <w:pPr>
              <w:adjustRightInd/>
              <w:spacing w:line="240" w:lineRule="exact"/>
              <w:jc w:val="center"/>
              <w:textAlignment w:val="auto"/>
              <w:rPr>
                <w:rFonts w:ascii="宋体" w:hAnsi="宋体" w:cs="宋体"/>
                <w:b/>
                <w:bCs/>
                <w:sz w:val="18"/>
                <w:szCs w:val="18"/>
              </w:rPr>
            </w:pPr>
            <w:r>
              <w:rPr>
                <w:rFonts w:hint="eastAsia" w:ascii="宋体" w:hAnsi="宋体" w:cs="宋体"/>
                <w:b/>
                <w:bCs/>
                <w:sz w:val="18"/>
                <w:szCs w:val="18"/>
              </w:rPr>
              <w:t>退库</w:t>
            </w:r>
          </w:p>
        </w:tc>
        <w:tc>
          <w:tcPr>
            <w:tcW w:w="425" w:type="dxa"/>
            <w:tcBorders>
              <w:top w:val="single" w:color="000000" w:sz="4" w:space="0"/>
              <w:left w:val="nil"/>
              <w:bottom w:val="single" w:color="000000" w:sz="4" w:space="0"/>
              <w:right w:val="single" w:color="000000" w:sz="4" w:space="0"/>
            </w:tcBorders>
            <w:vAlign w:val="center"/>
          </w:tcPr>
          <w:p>
            <w:pPr>
              <w:adjustRightInd/>
              <w:spacing w:line="240" w:lineRule="exact"/>
              <w:jc w:val="center"/>
              <w:textAlignment w:val="auto"/>
              <w:rPr>
                <w:rFonts w:ascii="宋体" w:hAnsi="宋体" w:cs="宋体"/>
                <w:b/>
                <w:bCs/>
                <w:sz w:val="18"/>
                <w:szCs w:val="18"/>
              </w:rPr>
            </w:pPr>
            <w:r>
              <w:rPr>
                <w:rFonts w:hint="eastAsia" w:ascii="宋体" w:hAnsi="宋体" w:cs="宋体"/>
                <w:b/>
                <w:bCs/>
                <w:sz w:val="18"/>
                <w:szCs w:val="18"/>
              </w:rPr>
              <w:t>线下支出</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温岭市科学技术协会</w:t>
            </w:r>
          </w:p>
        </w:tc>
        <w:tc>
          <w:tcPr>
            <w:tcW w:w="1842"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7,178,536.20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7,146,605.70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31,930.50</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bottom"/>
          </w:tcPr>
          <w:p>
            <w:pPr>
              <w:adjustRightInd/>
              <w:spacing w:line="240" w:lineRule="exact"/>
              <w:jc w:val="left"/>
              <w:textAlignment w:val="auto"/>
              <w:rPr>
                <w:rFonts w:ascii="Arial" w:hAnsi="Arial" w:cs="Arial"/>
                <w:b/>
                <w:bCs/>
                <w:sz w:val="20"/>
              </w:rPr>
            </w:pPr>
            <w:r>
              <w:rPr>
                <w:rFonts w:ascii="Arial" w:hAnsi="Arial" w:cs="Arial"/>
                <w:b/>
                <w:bCs/>
                <w:sz w:val="20"/>
              </w:rPr>
              <w:t xml:space="preserve">  温岭市科学技术协会(本级)</w:t>
            </w:r>
          </w:p>
        </w:tc>
        <w:tc>
          <w:tcPr>
            <w:tcW w:w="1842"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7,178,536.20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7,146,605.70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31,930.50</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基本支出</w:t>
            </w:r>
          </w:p>
        </w:tc>
        <w:tc>
          <w:tcPr>
            <w:tcW w:w="1842"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2,598,536.20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2,598,536.20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工资福利支出</w:t>
            </w:r>
          </w:p>
        </w:tc>
        <w:tc>
          <w:tcPr>
            <w:tcW w:w="1842"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2,243,746.20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2,243,746.20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行政（参公）在职人员工资</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机关事业单位基本养老保险缴费支出</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238,233.00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238,233.00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行政（参公）在职人员工资</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机关事业单位职业年金缴费支出</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95,293.20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95,293.20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行政（参公）在职人员工资</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行政运行</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1,910,220.00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1,910,220.00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其他基本支出</w:t>
            </w:r>
          </w:p>
        </w:tc>
        <w:tc>
          <w:tcPr>
            <w:tcW w:w="1842"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325,080.00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325,080.00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公务出行经费</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行政运行</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7,680.00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7,680.00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公务交通补贴</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行政运行</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76,800.00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76,800.00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临时人员及其他劳务支出</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行政运行</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48,000.00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48,000.00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行政（参公）退休人员公用支出</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行政运行</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36,600.00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36,600.00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行政（参公）在职人员定额公用经费</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行政运行</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90,000.00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90,000.00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行政（参公）在职人员其他公用支出</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行政运行</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66,000.00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66,000.00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对个人和家庭的补助支出</w:t>
            </w:r>
          </w:p>
        </w:tc>
        <w:tc>
          <w:tcPr>
            <w:tcW w:w="1842"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29,710.00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29,710.00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独生子女保健费</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行政运行</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行政（参公）退休人员个人家庭补助</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行政运行</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29,610.00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29,610.00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项目支出</w:t>
            </w:r>
          </w:p>
        </w:tc>
        <w:tc>
          <w:tcPr>
            <w:tcW w:w="1842"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4,580,000.00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4,548,069.50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31,930.50</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专项公用类项目支出</w:t>
            </w:r>
          </w:p>
        </w:tc>
        <w:tc>
          <w:tcPr>
            <w:tcW w:w="1842"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1,770,000.00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1,738,069.50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31,930.50</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科技服务活动经费</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科技成果转化与扩散</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250,000.00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240,697.50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9,302.50</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科普专项</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科普活动</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1,250,000.00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1,231,907.00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18,093.00</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学术交流</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学术交流活动</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270,000.00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265,465.00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4,535.00</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政策性项目支出</w:t>
            </w:r>
          </w:p>
        </w:tc>
        <w:tc>
          <w:tcPr>
            <w:tcW w:w="1842"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2,810,000.00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2,810,000.00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金桥工程项目经费</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科技成果转化与扩散</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480,000.00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480,000.00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农函大经费</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科普活动</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50,000.00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50,000.00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农技协经费</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科技成果转化与扩散</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130,000.00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130,000.00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人才发展专项-国家级学会工作站补助</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科技成果转化与扩散</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200,000.00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200,000.00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人才发展专项-技术研讨和创新活动补助</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科技成果转化与扩散</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600,000.00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600,000.00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人才发展专项-五地联谊会活动</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科技成果转化与扩散</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150,000.00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150,000.00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3828" w:type="dxa"/>
            <w:tcBorders>
              <w:top w:val="nil"/>
              <w:left w:val="single" w:color="000000" w:sz="4" w:space="0"/>
              <w:bottom w:val="single" w:color="000000" w:sz="4" w:space="0"/>
              <w:right w:val="single" w:color="000000" w:sz="4" w:space="0"/>
            </w:tcBorders>
            <w:vAlign w:val="center"/>
          </w:tcPr>
          <w:p>
            <w:pPr>
              <w:adjustRightInd/>
              <w:spacing w:line="240" w:lineRule="exact"/>
              <w:jc w:val="left"/>
              <w:textAlignment w:val="auto"/>
              <w:rPr>
                <w:rFonts w:ascii="宋体" w:hAnsi="宋体" w:cs="宋体"/>
                <w:b/>
                <w:bCs/>
                <w:sz w:val="18"/>
                <w:szCs w:val="18"/>
              </w:rPr>
            </w:pPr>
            <w:r>
              <w:rPr>
                <w:rFonts w:hint="eastAsia" w:ascii="宋体" w:hAnsi="宋体" w:cs="宋体"/>
                <w:b/>
                <w:bCs/>
                <w:sz w:val="18"/>
                <w:szCs w:val="18"/>
              </w:rPr>
              <w:t xml:space="preserve">    人才发展专项-院士工作站补助</w:t>
            </w:r>
          </w:p>
        </w:tc>
        <w:tc>
          <w:tcPr>
            <w:tcW w:w="184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科技成果转化与扩散</w:t>
            </w:r>
          </w:p>
        </w:tc>
        <w:tc>
          <w:tcPr>
            <w:tcW w:w="129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1,200,000.00</w:t>
            </w:r>
          </w:p>
        </w:tc>
        <w:tc>
          <w:tcPr>
            <w:tcW w:w="153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1,200,000.00</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70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8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612"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850"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25"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bl>
    <w:p>
      <w:pPr>
        <w:pStyle w:val="2"/>
        <w:sectPr>
          <w:pgSz w:w="16838" w:h="11906" w:orient="landscape"/>
          <w:pgMar w:top="1418" w:right="1440" w:bottom="851" w:left="1440" w:header="851" w:footer="992" w:gutter="0"/>
          <w:cols w:space="425" w:num="1"/>
          <w:docGrid w:type="lines" w:linePitch="312"/>
        </w:sectPr>
      </w:pPr>
    </w:p>
    <w:tbl>
      <w:tblPr>
        <w:tblW w:w="13811"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986"/>
        <w:gridCol w:w="1107"/>
        <w:gridCol w:w="1107"/>
        <w:gridCol w:w="908"/>
        <w:gridCol w:w="477"/>
        <w:gridCol w:w="472"/>
        <w:gridCol w:w="477"/>
        <w:gridCol w:w="1159"/>
        <w:gridCol w:w="1026"/>
        <w:gridCol w:w="1159"/>
        <w:gridCol w:w="397"/>
        <w:gridCol w:w="453"/>
        <w:gridCol w:w="501"/>
        <w:gridCol w:w="501"/>
        <w:gridCol w:w="568"/>
        <w:gridCol w:w="513"/>
      </w:tblGrid>
      <w:tr>
        <w:trPr>
          <w:trHeight w:val="499" w:hRule="atLeast"/>
        </w:trPr>
        <w:tc>
          <w:tcPr>
            <w:tcW w:w="13811" w:type="dxa"/>
            <w:gridSpan w:val="16"/>
            <w:tcBorders>
              <w:top w:val="nil"/>
              <w:left w:val="nil"/>
              <w:bottom w:val="single" w:color="000000" w:sz="4" w:space="0"/>
              <w:right w:val="nil"/>
            </w:tcBorders>
            <w:vAlign w:val="center"/>
          </w:tcPr>
          <w:p>
            <w:pPr>
              <w:adjustRightInd/>
              <w:jc w:val="center"/>
              <w:textAlignment w:val="auto"/>
              <w:rPr>
                <w:rFonts w:hint="eastAsia" w:ascii="宋体" w:hAnsi="宋体" w:cs="宋体"/>
                <w:b/>
                <w:bCs/>
                <w:color w:val="000000"/>
                <w:sz w:val="32"/>
                <w:szCs w:val="32"/>
              </w:rPr>
            </w:pPr>
            <w:r>
              <w:rPr>
                <w:rFonts w:hint="eastAsia" w:ascii="宋体" w:hAnsi="宋体" w:cs="宋体"/>
                <w:b/>
                <w:bCs/>
                <w:color w:val="000000"/>
                <w:sz w:val="32"/>
                <w:szCs w:val="32"/>
              </w:rPr>
              <w:t>部门采购预算表</w:t>
            </w:r>
          </w:p>
          <w:p>
            <w:pPr>
              <w:adjustRightInd/>
              <w:jc w:val="right"/>
              <w:textAlignment w:val="auto"/>
              <w:rPr>
                <w:rFonts w:hint="eastAsia" w:ascii="宋体" w:hAnsi="宋体" w:cs="宋体"/>
                <w:sz w:val="18"/>
                <w:szCs w:val="18"/>
              </w:rPr>
            </w:pPr>
          </w:p>
          <w:p>
            <w:pPr>
              <w:adjustRightInd/>
              <w:jc w:val="right"/>
              <w:textAlignment w:val="auto"/>
              <w:rPr>
                <w:rFonts w:ascii="宋体" w:hAnsi="宋体" w:cs="宋体"/>
                <w:sz w:val="18"/>
                <w:szCs w:val="18"/>
              </w:rPr>
            </w:pPr>
            <w:r>
              <w:rPr>
                <w:rFonts w:hint="eastAsia" w:ascii="宋体" w:hAnsi="宋体" w:cs="宋体"/>
                <w:sz w:val="18"/>
                <w:szCs w:val="18"/>
              </w:rPr>
              <w:t>单位：元</w:t>
            </w:r>
          </w:p>
        </w:tc>
      </w:tr>
      <w:tr>
        <w:trPr>
          <w:trHeight w:val="1770" w:hRule="atLeast"/>
        </w:trPr>
        <w:tc>
          <w:tcPr>
            <w:tcW w:w="2986" w:type="dxa"/>
            <w:tcBorders>
              <w:top w:val="nil"/>
              <w:left w:val="single" w:color="000000" w:sz="4" w:space="0"/>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单位名称(支出项目 采购项目)</w:t>
            </w:r>
          </w:p>
        </w:tc>
        <w:tc>
          <w:tcPr>
            <w:tcW w:w="110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采购项目</w:t>
            </w:r>
          </w:p>
        </w:tc>
        <w:tc>
          <w:tcPr>
            <w:tcW w:w="110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采购目录</w:t>
            </w:r>
          </w:p>
        </w:tc>
        <w:tc>
          <w:tcPr>
            <w:tcW w:w="908"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采购类型</w:t>
            </w:r>
          </w:p>
        </w:tc>
        <w:tc>
          <w:tcPr>
            <w:tcW w:w="47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规格与技术参数</w:t>
            </w:r>
          </w:p>
        </w:tc>
        <w:tc>
          <w:tcPr>
            <w:tcW w:w="472"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数量</w:t>
            </w:r>
          </w:p>
        </w:tc>
        <w:tc>
          <w:tcPr>
            <w:tcW w:w="47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计量单位</w:t>
            </w:r>
          </w:p>
        </w:tc>
        <w:tc>
          <w:tcPr>
            <w:tcW w:w="1159"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单价(元)</w:t>
            </w:r>
          </w:p>
        </w:tc>
        <w:tc>
          <w:tcPr>
            <w:tcW w:w="1026"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合计</w:t>
            </w:r>
          </w:p>
        </w:tc>
        <w:tc>
          <w:tcPr>
            <w:tcW w:w="1159"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一般公共预算拨款收入</w:t>
            </w:r>
          </w:p>
        </w:tc>
        <w:tc>
          <w:tcPr>
            <w:tcW w:w="39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省补助收入</w:t>
            </w:r>
          </w:p>
        </w:tc>
        <w:tc>
          <w:tcPr>
            <w:tcW w:w="453"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专户收入</w:t>
            </w:r>
          </w:p>
        </w:tc>
        <w:tc>
          <w:tcPr>
            <w:tcW w:w="501"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政府性基金预算拨款</w:t>
            </w:r>
          </w:p>
        </w:tc>
        <w:tc>
          <w:tcPr>
            <w:tcW w:w="501"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其他收入</w:t>
            </w:r>
          </w:p>
        </w:tc>
        <w:tc>
          <w:tcPr>
            <w:tcW w:w="568"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镇(街道)补助</w:t>
            </w:r>
          </w:p>
        </w:tc>
        <w:tc>
          <w:tcPr>
            <w:tcW w:w="513"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b/>
                <w:bCs/>
                <w:color w:val="000000"/>
                <w:sz w:val="18"/>
                <w:szCs w:val="18"/>
              </w:rPr>
            </w:pPr>
            <w:r>
              <w:rPr>
                <w:rFonts w:hint="eastAsia" w:ascii="宋体" w:hAnsi="宋体" w:cs="宋体"/>
                <w:b/>
                <w:bCs/>
                <w:color w:val="000000"/>
                <w:sz w:val="18"/>
                <w:szCs w:val="18"/>
              </w:rPr>
              <w:t>上年结转</w:t>
            </w:r>
          </w:p>
        </w:tc>
      </w:tr>
      <w:tr>
        <w:trPr>
          <w:trHeight w:val="499" w:hRule="atLeast"/>
        </w:trPr>
        <w:tc>
          <w:tcPr>
            <w:tcW w:w="2986" w:type="dxa"/>
            <w:tcBorders>
              <w:top w:val="nil"/>
              <w:left w:val="single" w:color="000000" w:sz="4" w:space="0"/>
              <w:bottom w:val="single" w:color="000000" w:sz="4" w:space="0"/>
              <w:right w:val="single" w:color="000000" w:sz="4" w:space="0"/>
            </w:tcBorders>
            <w:vAlign w:val="center"/>
          </w:tcPr>
          <w:p>
            <w:pPr>
              <w:adjustRightInd/>
              <w:jc w:val="left"/>
              <w:textAlignment w:val="auto"/>
              <w:rPr>
                <w:rFonts w:ascii="宋体" w:hAnsi="宋体" w:cs="宋体"/>
                <w:b/>
                <w:bCs/>
                <w:color w:val="000000"/>
                <w:sz w:val="18"/>
                <w:szCs w:val="18"/>
              </w:rPr>
            </w:pPr>
            <w:r>
              <w:rPr>
                <w:rFonts w:hint="eastAsia" w:ascii="宋体" w:hAnsi="宋体" w:cs="宋体"/>
                <w:b/>
                <w:bCs/>
                <w:color w:val="000000"/>
                <w:sz w:val="18"/>
                <w:szCs w:val="18"/>
              </w:rPr>
              <w:t>1600温岭市科学技术协会</w:t>
            </w:r>
          </w:p>
        </w:tc>
        <w:tc>
          <w:tcPr>
            <w:tcW w:w="1107"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107"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908"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477"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472"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477"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159"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15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39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53"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01"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01"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13"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986" w:type="dxa"/>
            <w:tcBorders>
              <w:top w:val="nil"/>
              <w:left w:val="single" w:color="000000" w:sz="4" w:space="0"/>
              <w:bottom w:val="single" w:color="000000" w:sz="4" w:space="0"/>
              <w:right w:val="single" w:color="000000" w:sz="4" w:space="0"/>
            </w:tcBorders>
            <w:vAlign w:val="center"/>
          </w:tcPr>
          <w:p>
            <w:pPr>
              <w:adjustRightInd/>
              <w:jc w:val="left"/>
              <w:textAlignment w:val="auto"/>
              <w:rPr>
                <w:rFonts w:ascii="宋体" w:hAnsi="宋体" w:cs="宋体"/>
                <w:b/>
                <w:bCs/>
                <w:color w:val="000000"/>
                <w:sz w:val="18"/>
                <w:szCs w:val="18"/>
              </w:rPr>
            </w:pPr>
            <w:r>
              <w:rPr>
                <w:rFonts w:hint="eastAsia" w:ascii="宋体" w:hAnsi="宋体" w:cs="宋体"/>
                <w:b/>
                <w:bCs/>
                <w:color w:val="000000"/>
                <w:sz w:val="18"/>
                <w:szCs w:val="18"/>
              </w:rPr>
              <w:t>160100温岭市科学技术协会(本级)</w:t>
            </w:r>
          </w:p>
        </w:tc>
        <w:tc>
          <w:tcPr>
            <w:tcW w:w="1107"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107"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908"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477"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472"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477"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159" w:type="dxa"/>
            <w:tcBorders>
              <w:top w:val="nil"/>
              <w:left w:val="nil"/>
              <w:bottom w:val="single" w:color="000000" w:sz="4" w:space="0"/>
              <w:right w:val="single" w:color="000000" w:sz="4" w:space="0"/>
            </w:tcBorders>
            <w:vAlign w:val="bottom"/>
          </w:tcPr>
          <w:p>
            <w:pPr>
              <w:adjustRightInd/>
              <w:jc w:val="lef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15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39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53"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01"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01"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13"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986" w:type="dxa"/>
            <w:tcBorders>
              <w:top w:val="nil"/>
              <w:left w:val="single" w:color="000000" w:sz="4" w:space="0"/>
              <w:bottom w:val="single" w:color="000000" w:sz="4" w:space="0"/>
              <w:right w:val="single" w:color="000000" w:sz="4" w:space="0"/>
            </w:tcBorders>
            <w:vAlign w:val="center"/>
          </w:tcPr>
          <w:p>
            <w:pPr>
              <w:adjustRightInd/>
              <w:jc w:val="left"/>
              <w:textAlignment w:val="auto"/>
              <w:rPr>
                <w:rFonts w:ascii="宋体" w:hAnsi="宋体" w:cs="宋体"/>
                <w:b/>
                <w:bCs/>
                <w:color w:val="000000"/>
                <w:sz w:val="18"/>
                <w:szCs w:val="18"/>
              </w:rPr>
            </w:pPr>
            <w:r>
              <w:rPr>
                <w:rFonts w:hint="eastAsia" w:ascii="宋体" w:hAnsi="宋体" w:cs="宋体"/>
                <w:b/>
                <w:bCs/>
                <w:color w:val="000000"/>
                <w:sz w:val="18"/>
                <w:szCs w:val="18"/>
              </w:rPr>
              <w:t>科普展品</w:t>
            </w:r>
          </w:p>
        </w:tc>
        <w:tc>
          <w:tcPr>
            <w:tcW w:w="1107"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科普展品</w:t>
            </w:r>
          </w:p>
        </w:tc>
        <w:tc>
          <w:tcPr>
            <w:tcW w:w="1107"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其他货物</w:t>
            </w:r>
          </w:p>
        </w:tc>
        <w:tc>
          <w:tcPr>
            <w:tcW w:w="908"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分散采购</w:t>
            </w:r>
          </w:p>
        </w:tc>
        <w:tc>
          <w:tcPr>
            <w:tcW w:w="477"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　</w:t>
            </w:r>
          </w:p>
        </w:tc>
        <w:tc>
          <w:tcPr>
            <w:tcW w:w="472"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1</w:t>
            </w:r>
          </w:p>
        </w:tc>
        <w:tc>
          <w:tcPr>
            <w:tcW w:w="477" w:type="dxa"/>
            <w:tcBorders>
              <w:top w:val="nil"/>
              <w:left w:val="nil"/>
              <w:bottom w:val="single" w:color="000000" w:sz="4" w:space="0"/>
              <w:right w:val="single" w:color="000000"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套</w:t>
            </w:r>
          </w:p>
        </w:tc>
        <w:tc>
          <w:tcPr>
            <w:tcW w:w="115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95,000.00</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95,000.00</w:t>
            </w:r>
          </w:p>
        </w:tc>
        <w:tc>
          <w:tcPr>
            <w:tcW w:w="115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95,000.00</w:t>
            </w:r>
          </w:p>
        </w:tc>
        <w:tc>
          <w:tcPr>
            <w:tcW w:w="39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53"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01"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01"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13"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986" w:type="dxa"/>
            <w:tcBorders>
              <w:top w:val="nil"/>
              <w:left w:val="single" w:color="000000" w:sz="4" w:space="0"/>
              <w:bottom w:val="single" w:color="000000" w:sz="4" w:space="0"/>
              <w:right w:val="single" w:color="000000" w:sz="4" w:space="0"/>
            </w:tcBorders>
            <w:vAlign w:val="center"/>
          </w:tcPr>
          <w:p>
            <w:pPr>
              <w:adjustRightInd/>
              <w:jc w:val="left"/>
              <w:textAlignment w:val="auto"/>
              <w:rPr>
                <w:rFonts w:ascii="宋体" w:hAnsi="宋体" w:cs="宋体"/>
                <w:b/>
                <w:bCs/>
                <w:color w:val="000000"/>
                <w:sz w:val="18"/>
                <w:szCs w:val="18"/>
              </w:rPr>
            </w:pPr>
            <w:r>
              <w:rPr>
                <w:rFonts w:hint="eastAsia" w:ascii="宋体" w:hAnsi="宋体" w:cs="宋体"/>
                <w:b/>
                <w:bCs/>
                <w:color w:val="000000"/>
                <w:sz w:val="18"/>
                <w:szCs w:val="18"/>
              </w:rPr>
              <w:t>　</w:t>
            </w:r>
          </w:p>
        </w:tc>
        <w:tc>
          <w:tcPr>
            <w:tcW w:w="110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　</w:t>
            </w:r>
          </w:p>
        </w:tc>
        <w:tc>
          <w:tcPr>
            <w:tcW w:w="110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　</w:t>
            </w:r>
          </w:p>
        </w:tc>
        <w:tc>
          <w:tcPr>
            <w:tcW w:w="908"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477" w:type="dxa"/>
            <w:tcBorders>
              <w:top w:val="nil"/>
              <w:left w:val="single" w:color="000000" w:sz="4" w:space="0"/>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　</w:t>
            </w:r>
          </w:p>
        </w:tc>
        <w:tc>
          <w:tcPr>
            <w:tcW w:w="472"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　</w:t>
            </w:r>
          </w:p>
        </w:tc>
        <w:tc>
          <w:tcPr>
            <w:tcW w:w="47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　</w:t>
            </w:r>
          </w:p>
        </w:tc>
        <w:tc>
          <w:tcPr>
            <w:tcW w:w="115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15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39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53"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01"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01"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13"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r>
        <w:trPr>
          <w:trHeight w:val="499" w:hRule="atLeast"/>
        </w:trPr>
        <w:tc>
          <w:tcPr>
            <w:tcW w:w="2986" w:type="dxa"/>
            <w:tcBorders>
              <w:top w:val="nil"/>
              <w:left w:val="single" w:color="000000" w:sz="4" w:space="0"/>
              <w:bottom w:val="single" w:color="000000" w:sz="4" w:space="0"/>
              <w:right w:val="single" w:color="000000" w:sz="4" w:space="0"/>
            </w:tcBorders>
            <w:vAlign w:val="center"/>
          </w:tcPr>
          <w:p>
            <w:pPr>
              <w:adjustRightInd/>
              <w:jc w:val="left"/>
              <w:textAlignment w:val="auto"/>
              <w:rPr>
                <w:rFonts w:ascii="宋体" w:hAnsi="宋体" w:cs="宋体"/>
                <w:b/>
                <w:bCs/>
                <w:color w:val="000000"/>
                <w:sz w:val="18"/>
                <w:szCs w:val="18"/>
              </w:rPr>
            </w:pPr>
            <w:r>
              <w:rPr>
                <w:rFonts w:hint="eastAsia" w:ascii="宋体" w:hAnsi="宋体" w:cs="宋体"/>
                <w:b/>
                <w:bCs/>
                <w:color w:val="000000"/>
                <w:sz w:val="18"/>
                <w:szCs w:val="18"/>
              </w:rPr>
              <w:t>　</w:t>
            </w:r>
          </w:p>
        </w:tc>
        <w:tc>
          <w:tcPr>
            <w:tcW w:w="110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　</w:t>
            </w:r>
          </w:p>
        </w:tc>
        <w:tc>
          <w:tcPr>
            <w:tcW w:w="110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　</w:t>
            </w:r>
          </w:p>
        </w:tc>
        <w:tc>
          <w:tcPr>
            <w:tcW w:w="908" w:type="dxa"/>
            <w:tcBorders>
              <w:top w:val="single" w:color="000000" w:sz="4" w:space="0"/>
              <w:left w:val="nil"/>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　</w:t>
            </w:r>
          </w:p>
        </w:tc>
        <w:tc>
          <w:tcPr>
            <w:tcW w:w="47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　</w:t>
            </w:r>
          </w:p>
        </w:tc>
        <w:tc>
          <w:tcPr>
            <w:tcW w:w="472"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　</w:t>
            </w:r>
          </w:p>
        </w:tc>
        <w:tc>
          <w:tcPr>
            <w:tcW w:w="477" w:type="dxa"/>
            <w:tcBorders>
              <w:top w:val="nil"/>
              <w:left w:val="nil"/>
              <w:bottom w:val="single" w:color="000000" w:sz="4" w:space="0"/>
              <w:right w:val="single" w:color="000000" w:sz="4" w:space="0"/>
            </w:tcBorders>
            <w:vAlign w:val="center"/>
          </w:tcPr>
          <w:p>
            <w:pPr>
              <w:adjustRightInd/>
              <w:jc w:val="center"/>
              <w:textAlignment w:val="auto"/>
              <w:rPr>
                <w:rFonts w:ascii="宋体" w:hAnsi="宋体" w:cs="宋体"/>
                <w:sz w:val="18"/>
                <w:szCs w:val="18"/>
              </w:rPr>
            </w:pPr>
            <w:r>
              <w:rPr>
                <w:rFonts w:hint="eastAsia" w:ascii="宋体" w:hAnsi="宋体" w:cs="宋体"/>
                <w:sz w:val="18"/>
                <w:szCs w:val="18"/>
              </w:rPr>
              <w:t>　</w:t>
            </w:r>
          </w:p>
        </w:tc>
        <w:tc>
          <w:tcPr>
            <w:tcW w:w="115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026"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1159"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397"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453"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01"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01"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68"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c>
          <w:tcPr>
            <w:tcW w:w="513" w:type="dxa"/>
            <w:tcBorders>
              <w:top w:val="nil"/>
              <w:left w:val="nil"/>
              <w:bottom w:val="single" w:color="000000" w:sz="4" w:space="0"/>
              <w:right w:val="single" w:color="000000" w:sz="4" w:space="0"/>
            </w:tcBorders>
            <w:vAlign w:val="center"/>
          </w:tcPr>
          <w:p>
            <w:pPr>
              <w:adjustRightInd/>
              <w:jc w:val="right"/>
              <w:textAlignment w:val="auto"/>
              <w:rPr>
                <w:rFonts w:ascii="宋体" w:hAnsi="宋体" w:cs="宋体"/>
                <w:sz w:val="18"/>
                <w:szCs w:val="18"/>
              </w:rPr>
            </w:pPr>
            <w:r>
              <w:rPr>
                <w:rFonts w:hint="eastAsia" w:ascii="宋体" w:hAnsi="宋体" w:cs="宋体"/>
                <w:sz w:val="18"/>
                <w:szCs w:val="18"/>
              </w:rPr>
              <w:t>　</w:t>
            </w:r>
          </w:p>
        </w:tc>
      </w:tr>
    </w:tbl>
    <w:p>
      <w:pPr>
        <w:adjustRightInd/>
        <w:jc w:val="left"/>
        <w:textAlignment w:val="auto"/>
        <w:rPr>
          <w:rFonts w:ascii="仿宋_GB2312" w:hAnsi="仿宋_GB2312" w:eastAsia="仿宋_GB2312"/>
          <w:color w:val="000000"/>
          <w:szCs w:val="21"/>
        </w:rPr>
      </w:pPr>
      <w:r>
        <w:rPr>
          <w:szCs w:val="21"/>
        </w:rPr>
        <w:br w:type="page"/>
      </w:r>
      <w:r>
        <w:rPr>
          <w:rFonts w:ascii="仿宋_GB2312" w:hAnsi="仿宋_GB2312" w:eastAsia="仿宋_GB2312"/>
          <w:color w:val="000000"/>
          <w:szCs w:val="21"/>
        </w:rPr>
        <w:t xml:space="preserve"> </w:t>
      </w:r>
    </w:p>
    <w:tbl>
      <w:tblPr>
        <w:tblW w:w="1366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860"/>
        <w:gridCol w:w="1600"/>
        <w:gridCol w:w="1900"/>
        <w:gridCol w:w="1920"/>
        <w:gridCol w:w="3260"/>
        <w:gridCol w:w="2120"/>
      </w:tblGrid>
      <w:tr>
        <w:trPr>
          <w:trHeight w:val="450" w:hRule="atLeast"/>
        </w:trPr>
        <w:tc>
          <w:tcPr>
            <w:tcW w:w="13660" w:type="dxa"/>
            <w:gridSpan w:val="6"/>
            <w:tcBorders>
              <w:top w:val="nil"/>
              <w:left w:val="nil"/>
              <w:bottom w:val="nil"/>
              <w:right w:val="nil"/>
            </w:tcBorders>
            <w:vAlign w:val="center"/>
          </w:tcPr>
          <w:p>
            <w:pPr>
              <w:adjustRightInd/>
              <w:jc w:val="center"/>
              <w:textAlignment w:val="auto"/>
              <w:rPr>
                <w:rFonts w:ascii="黑体" w:hAnsi="黑体" w:eastAsia="黑体" w:cs="宋体"/>
                <w:b/>
                <w:bCs/>
                <w:sz w:val="36"/>
                <w:szCs w:val="36"/>
              </w:rPr>
            </w:pPr>
            <w:r>
              <w:rPr>
                <w:rFonts w:hint="eastAsia" w:ascii="黑体" w:hAnsi="黑体" w:eastAsia="黑体" w:cs="宋体"/>
                <w:b/>
                <w:bCs/>
                <w:sz w:val="36"/>
                <w:szCs w:val="36"/>
              </w:rPr>
              <w:t>2019年三公经费额度表</w:t>
            </w:r>
          </w:p>
        </w:tc>
      </w:tr>
      <w:tr>
        <w:trPr>
          <w:trHeight w:val="450" w:hRule="atLeast"/>
        </w:trPr>
        <w:tc>
          <w:tcPr>
            <w:tcW w:w="2860" w:type="dxa"/>
            <w:tcBorders>
              <w:top w:val="nil"/>
              <w:left w:val="nil"/>
              <w:bottom w:val="nil"/>
              <w:right w:val="nil"/>
            </w:tcBorders>
            <w:vAlign w:val="center"/>
          </w:tcPr>
          <w:p>
            <w:pPr>
              <w:adjustRightInd/>
              <w:jc w:val="center"/>
              <w:textAlignment w:val="auto"/>
              <w:rPr>
                <w:rFonts w:ascii="方正大标宋简体" w:hAnsi="宋体" w:eastAsia="方正大标宋简体" w:cs="宋体"/>
                <w:sz w:val="36"/>
                <w:szCs w:val="36"/>
              </w:rPr>
            </w:pPr>
          </w:p>
        </w:tc>
        <w:tc>
          <w:tcPr>
            <w:tcW w:w="1600" w:type="dxa"/>
            <w:tcBorders>
              <w:top w:val="nil"/>
              <w:left w:val="nil"/>
              <w:bottom w:val="nil"/>
              <w:right w:val="nil"/>
            </w:tcBorders>
            <w:vAlign w:val="center"/>
          </w:tcPr>
          <w:p>
            <w:pPr>
              <w:adjustRightInd/>
              <w:jc w:val="center"/>
              <w:textAlignment w:val="auto"/>
              <w:rPr>
                <w:rFonts w:ascii="方正大标宋简体" w:hAnsi="宋体" w:eastAsia="方正大标宋简体" w:cs="宋体"/>
                <w:sz w:val="36"/>
                <w:szCs w:val="36"/>
              </w:rPr>
            </w:pPr>
          </w:p>
        </w:tc>
        <w:tc>
          <w:tcPr>
            <w:tcW w:w="1900" w:type="dxa"/>
            <w:tcBorders>
              <w:top w:val="nil"/>
              <w:left w:val="nil"/>
              <w:bottom w:val="nil"/>
              <w:right w:val="nil"/>
            </w:tcBorders>
            <w:vAlign w:val="center"/>
          </w:tcPr>
          <w:p>
            <w:pPr>
              <w:adjustRightInd/>
              <w:jc w:val="center"/>
              <w:textAlignment w:val="auto"/>
              <w:rPr>
                <w:rFonts w:ascii="方正大标宋简体" w:hAnsi="宋体" w:eastAsia="方正大标宋简体" w:cs="宋体"/>
                <w:sz w:val="36"/>
                <w:szCs w:val="36"/>
              </w:rPr>
            </w:pPr>
          </w:p>
        </w:tc>
        <w:tc>
          <w:tcPr>
            <w:tcW w:w="1920" w:type="dxa"/>
            <w:tcBorders>
              <w:top w:val="nil"/>
              <w:left w:val="nil"/>
              <w:bottom w:val="nil"/>
              <w:right w:val="nil"/>
            </w:tcBorders>
            <w:vAlign w:val="center"/>
          </w:tcPr>
          <w:p>
            <w:pPr>
              <w:adjustRightInd/>
              <w:jc w:val="center"/>
              <w:textAlignment w:val="auto"/>
              <w:rPr>
                <w:rFonts w:ascii="方正大标宋简体" w:hAnsi="宋体" w:eastAsia="方正大标宋简体" w:cs="宋体"/>
                <w:sz w:val="36"/>
                <w:szCs w:val="36"/>
              </w:rPr>
            </w:pPr>
          </w:p>
        </w:tc>
        <w:tc>
          <w:tcPr>
            <w:tcW w:w="3260" w:type="dxa"/>
            <w:tcBorders>
              <w:top w:val="nil"/>
              <w:left w:val="nil"/>
              <w:bottom w:val="nil"/>
              <w:right w:val="nil"/>
            </w:tcBorders>
            <w:vAlign w:val="center"/>
          </w:tcPr>
          <w:p>
            <w:pPr>
              <w:adjustRightInd/>
              <w:jc w:val="center"/>
              <w:textAlignment w:val="auto"/>
              <w:rPr>
                <w:rFonts w:ascii="方正大标宋简体" w:hAnsi="宋体" w:eastAsia="方正大标宋简体" w:cs="宋体"/>
                <w:sz w:val="36"/>
                <w:szCs w:val="36"/>
              </w:rPr>
            </w:pPr>
          </w:p>
        </w:tc>
        <w:tc>
          <w:tcPr>
            <w:tcW w:w="2120" w:type="dxa"/>
            <w:tcBorders>
              <w:top w:val="nil"/>
              <w:left w:val="nil"/>
              <w:bottom w:val="nil"/>
              <w:right w:val="nil"/>
            </w:tcBorders>
            <w:vAlign w:val="center"/>
          </w:tcPr>
          <w:p>
            <w:pPr>
              <w:adjustRightInd/>
              <w:jc w:val="center"/>
              <w:textAlignment w:val="auto"/>
              <w:rPr>
                <w:rFonts w:ascii="方正大标宋简体" w:hAnsi="宋体" w:eastAsia="方正大标宋简体" w:cs="宋体"/>
                <w:sz w:val="24"/>
                <w:szCs w:val="24"/>
              </w:rPr>
            </w:pPr>
            <w:r>
              <w:rPr>
                <w:rFonts w:hint="eastAsia" w:ascii="方正大标宋简体" w:hAnsi="宋体" w:eastAsia="方正大标宋简体" w:cs="宋体"/>
                <w:sz w:val="24"/>
                <w:szCs w:val="24"/>
              </w:rPr>
              <w:t>单位：元</w:t>
            </w:r>
          </w:p>
        </w:tc>
      </w:tr>
      <w:tr>
        <w:trPr>
          <w:trHeight w:val="312" w:hRule="atLeast"/>
        </w:trPr>
        <w:tc>
          <w:tcPr>
            <w:tcW w:w="2860"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黑体" w:hAnsi="黑体" w:eastAsia="黑体" w:cs="宋体"/>
                <w:sz w:val="24"/>
                <w:szCs w:val="24"/>
              </w:rPr>
            </w:pPr>
            <w:r>
              <w:rPr>
                <w:rFonts w:hint="eastAsia" w:ascii="黑体" w:hAnsi="黑体" w:eastAsia="黑体" w:cs="宋体"/>
                <w:sz w:val="24"/>
                <w:szCs w:val="24"/>
              </w:rPr>
              <w:t>单位名称</w:t>
            </w:r>
          </w:p>
        </w:tc>
        <w:tc>
          <w:tcPr>
            <w:tcW w:w="1600"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黑体" w:hAnsi="黑体" w:eastAsia="黑体" w:cs="宋体"/>
                <w:b/>
                <w:bCs/>
                <w:sz w:val="24"/>
                <w:szCs w:val="24"/>
              </w:rPr>
            </w:pPr>
            <w:r>
              <w:rPr>
                <w:rFonts w:hint="eastAsia" w:ascii="黑体" w:hAnsi="黑体" w:eastAsia="黑体" w:cs="宋体"/>
                <w:b/>
                <w:bCs/>
                <w:sz w:val="24"/>
                <w:szCs w:val="24"/>
              </w:rPr>
              <w:t>三公经费合计</w:t>
            </w:r>
          </w:p>
        </w:tc>
        <w:tc>
          <w:tcPr>
            <w:tcW w:w="1900"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黑体" w:hAnsi="黑体" w:eastAsia="黑体" w:cs="宋体"/>
                <w:b/>
                <w:bCs/>
                <w:sz w:val="24"/>
                <w:szCs w:val="24"/>
              </w:rPr>
            </w:pPr>
            <w:r>
              <w:rPr>
                <w:rFonts w:hint="eastAsia" w:ascii="黑体" w:hAnsi="黑体" w:eastAsia="黑体" w:cs="宋体"/>
                <w:b/>
                <w:bCs/>
                <w:sz w:val="24"/>
                <w:szCs w:val="24"/>
              </w:rPr>
              <w:t>因公出国（境）经费</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黑体" w:hAnsi="黑体" w:eastAsia="黑体" w:cs="宋体"/>
                <w:b/>
                <w:bCs/>
                <w:sz w:val="24"/>
                <w:szCs w:val="24"/>
              </w:rPr>
            </w:pPr>
            <w:r>
              <w:rPr>
                <w:rFonts w:hint="eastAsia" w:ascii="黑体" w:hAnsi="黑体" w:eastAsia="黑体" w:cs="宋体"/>
                <w:b/>
                <w:bCs/>
                <w:sz w:val="24"/>
                <w:szCs w:val="24"/>
              </w:rPr>
              <w:t>公务接待费</w:t>
            </w:r>
          </w:p>
        </w:tc>
        <w:tc>
          <w:tcPr>
            <w:tcW w:w="3260"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黑体" w:hAnsi="黑体" w:eastAsia="黑体" w:cs="宋体"/>
                <w:b/>
                <w:bCs/>
                <w:sz w:val="24"/>
                <w:szCs w:val="24"/>
              </w:rPr>
            </w:pPr>
            <w:r>
              <w:rPr>
                <w:rFonts w:hint="eastAsia" w:ascii="黑体" w:hAnsi="黑体" w:eastAsia="黑体" w:cs="宋体"/>
                <w:b/>
                <w:bCs/>
                <w:sz w:val="24"/>
                <w:szCs w:val="24"/>
              </w:rPr>
              <w:t>公务用车运行维护费（含公务出行和车辆租赁经费）</w:t>
            </w:r>
          </w:p>
        </w:tc>
        <w:tc>
          <w:tcPr>
            <w:tcW w:w="2120"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黑体" w:hAnsi="黑体" w:eastAsia="黑体" w:cs="宋体"/>
                <w:b/>
                <w:bCs/>
                <w:sz w:val="24"/>
                <w:szCs w:val="24"/>
              </w:rPr>
            </w:pPr>
            <w:r>
              <w:rPr>
                <w:rFonts w:hint="eastAsia" w:ascii="黑体" w:hAnsi="黑体" w:eastAsia="黑体" w:cs="宋体"/>
                <w:b/>
                <w:bCs/>
                <w:sz w:val="24"/>
                <w:szCs w:val="24"/>
              </w:rPr>
              <w:t>车辆购置经费</w:t>
            </w:r>
          </w:p>
        </w:tc>
      </w:tr>
      <w:tr>
        <w:trPr>
          <w:trHeight w:val="930" w:hRule="atLeast"/>
        </w:trPr>
        <w:tc>
          <w:tcPr>
            <w:tcW w:w="2860"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黑体" w:hAnsi="黑体" w:eastAsia="黑体" w:cs="宋体"/>
                <w:sz w:val="24"/>
                <w:szCs w:val="24"/>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黑体" w:hAnsi="黑体" w:eastAsia="黑体" w:cs="宋体"/>
                <w:b/>
                <w:bCs/>
                <w:sz w:val="24"/>
                <w:szCs w:val="24"/>
              </w:rPr>
            </w:pPr>
          </w:p>
        </w:tc>
        <w:tc>
          <w:tcPr>
            <w:tcW w:w="1900"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黑体" w:hAnsi="黑体" w:eastAsia="黑体" w:cs="宋体"/>
                <w:b/>
                <w:bCs/>
                <w:sz w:val="24"/>
                <w:szCs w:val="24"/>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黑体" w:hAnsi="黑体" w:eastAsia="黑体" w:cs="宋体"/>
                <w:b/>
                <w:bCs/>
                <w:sz w:val="24"/>
                <w:szCs w:val="24"/>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黑体" w:hAnsi="黑体" w:eastAsia="黑体" w:cs="宋体"/>
                <w:b/>
                <w:bCs/>
                <w:sz w:val="24"/>
                <w:szCs w:val="24"/>
              </w:rPr>
            </w:pPr>
          </w:p>
        </w:tc>
        <w:tc>
          <w:tcPr>
            <w:tcW w:w="2120"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黑体" w:hAnsi="黑体" w:eastAsia="黑体" w:cs="宋体"/>
                <w:b/>
                <w:bCs/>
                <w:sz w:val="24"/>
                <w:szCs w:val="24"/>
              </w:rPr>
            </w:pPr>
          </w:p>
        </w:tc>
      </w:tr>
      <w:tr>
        <w:trPr>
          <w:trHeight w:val="860" w:hRule="atLeast"/>
        </w:trPr>
        <w:tc>
          <w:tcPr>
            <w:tcW w:w="2860" w:type="dxa"/>
            <w:tcBorders>
              <w:top w:val="nil"/>
              <w:left w:val="single" w:color="auto" w:sz="4" w:space="0"/>
              <w:bottom w:val="single" w:color="auto" w:sz="4" w:space="0"/>
              <w:right w:val="single" w:color="auto" w:sz="4" w:space="0"/>
            </w:tcBorders>
            <w:vAlign w:val="center"/>
          </w:tcPr>
          <w:p>
            <w:pPr>
              <w:adjustRightInd/>
              <w:jc w:val="center"/>
              <w:textAlignment w:val="auto"/>
              <w:rPr>
                <w:rFonts w:ascii="宋体" w:hAnsi="宋体" w:cs="宋体"/>
                <w:sz w:val="22"/>
                <w:szCs w:val="22"/>
              </w:rPr>
            </w:pPr>
            <w:r>
              <w:rPr>
                <w:rFonts w:hint="eastAsia" w:ascii="宋体" w:hAnsi="宋体" w:cs="宋体"/>
                <w:sz w:val="22"/>
                <w:szCs w:val="22"/>
              </w:rPr>
              <w:t>160100科学技术协会</w:t>
            </w:r>
          </w:p>
        </w:tc>
        <w:tc>
          <w:tcPr>
            <w:tcW w:w="1600"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sz w:val="22"/>
                <w:szCs w:val="22"/>
              </w:rPr>
            </w:pPr>
            <w:r>
              <w:rPr>
                <w:rFonts w:hint="eastAsia" w:ascii="宋体" w:hAnsi="宋体" w:cs="宋体"/>
                <w:sz w:val="22"/>
                <w:szCs w:val="22"/>
              </w:rPr>
              <w:t xml:space="preserve">68765.00 </w:t>
            </w:r>
          </w:p>
        </w:tc>
        <w:tc>
          <w:tcPr>
            <w:tcW w:w="1900"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sz w:val="22"/>
                <w:szCs w:val="22"/>
              </w:rPr>
            </w:pPr>
            <w:r>
              <w:rPr>
                <w:rFonts w:hint="eastAsia" w:ascii="宋体" w:hAnsi="宋体" w:cs="宋体"/>
                <w:sz w:val="22"/>
                <w:szCs w:val="22"/>
              </w:rPr>
              <w:t xml:space="preserve">0.00 </w:t>
            </w:r>
          </w:p>
        </w:tc>
        <w:tc>
          <w:tcPr>
            <w:tcW w:w="1920"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sz w:val="22"/>
                <w:szCs w:val="22"/>
              </w:rPr>
            </w:pPr>
            <w:r>
              <w:rPr>
                <w:rFonts w:hint="eastAsia" w:ascii="宋体" w:hAnsi="宋体" w:cs="宋体"/>
                <w:sz w:val="22"/>
                <w:szCs w:val="22"/>
              </w:rPr>
              <w:t xml:space="preserve">61085.00 </w:t>
            </w:r>
          </w:p>
        </w:tc>
        <w:tc>
          <w:tcPr>
            <w:tcW w:w="3260"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sz w:val="22"/>
                <w:szCs w:val="22"/>
              </w:rPr>
            </w:pPr>
            <w:r>
              <w:rPr>
                <w:rFonts w:hint="eastAsia" w:ascii="宋体" w:hAnsi="宋体" w:cs="宋体"/>
                <w:sz w:val="22"/>
                <w:szCs w:val="22"/>
              </w:rPr>
              <w:t xml:space="preserve">7680.00 </w:t>
            </w:r>
          </w:p>
        </w:tc>
        <w:tc>
          <w:tcPr>
            <w:tcW w:w="2120"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sz w:val="22"/>
                <w:szCs w:val="22"/>
              </w:rPr>
            </w:pPr>
            <w:r>
              <w:rPr>
                <w:rFonts w:hint="eastAsia" w:ascii="宋体" w:hAnsi="宋体" w:cs="宋体"/>
                <w:sz w:val="22"/>
                <w:szCs w:val="22"/>
              </w:rPr>
              <w:t xml:space="preserve">0.00 </w:t>
            </w:r>
          </w:p>
        </w:tc>
      </w:tr>
      <w:tr>
        <w:trPr>
          <w:trHeight w:val="285" w:hRule="atLeast"/>
        </w:trPr>
        <w:tc>
          <w:tcPr>
            <w:tcW w:w="286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60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90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92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326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2120" w:type="dxa"/>
            <w:tcBorders>
              <w:top w:val="nil"/>
              <w:left w:val="nil"/>
              <w:bottom w:val="nil"/>
              <w:right w:val="nil"/>
            </w:tcBorders>
            <w:vAlign w:val="bottom"/>
          </w:tcPr>
          <w:p>
            <w:pPr>
              <w:adjustRightInd/>
              <w:jc w:val="left"/>
              <w:textAlignment w:val="auto"/>
              <w:rPr>
                <w:rFonts w:ascii="宋体" w:hAnsi="宋体" w:cs="宋体"/>
                <w:sz w:val="24"/>
                <w:szCs w:val="24"/>
              </w:rPr>
            </w:pPr>
          </w:p>
        </w:tc>
      </w:tr>
      <w:tr>
        <w:trPr>
          <w:trHeight w:val="285" w:hRule="atLeast"/>
        </w:trPr>
        <w:tc>
          <w:tcPr>
            <w:tcW w:w="286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60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90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92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326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2120" w:type="dxa"/>
            <w:tcBorders>
              <w:top w:val="nil"/>
              <w:left w:val="nil"/>
              <w:bottom w:val="nil"/>
              <w:right w:val="nil"/>
            </w:tcBorders>
            <w:vAlign w:val="bottom"/>
          </w:tcPr>
          <w:p>
            <w:pPr>
              <w:adjustRightInd/>
              <w:jc w:val="left"/>
              <w:textAlignment w:val="auto"/>
              <w:rPr>
                <w:rFonts w:ascii="宋体" w:hAnsi="宋体" w:cs="宋体"/>
                <w:sz w:val="24"/>
                <w:szCs w:val="24"/>
              </w:rPr>
            </w:pPr>
          </w:p>
        </w:tc>
      </w:tr>
      <w:tr>
        <w:trPr>
          <w:trHeight w:val="285" w:hRule="atLeast"/>
        </w:trPr>
        <w:tc>
          <w:tcPr>
            <w:tcW w:w="286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60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90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92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326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2120" w:type="dxa"/>
            <w:tcBorders>
              <w:top w:val="nil"/>
              <w:left w:val="nil"/>
              <w:bottom w:val="nil"/>
              <w:right w:val="nil"/>
            </w:tcBorders>
            <w:vAlign w:val="bottom"/>
          </w:tcPr>
          <w:p>
            <w:pPr>
              <w:adjustRightInd/>
              <w:jc w:val="left"/>
              <w:textAlignment w:val="auto"/>
              <w:rPr>
                <w:rFonts w:ascii="宋体" w:hAnsi="宋体" w:cs="宋体"/>
                <w:sz w:val="24"/>
                <w:szCs w:val="24"/>
              </w:rPr>
            </w:pPr>
          </w:p>
        </w:tc>
      </w:tr>
    </w:tbl>
    <w:p>
      <w:pPr>
        <w:adjustRightInd/>
        <w:jc w:val="left"/>
        <w:textAlignment w:val="auto"/>
        <w:rPr>
          <w:rFonts w:ascii="仿宋_GB2312" w:hAnsi="仿宋_GB2312" w:eastAsia="仿宋_GB2312"/>
          <w:color w:val="000000"/>
          <w:szCs w:val="21"/>
        </w:rPr>
      </w:pPr>
      <w:r>
        <w:rPr>
          <w:szCs w:val="21"/>
        </w:rPr>
        <w:br w:type="page"/>
      </w:r>
    </w:p>
    <w:tbl>
      <w:tblPr>
        <w:tblW w:w="14326"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05"/>
        <w:gridCol w:w="3528"/>
        <w:gridCol w:w="1080"/>
        <w:gridCol w:w="558"/>
        <w:gridCol w:w="531"/>
        <w:gridCol w:w="508"/>
        <w:gridCol w:w="948"/>
        <w:gridCol w:w="416"/>
        <w:gridCol w:w="416"/>
        <w:gridCol w:w="416"/>
        <w:gridCol w:w="800"/>
        <w:gridCol w:w="760"/>
        <w:gridCol w:w="1080"/>
        <w:gridCol w:w="2180"/>
      </w:tblGrid>
      <w:tr>
        <w:trPr>
          <w:trHeight w:val="405" w:hRule="atLeast"/>
        </w:trPr>
        <w:tc>
          <w:tcPr>
            <w:tcW w:w="9506" w:type="dxa"/>
            <w:gridSpan w:val="10"/>
            <w:tcBorders>
              <w:top w:val="nil"/>
              <w:left w:val="nil"/>
              <w:bottom w:val="nil"/>
              <w:right w:val="nil"/>
            </w:tcBorders>
            <w:vAlign w:val="center"/>
          </w:tcPr>
          <w:p>
            <w:pPr>
              <w:adjustRightInd/>
              <w:jc w:val="left"/>
              <w:textAlignment w:val="auto"/>
              <w:rPr>
                <w:rFonts w:ascii="黑体" w:hAnsi="黑体" w:eastAsia="黑体" w:cs="宋体"/>
                <w:color w:val="000000"/>
                <w:sz w:val="32"/>
                <w:szCs w:val="32"/>
              </w:rPr>
            </w:pPr>
            <w:r>
              <w:rPr>
                <w:rFonts w:hint="eastAsia" w:ascii="黑体" w:hAnsi="黑体" w:eastAsia="黑体" w:cs="宋体"/>
                <w:color w:val="000000"/>
                <w:sz w:val="32"/>
                <w:szCs w:val="32"/>
              </w:rPr>
              <w:t>附件3-11</w:t>
            </w:r>
            <w:r>
              <w:rPr>
                <w:rFonts w:hint="eastAsia" w:ascii="仿宋_GB2312" w:hAnsi="黑体" w:eastAsia="仿宋_GB2312" w:cs="宋体"/>
                <w:color w:val="000000"/>
                <w:sz w:val="32"/>
                <w:szCs w:val="32"/>
              </w:rPr>
              <w:t xml:space="preserve">    部门预算财政拨款重点项目支出预算表（表11）</w:t>
            </w:r>
          </w:p>
        </w:tc>
        <w:tc>
          <w:tcPr>
            <w:tcW w:w="80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76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108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218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r>
      <w:tr>
        <w:trPr>
          <w:trHeight w:val="405" w:hRule="atLeast"/>
        </w:trPr>
        <w:tc>
          <w:tcPr>
            <w:tcW w:w="1105" w:type="dxa"/>
            <w:tcBorders>
              <w:top w:val="nil"/>
              <w:left w:val="nil"/>
              <w:bottom w:val="nil"/>
              <w:right w:val="nil"/>
            </w:tcBorders>
            <w:vAlign w:val="center"/>
          </w:tcPr>
          <w:p>
            <w:pPr>
              <w:adjustRightInd/>
              <w:jc w:val="left"/>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p>
        </w:tc>
        <w:tc>
          <w:tcPr>
            <w:tcW w:w="3528"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108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558"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531"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508"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948"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416"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416"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416"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80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76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108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218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r>
      <w:tr>
        <w:trPr>
          <w:trHeight w:val="450" w:hRule="atLeast"/>
        </w:trPr>
        <w:tc>
          <w:tcPr>
            <w:tcW w:w="14326" w:type="dxa"/>
            <w:gridSpan w:val="14"/>
            <w:tcBorders>
              <w:top w:val="nil"/>
              <w:left w:val="nil"/>
              <w:bottom w:val="nil"/>
              <w:right w:val="nil"/>
            </w:tcBorders>
            <w:vAlign w:val="center"/>
          </w:tcPr>
          <w:p>
            <w:pPr>
              <w:adjustRightInd/>
              <w:jc w:val="center"/>
              <w:textAlignment w:val="auto"/>
              <w:rPr>
                <w:rFonts w:ascii="黑体" w:hAnsi="黑体" w:eastAsia="黑体" w:cs="宋体"/>
                <w:color w:val="000000"/>
                <w:sz w:val="36"/>
                <w:szCs w:val="36"/>
              </w:rPr>
            </w:pPr>
            <w:r>
              <w:rPr>
                <w:rFonts w:hint="eastAsia" w:ascii="黑体" w:hAnsi="黑体" w:eastAsia="黑体" w:cs="宋体"/>
                <w:color w:val="000000"/>
                <w:sz w:val="36"/>
                <w:szCs w:val="36"/>
              </w:rPr>
              <w:t>2019年部门预算财政拨款重点项目支出预算表（表11）</w:t>
            </w:r>
          </w:p>
        </w:tc>
      </w:tr>
      <w:tr>
        <w:trPr>
          <w:trHeight w:val="285" w:hRule="atLeast"/>
        </w:trPr>
        <w:tc>
          <w:tcPr>
            <w:tcW w:w="1105" w:type="dxa"/>
            <w:tcBorders>
              <w:top w:val="nil"/>
              <w:left w:val="nil"/>
              <w:bottom w:val="nil"/>
              <w:right w:val="nil"/>
            </w:tcBorders>
            <w:vAlign w:val="center"/>
          </w:tcPr>
          <w:p>
            <w:pPr>
              <w:adjustRightInd/>
              <w:jc w:val="center"/>
              <w:textAlignment w:val="auto"/>
              <w:rPr>
                <w:rFonts w:ascii="仿宋_GB2312" w:hAnsi="宋体" w:eastAsia="仿宋_GB2312" w:cs="宋体"/>
                <w:color w:val="000000"/>
                <w:sz w:val="20"/>
              </w:rPr>
            </w:pPr>
            <w:r>
              <w:rPr>
                <w:rFonts w:hint="eastAsia" w:ascii="仿宋_GB2312" w:hAnsi="宋体" w:eastAsia="仿宋_GB2312" w:cs="宋体"/>
                <w:color w:val="000000"/>
                <w:sz w:val="20"/>
              </w:rPr>
              <w:t xml:space="preserve"> </w:t>
            </w:r>
          </w:p>
        </w:tc>
        <w:tc>
          <w:tcPr>
            <w:tcW w:w="3528"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108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558"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531"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508"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948"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416"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416"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416"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80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76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c>
          <w:tcPr>
            <w:tcW w:w="1080" w:type="dxa"/>
            <w:tcBorders>
              <w:top w:val="nil"/>
              <w:left w:val="nil"/>
              <w:bottom w:val="nil"/>
              <w:right w:val="nil"/>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单位：元</w:t>
            </w:r>
          </w:p>
        </w:tc>
        <w:tc>
          <w:tcPr>
            <w:tcW w:w="2180" w:type="dxa"/>
            <w:tcBorders>
              <w:top w:val="nil"/>
              <w:left w:val="nil"/>
              <w:bottom w:val="nil"/>
              <w:right w:val="nil"/>
            </w:tcBorders>
            <w:vAlign w:val="center"/>
          </w:tcPr>
          <w:p>
            <w:pPr>
              <w:adjustRightInd/>
              <w:jc w:val="left"/>
              <w:textAlignment w:val="auto"/>
              <w:rPr>
                <w:rFonts w:ascii="宋体" w:hAnsi="宋体" w:cs="宋体"/>
                <w:color w:val="000000"/>
                <w:sz w:val="22"/>
                <w:szCs w:val="22"/>
              </w:rPr>
            </w:pPr>
          </w:p>
        </w:tc>
      </w:tr>
      <w:tr>
        <w:trPr>
          <w:trHeight w:val="285" w:hRule="atLeast"/>
        </w:trPr>
        <w:tc>
          <w:tcPr>
            <w:tcW w:w="1105"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20"/>
              </w:rPr>
            </w:pPr>
            <w:r>
              <w:rPr>
                <w:rFonts w:hint="eastAsia" w:ascii="宋体" w:hAnsi="宋体" w:cs="宋体"/>
                <w:color w:val="000000"/>
                <w:sz w:val="20"/>
              </w:rPr>
              <w:t>单位名称</w:t>
            </w:r>
          </w:p>
        </w:tc>
        <w:tc>
          <w:tcPr>
            <w:tcW w:w="3528"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20"/>
              </w:rPr>
            </w:pPr>
            <w:r>
              <w:rPr>
                <w:rFonts w:hint="eastAsia" w:ascii="宋体" w:hAnsi="宋体" w:cs="宋体"/>
                <w:color w:val="000000"/>
                <w:sz w:val="20"/>
              </w:rPr>
              <w:t>项目名称</w:t>
            </w:r>
          </w:p>
        </w:tc>
        <w:tc>
          <w:tcPr>
            <w:tcW w:w="3625" w:type="dxa"/>
            <w:gridSpan w:val="5"/>
            <w:tcBorders>
              <w:top w:val="single" w:color="auto" w:sz="4" w:space="0"/>
              <w:left w:val="nil"/>
              <w:bottom w:val="single" w:color="auto" w:sz="4" w:space="0"/>
              <w:right w:val="single" w:color="auto" w:sz="4" w:space="0"/>
            </w:tcBorders>
            <w:vAlign w:val="center"/>
          </w:tcPr>
          <w:p>
            <w:pPr>
              <w:adjustRightInd/>
              <w:jc w:val="center"/>
              <w:textAlignment w:val="auto"/>
              <w:rPr>
                <w:rFonts w:ascii="宋体" w:hAnsi="宋体" w:cs="宋体"/>
                <w:color w:val="000000"/>
                <w:sz w:val="20"/>
              </w:rPr>
            </w:pPr>
            <w:r>
              <w:rPr>
                <w:rFonts w:hint="eastAsia" w:ascii="宋体" w:hAnsi="宋体" w:cs="宋体"/>
                <w:color w:val="000000"/>
                <w:sz w:val="20"/>
              </w:rPr>
              <w:t>财政拨款</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专户收入</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国有资本经营预算收入</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其他收入</w:t>
            </w:r>
          </w:p>
        </w:tc>
        <w:tc>
          <w:tcPr>
            <w:tcW w:w="800"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退库</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镇(</w:t>
            </w:r>
            <w:r>
              <w:rPr>
                <w:rFonts w:hint="eastAsia" w:ascii="宋体" w:hAnsi="宋体" w:cs="Arial"/>
                <w:color w:val="000000"/>
                <w:sz w:val="20"/>
              </w:rPr>
              <w:t>街道</w:t>
            </w:r>
            <w:r>
              <w:rPr>
                <w:rFonts w:ascii="Arial" w:hAnsi="Arial" w:cs="Arial"/>
                <w:color w:val="000000"/>
                <w:sz w:val="20"/>
              </w:rPr>
              <w:t>)</w:t>
            </w:r>
            <w:r>
              <w:rPr>
                <w:rFonts w:hint="eastAsia" w:ascii="宋体" w:hAnsi="宋体" w:cs="Arial"/>
                <w:color w:val="000000"/>
                <w:sz w:val="20"/>
              </w:rPr>
              <w:t>补助</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20"/>
              </w:rPr>
            </w:pPr>
            <w:r>
              <w:rPr>
                <w:rFonts w:hint="eastAsia" w:ascii="宋体" w:hAnsi="宋体" w:cs="宋体"/>
                <w:color w:val="000000"/>
                <w:sz w:val="20"/>
              </w:rPr>
              <w:t>总计</w:t>
            </w:r>
          </w:p>
        </w:tc>
        <w:tc>
          <w:tcPr>
            <w:tcW w:w="2180" w:type="dxa"/>
            <w:vMerge w:val="restart"/>
            <w:tcBorders>
              <w:top w:val="single" w:color="auto" w:sz="4" w:space="0"/>
              <w:left w:val="single" w:color="auto" w:sz="4" w:space="0"/>
              <w:bottom w:val="single" w:color="auto" w:sz="4" w:space="0"/>
              <w:right w:val="single" w:color="auto" w:sz="4" w:space="0"/>
            </w:tcBorders>
            <w:vAlign w:val="center"/>
          </w:tcPr>
          <w:p>
            <w:pPr>
              <w:adjustRightInd/>
              <w:jc w:val="center"/>
              <w:textAlignment w:val="auto"/>
              <w:rPr>
                <w:rFonts w:ascii="宋体" w:hAnsi="宋体" w:cs="宋体"/>
                <w:color w:val="000000"/>
                <w:sz w:val="20"/>
              </w:rPr>
            </w:pPr>
            <w:r>
              <w:rPr>
                <w:rFonts w:hint="eastAsia" w:ascii="宋体" w:hAnsi="宋体" w:cs="宋体"/>
                <w:color w:val="000000"/>
                <w:sz w:val="20"/>
              </w:rPr>
              <w:t>项目绩效目标</w:t>
            </w:r>
          </w:p>
        </w:tc>
      </w:tr>
      <w:tr>
        <w:trPr>
          <w:trHeight w:val="510" w:hRule="atLeast"/>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宋体" w:hAnsi="宋体" w:cs="宋体"/>
                <w:color w:val="000000"/>
                <w:sz w:val="20"/>
              </w:rPr>
            </w:pPr>
          </w:p>
        </w:tc>
        <w:tc>
          <w:tcPr>
            <w:tcW w:w="3528"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宋体" w:hAnsi="宋体" w:cs="宋体"/>
                <w:color w:val="000000"/>
                <w:sz w:val="20"/>
              </w:rPr>
            </w:pPr>
          </w:p>
        </w:tc>
        <w:tc>
          <w:tcPr>
            <w:tcW w:w="1080"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一般公共预算拨款收入</w:t>
            </w:r>
          </w:p>
        </w:tc>
        <w:tc>
          <w:tcPr>
            <w:tcW w:w="558"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政府性基金预算拨款</w:t>
            </w:r>
          </w:p>
        </w:tc>
        <w:tc>
          <w:tcPr>
            <w:tcW w:w="531"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省补助收入</w:t>
            </w:r>
          </w:p>
        </w:tc>
        <w:tc>
          <w:tcPr>
            <w:tcW w:w="508"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调入资金</w:t>
            </w:r>
          </w:p>
        </w:tc>
        <w:tc>
          <w:tcPr>
            <w:tcW w:w="948" w:type="dxa"/>
            <w:tcBorders>
              <w:top w:val="nil"/>
              <w:left w:val="nil"/>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上年结转</w:t>
            </w: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Arial" w:hAnsi="Arial" w:cs="Arial"/>
                <w:color w:val="000000"/>
                <w:sz w:val="20"/>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Arial" w:hAnsi="Arial" w:cs="Arial"/>
                <w:color w:val="000000"/>
                <w:sz w:val="20"/>
              </w:rPr>
            </w:pPr>
          </w:p>
        </w:tc>
        <w:tc>
          <w:tcPr>
            <w:tcW w:w="416"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Arial" w:hAnsi="Arial" w:cs="Arial"/>
                <w:color w:val="000000"/>
                <w:sz w:val="20"/>
              </w:rPr>
            </w:pPr>
          </w:p>
        </w:tc>
        <w:tc>
          <w:tcPr>
            <w:tcW w:w="800"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Arial" w:hAnsi="Arial" w:cs="Arial"/>
                <w:color w:val="000000"/>
                <w:sz w:val="20"/>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Arial" w:hAnsi="Arial" w:cs="Arial"/>
                <w:color w:val="000000"/>
                <w:sz w:val="2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宋体" w:hAnsi="宋体" w:cs="宋体"/>
                <w:color w:val="000000"/>
                <w:sz w:val="20"/>
              </w:rPr>
            </w:pPr>
          </w:p>
        </w:tc>
        <w:tc>
          <w:tcPr>
            <w:tcW w:w="2180" w:type="dxa"/>
            <w:vMerge w:val="continue"/>
            <w:tcBorders>
              <w:top w:val="single" w:color="auto" w:sz="4" w:space="0"/>
              <w:left w:val="single" w:color="auto" w:sz="4" w:space="0"/>
              <w:bottom w:val="single" w:color="auto" w:sz="4" w:space="0"/>
              <w:right w:val="single" w:color="auto" w:sz="4" w:space="0"/>
            </w:tcBorders>
            <w:vAlign w:val="center"/>
          </w:tcPr>
          <w:p>
            <w:pPr>
              <w:adjustRightInd/>
              <w:jc w:val="left"/>
              <w:textAlignment w:val="auto"/>
              <w:rPr>
                <w:rFonts w:ascii="宋体" w:hAnsi="宋体" w:cs="宋体"/>
                <w:color w:val="000000"/>
                <w:sz w:val="20"/>
              </w:rPr>
            </w:pPr>
          </w:p>
        </w:tc>
      </w:tr>
      <w:tr>
        <w:trPr>
          <w:trHeight w:val="450" w:hRule="atLeast"/>
        </w:trPr>
        <w:tc>
          <w:tcPr>
            <w:tcW w:w="1105" w:type="dxa"/>
            <w:tcBorders>
              <w:top w:val="nil"/>
              <w:left w:val="single" w:color="000000" w:sz="4" w:space="0"/>
              <w:bottom w:val="single" w:color="000000" w:sz="4" w:space="0"/>
              <w:right w:val="single" w:color="000000" w:sz="4" w:space="0"/>
            </w:tcBorders>
            <w:vAlign w:val="center"/>
          </w:tcPr>
          <w:p>
            <w:pPr>
              <w:adjustRightInd/>
              <w:jc w:val="left"/>
              <w:textAlignment w:val="auto"/>
              <w:rPr>
                <w:rFonts w:ascii="宋体" w:hAnsi="宋体" w:cs="宋体"/>
                <w:b/>
                <w:bCs/>
                <w:color w:val="000000"/>
                <w:sz w:val="18"/>
                <w:szCs w:val="18"/>
              </w:rPr>
            </w:pPr>
            <w:r>
              <w:rPr>
                <w:rFonts w:hint="eastAsia" w:ascii="宋体" w:hAnsi="宋体" w:cs="宋体"/>
                <w:b/>
                <w:bCs/>
                <w:color w:val="000000"/>
                <w:sz w:val="18"/>
                <w:szCs w:val="18"/>
              </w:rPr>
              <w:t>1600温岭市科学技术协会</w:t>
            </w:r>
          </w:p>
        </w:tc>
        <w:tc>
          <w:tcPr>
            <w:tcW w:w="3528" w:type="dxa"/>
            <w:tcBorders>
              <w:top w:val="nil"/>
              <w:left w:val="nil"/>
              <w:bottom w:val="single" w:color="auto" w:sz="4" w:space="0"/>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1080" w:type="dxa"/>
            <w:tcBorders>
              <w:top w:val="nil"/>
              <w:left w:val="nil"/>
              <w:bottom w:val="single" w:color="auto" w:sz="4" w:space="0"/>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558" w:type="dxa"/>
            <w:tcBorders>
              <w:top w:val="nil"/>
              <w:left w:val="nil"/>
              <w:bottom w:val="single" w:color="auto" w:sz="4" w:space="0"/>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531" w:type="dxa"/>
            <w:tcBorders>
              <w:top w:val="nil"/>
              <w:left w:val="nil"/>
              <w:bottom w:val="single" w:color="auto" w:sz="4" w:space="0"/>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508" w:type="dxa"/>
            <w:tcBorders>
              <w:top w:val="nil"/>
              <w:left w:val="nil"/>
              <w:bottom w:val="single" w:color="auto" w:sz="4" w:space="0"/>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948" w:type="dxa"/>
            <w:tcBorders>
              <w:top w:val="nil"/>
              <w:left w:val="nil"/>
              <w:bottom w:val="single" w:color="auto" w:sz="4" w:space="0"/>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416" w:type="dxa"/>
            <w:tcBorders>
              <w:top w:val="nil"/>
              <w:left w:val="nil"/>
              <w:bottom w:val="single" w:color="auto" w:sz="4" w:space="0"/>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416" w:type="dxa"/>
            <w:tcBorders>
              <w:top w:val="nil"/>
              <w:left w:val="nil"/>
              <w:bottom w:val="single" w:color="auto" w:sz="4" w:space="0"/>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416" w:type="dxa"/>
            <w:tcBorders>
              <w:top w:val="nil"/>
              <w:left w:val="nil"/>
              <w:bottom w:val="single" w:color="auto" w:sz="4" w:space="0"/>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800" w:type="dxa"/>
            <w:tcBorders>
              <w:top w:val="nil"/>
              <w:left w:val="nil"/>
              <w:bottom w:val="single" w:color="auto" w:sz="4" w:space="0"/>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760" w:type="dxa"/>
            <w:tcBorders>
              <w:top w:val="nil"/>
              <w:left w:val="nil"/>
              <w:bottom w:val="single" w:color="auto" w:sz="4" w:space="0"/>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1080" w:type="dxa"/>
            <w:tcBorders>
              <w:top w:val="nil"/>
              <w:left w:val="nil"/>
              <w:bottom w:val="single" w:color="auto" w:sz="4" w:space="0"/>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2180" w:type="dxa"/>
            <w:tcBorders>
              <w:top w:val="nil"/>
              <w:left w:val="nil"/>
              <w:bottom w:val="single" w:color="auto" w:sz="4" w:space="0"/>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r>
      <w:tr>
        <w:trPr>
          <w:trHeight w:val="450" w:hRule="atLeast"/>
        </w:trPr>
        <w:tc>
          <w:tcPr>
            <w:tcW w:w="1105" w:type="dxa"/>
            <w:tcBorders>
              <w:top w:val="nil"/>
              <w:left w:val="single" w:color="000000" w:sz="4" w:space="0"/>
              <w:bottom w:val="nil"/>
              <w:right w:val="single" w:color="000000" w:sz="4" w:space="0"/>
            </w:tcBorders>
            <w:vAlign w:val="center"/>
          </w:tcPr>
          <w:p>
            <w:pPr>
              <w:adjustRightInd/>
              <w:jc w:val="left"/>
              <w:textAlignment w:val="auto"/>
              <w:rPr>
                <w:rFonts w:ascii="宋体" w:hAnsi="宋体" w:cs="宋体"/>
                <w:b/>
                <w:bCs/>
                <w:color w:val="000000"/>
                <w:sz w:val="18"/>
                <w:szCs w:val="18"/>
              </w:rPr>
            </w:pPr>
            <w:r>
              <w:rPr>
                <w:rFonts w:hint="eastAsia" w:ascii="宋体" w:hAnsi="宋体" w:cs="宋体"/>
                <w:b/>
                <w:bCs/>
                <w:color w:val="000000"/>
                <w:sz w:val="18"/>
                <w:szCs w:val="18"/>
              </w:rPr>
              <w:t>160100温岭市科学技术协会(本级)</w:t>
            </w:r>
          </w:p>
        </w:tc>
        <w:tc>
          <w:tcPr>
            <w:tcW w:w="3528" w:type="dxa"/>
            <w:tcBorders>
              <w:top w:val="nil"/>
              <w:left w:val="nil"/>
              <w:bottom w:val="nil"/>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1080" w:type="dxa"/>
            <w:tcBorders>
              <w:top w:val="nil"/>
              <w:left w:val="nil"/>
              <w:bottom w:val="nil"/>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558" w:type="dxa"/>
            <w:tcBorders>
              <w:top w:val="nil"/>
              <w:left w:val="nil"/>
              <w:bottom w:val="nil"/>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531" w:type="dxa"/>
            <w:tcBorders>
              <w:top w:val="nil"/>
              <w:left w:val="nil"/>
              <w:bottom w:val="nil"/>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508" w:type="dxa"/>
            <w:tcBorders>
              <w:top w:val="nil"/>
              <w:left w:val="nil"/>
              <w:bottom w:val="nil"/>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948" w:type="dxa"/>
            <w:tcBorders>
              <w:top w:val="nil"/>
              <w:left w:val="nil"/>
              <w:bottom w:val="nil"/>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416" w:type="dxa"/>
            <w:tcBorders>
              <w:top w:val="nil"/>
              <w:left w:val="nil"/>
              <w:bottom w:val="nil"/>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416" w:type="dxa"/>
            <w:tcBorders>
              <w:top w:val="nil"/>
              <w:left w:val="nil"/>
              <w:bottom w:val="nil"/>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416" w:type="dxa"/>
            <w:tcBorders>
              <w:top w:val="nil"/>
              <w:left w:val="nil"/>
              <w:bottom w:val="nil"/>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800" w:type="dxa"/>
            <w:tcBorders>
              <w:top w:val="nil"/>
              <w:left w:val="nil"/>
              <w:bottom w:val="nil"/>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760" w:type="dxa"/>
            <w:tcBorders>
              <w:top w:val="nil"/>
              <w:left w:val="nil"/>
              <w:bottom w:val="nil"/>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1080" w:type="dxa"/>
            <w:tcBorders>
              <w:top w:val="nil"/>
              <w:left w:val="nil"/>
              <w:bottom w:val="nil"/>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c>
          <w:tcPr>
            <w:tcW w:w="2180" w:type="dxa"/>
            <w:tcBorders>
              <w:top w:val="nil"/>
              <w:left w:val="nil"/>
              <w:bottom w:val="nil"/>
              <w:right w:val="single" w:color="auto" w:sz="4" w:space="0"/>
            </w:tcBorders>
            <w:vAlign w:val="bottom"/>
          </w:tcPr>
          <w:p>
            <w:pPr>
              <w:adjustRightInd/>
              <w:jc w:val="left"/>
              <w:textAlignment w:val="auto"/>
              <w:rPr>
                <w:rFonts w:ascii="Arial" w:hAnsi="Arial" w:cs="Arial"/>
                <w:color w:val="000000"/>
                <w:sz w:val="20"/>
              </w:rPr>
            </w:pPr>
            <w:r>
              <w:rPr>
                <w:rFonts w:ascii="Arial" w:hAnsi="Arial" w:cs="Arial"/>
                <w:color w:val="000000"/>
                <w:sz w:val="20"/>
              </w:rPr>
              <w:t>　</w:t>
            </w:r>
          </w:p>
        </w:tc>
      </w:tr>
      <w:tr>
        <w:trPr>
          <w:trHeight w:val="1305" w:hRule="atLeast"/>
        </w:trPr>
        <w:tc>
          <w:tcPr>
            <w:tcW w:w="1105" w:type="dxa"/>
            <w:tcBorders>
              <w:top w:val="single" w:color="auto" w:sz="4" w:space="0"/>
              <w:left w:val="single" w:color="auto" w:sz="4" w:space="0"/>
              <w:bottom w:val="single" w:color="auto" w:sz="4" w:space="0"/>
              <w:right w:val="single" w:color="auto" w:sz="4" w:space="0"/>
            </w:tcBorders>
            <w:vAlign w:val="bottom"/>
          </w:tcPr>
          <w:p>
            <w:pPr>
              <w:adjustRightInd/>
              <w:ind w:firstLine="200" w:firstLineChars="100"/>
              <w:jc w:val="left"/>
              <w:textAlignment w:val="auto"/>
              <w:rPr>
                <w:rFonts w:ascii="Arial" w:hAnsi="Arial" w:cs="Arial"/>
                <w:color w:val="000000"/>
                <w:sz w:val="20"/>
              </w:rPr>
            </w:pPr>
            <w:r>
              <w:rPr>
                <w:rFonts w:ascii="Arial" w:hAnsi="Arial" w:cs="Arial"/>
                <w:color w:val="000000"/>
                <w:sz w:val="20"/>
              </w:rPr>
              <w:t>　</w:t>
            </w:r>
          </w:p>
        </w:tc>
        <w:tc>
          <w:tcPr>
            <w:tcW w:w="3528" w:type="dxa"/>
            <w:tcBorders>
              <w:top w:val="single" w:color="auto" w:sz="4" w:space="0"/>
              <w:left w:val="nil"/>
              <w:bottom w:val="single" w:color="auto" w:sz="4" w:space="0"/>
              <w:right w:val="single" w:color="auto" w:sz="4" w:space="0"/>
            </w:tcBorders>
            <w:vAlign w:val="center"/>
          </w:tcPr>
          <w:p>
            <w:pPr>
              <w:adjustRightInd/>
              <w:jc w:val="left"/>
              <w:textAlignment w:val="auto"/>
              <w:rPr>
                <w:rFonts w:ascii="Arial" w:hAnsi="Arial" w:cs="Arial"/>
                <w:color w:val="000000"/>
                <w:sz w:val="20"/>
              </w:rPr>
            </w:pPr>
            <w:r>
              <w:rPr>
                <w:rFonts w:ascii="Arial" w:hAnsi="Arial" w:cs="Arial"/>
                <w:color w:val="000000"/>
                <w:sz w:val="20"/>
              </w:rPr>
              <w:t>科技服务活动经费</w:t>
            </w:r>
          </w:p>
        </w:tc>
        <w:tc>
          <w:tcPr>
            <w:tcW w:w="1080" w:type="dxa"/>
            <w:tcBorders>
              <w:top w:val="single" w:color="auto" w:sz="4" w:space="0"/>
              <w:left w:val="nil"/>
              <w:bottom w:val="single" w:color="auto" w:sz="4" w:space="0"/>
              <w:right w:val="single" w:color="auto" w:sz="4" w:space="0"/>
            </w:tcBorders>
            <w:vAlign w:val="center"/>
          </w:tcPr>
          <w:p>
            <w:pPr>
              <w:adjustRightInd/>
              <w:jc w:val="right"/>
              <w:textAlignment w:val="auto"/>
              <w:rPr>
                <w:rFonts w:ascii="Arial" w:hAnsi="Arial" w:cs="Arial"/>
                <w:color w:val="000000"/>
                <w:sz w:val="20"/>
              </w:rPr>
            </w:pPr>
            <w:r>
              <w:rPr>
                <w:rFonts w:ascii="Arial" w:hAnsi="Arial" w:cs="Arial"/>
                <w:color w:val="000000"/>
                <w:sz w:val="20"/>
              </w:rPr>
              <w:t>240697.5</w:t>
            </w:r>
          </w:p>
        </w:tc>
        <w:tc>
          <w:tcPr>
            <w:tcW w:w="558" w:type="dxa"/>
            <w:tcBorders>
              <w:top w:val="single" w:color="auto" w:sz="4" w:space="0"/>
              <w:left w:val="nil"/>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　</w:t>
            </w:r>
          </w:p>
        </w:tc>
        <w:tc>
          <w:tcPr>
            <w:tcW w:w="531" w:type="dxa"/>
            <w:tcBorders>
              <w:top w:val="single" w:color="auto" w:sz="4" w:space="0"/>
              <w:left w:val="nil"/>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　</w:t>
            </w:r>
          </w:p>
        </w:tc>
        <w:tc>
          <w:tcPr>
            <w:tcW w:w="508" w:type="dxa"/>
            <w:tcBorders>
              <w:top w:val="single" w:color="auto" w:sz="4" w:space="0"/>
              <w:left w:val="nil"/>
              <w:bottom w:val="single" w:color="auto" w:sz="4" w:space="0"/>
              <w:right w:val="single" w:color="auto" w:sz="4" w:space="0"/>
            </w:tcBorders>
            <w:vAlign w:val="center"/>
          </w:tcPr>
          <w:p>
            <w:pPr>
              <w:adjustRightInd/>
              <w:jc w:val="center"/>
              <w:textAlignment w:val="auto"/>
              <w:rPr>
                <w:rFonts w:ascii="Arial" w:hAnsi="Arial" w:cs="Arial"/>
                <w:color w:val="000000"/>
                <w:sz w:val="20"/>
              </w:rPr>
            </w:pPr>
            <w:r>
              <w:rPr>
                <w:rFonts w:ascii="Arial" w:hAnsi="Arial" w:cs="Arial"/>
                <w:color w:val="000000"/>
                <w:sz w:val="20"/>
              </w:rPr>
              <w:t>　</w:t>
            </w:r>
          </w:p>
        </w:tc>
        <w:tc>
          <w:tcPr>
            <w:tcW w:w="948" w:type="dxa"/>
            <w:tcBorders>
              <w:top w:val="single" w:color="auto" w:sz="4" w:space="0"/>
              <w:left w:val="nil"/>
              <w:bottom w:val="single" w:color="auto" w:sz="4" w:space="0"/>
              <w:right w:val="single" w:color="auto" w:sz="4" w:space="0"/>
            </w:tcBorders>
            <w:vAlign w:val="center"/>
          </w:tcPr>
          <w:p>
            <w:pPr>
              <w:adjustRightInd/>
              <w:jc w:val="right"/>
              <w:textAlignment w:val="auto"/>
              <w:rPr>
                <w:rFonts w:ascii="Arial" w:hAnsi="Arial" w:cs="Arial"/>
                <w:color w:val="000000"/>
                <w:sz w:val="20"/>
              </w:rPr>
            </w:pPr>
            <w:r>
              <w:rPr>
                <w:rFonts w:ascii="Arial" w:hAnsi="Arial" w:cs="Arial"/>
                <w:color w:val="000000"/>
                <w:sz w:val="20"/>
              </w:rPr>
              <w:t>9302.5</w:t>
            </w:r>
          </w:p>
        </w:tc>
        <w:tc>
          <w:tcPr>
            <w:tcW w:w="416" w:type="dxa"/>
            <w:tcBorders>
              <w:top w:val="single" w:color="auto" w:sz="4" w:space="0"/>
              <w:left w:val="nil"/>
              <w:bottom w:val="single" w:color="auto" w:sz="4" w:space="0"/>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416" w:type="dxa"/>
            <w:tcBorders>
              <w:top w:val="single" w:color="auto" w:sz="4" w:space="0"/>
              <w:left w:val="nil"/>
              <w:bottom w:val="single" w:color="auto" w:sz="4" w:space="0"/>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416" w:type="dxa"/>
            <w:tcBorders>
              <w:top w:val="single" w:color="auto" w:sz="4" w:space="0"/>
              <w:left w:val="nil"/>
              <w:bottom w:val="single" w:color="auto" w:sz="4" w:space="0"/>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800" w:type="dxa"/>
            <w:tcBorders>
              <w:top w:val="single" w:color="auto" w:sz="4" w:space="0"/>
              <w:left w:val="nil"/>
              <w:bottom w:val="single" w:color="auto" w:sz="4" w:space="0"/>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760" w:type="dxa"/>
            <w:tcBorders>
              <w:top w:val="single" w:color="auto" w:sz="4" w:space="0"/>
              <w:left w:val="nil"/>
              <w:bottom w:val="single" w:color="auto" w:sz="4" w:space="0"/>
              <w:right w:val="single" w:color="auto" w:sz="4" w:space="0"/>
            </w:tcBorders>
            <w:vAlign w:val="center"/>
          </w:tcPr>
          <w:p>
            <w:pPr>
              <w:adjustRightInd/>
              <w:textAlignment w:val="auto"/>
              <w:rPr>
                <w:rFonts w:ascii="Arial" w:hAnsi="Arial" w:cs="Arial"/>
                <w:color w:val="000000"/>
                <w:sz w:val="20"/>
              </w:rPr>
            </w:pPr>
            <w:r>
              <w:rPr>
                <w:rFonts w:ascii="Arial" w:hAnsi="Arial" w:cs="Arial"/>
                <w:color w:val="000000"/>
                <w:sz w:val="20"/>
              </w:rPr>
              <w:t>　</w:t>
            </w:r>
          </w:p>
        </w:tc>
        <w:tc>
          <w:tcPr>
            <w:tcW w:w="1080" w:type="dxa"/>
            <w:tcBorders>
              <w:top w:val="single" w:color="auto" w:sz="4" w:space="0"/>
              <w:left w:val="nil"/>
              <w:bottom w:val="single" w:color="auto" w:sz="4" w:space="0"/>
              <w:right w:val="single" w:color="auto" w:sz="4" w:space="0"/>
            </w:tcBorders>
            <w:vAlign w:val="bottom"/>
          </w:tcPr>
          <w:p>
            <w:pPr>
              <w:adjustRightInd/>
              <w:jc w:val="right"/>
              <w:textAlignment w:val="auto"/>
              <w:rPr>
                <w:rFonts w:ascii="Arial" w:hAnsi="Arial" w:cs="Arial"/>
                <w:color w:val="000000"/>
                <w:sz w:val="20"/>
              </w:rPr>
            </w:pPr>
            <w:r>
              <w:rPr>
                <w:rFonts w:ascii="Arial" w:hAnsi="Arial" w:cs="Arial"/>
                <w:color w:val="000000"/>
                <w:sz w:val="20"/>
              </w:rPr>
              <w:t>250000</w:t>
            </w:r>
          </w:p>
        </w:tc>
        <w:tc>
          <w:tcPr>
            <w:tcW w:w="2180" w:type="dxa"/>
            <w:tcBorders>
              <w:top w:val="single" w:color="auto" w:sz="4" w:space="0"/>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温岭籍在北京、上海、南京、杭州、宁波联谊会的活动经费，安排15万；其余经费用于联系院士专家，引进新技术，产生的费用，争取每年建台州市院士工作站1-2个。省级1个以上，为企业解决技术难题1-2个。</w:t>
            </w:r>
          </w:p>
        </w:tc>
      </w:tr>
      <w:tr>
        <w:trPr>
          <w:trHeight w:val="7215" w:hRule="atLeast"/>
        </w:trPr>
        <w:tc>
          <w:tcPr>
            <w:tcW w:w="1105" w:type="dxa"/>
            <w:tcBorders>
              <w:top w:val="nil"/>
              <w:left w:val="single" w:color="auto" w:sz="4" w:space="0"/>
              <w:bottom w:val="single" w:color="auto" w:sz="4" w:space="0"/>
              <w:right w:val="single" w:color="auto" w:sz="4" w:space="0"/>
            </w:tcBorders>
            <w:vAlign w:val="center"/>
          </w:tcPr>
          <w:p>
            <w:pPr>
              <w:adjustRightInd/>
              <w:jc w:val="right"/>
              <w:textAlignment w:val="auto"/>
              <w:rPr>
                <w:rFonts w:ascii="仿宋_GB2312" w:hAnsi="宋体" w:eastAsia="仿宋_GB2312" w:cs="宋体"/>
                <w:color w:val="000000"/>
                <w:sz w:val="20"/>
              </w:rPr>
            </w:pPr>
            <w:r>
              <w:rPr>
                <w:rFonts w:hint="eastAsia" w:ascii="仿宋_GB2312" w:hAnsi="宋体" w:eastAsia="仿宋_GB2312" w:cs="宋体"/>
                <w:color w:val="000000"/>
                <w:sz w:val="20"/>
              </w:rPr>
              <w:t>　</w:t>
            </w:r>
          </w:p>
        </w:tc>
        <w:tc>
          <w:tcPr>
            <w:tcW w:w="352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0"/>
              </w:rPr>
            </w:pPr>
            <w:r>
              <w:rPr>
                <w:rFonts w:hint="eastAsia" w:ascii="宋体" w:hAnsi="宋体" w:cs="宋体"/>
                <w:color w:val="000000"/>
                <w:sz w:val="20"/>
              </w:rPr>
              <w:t>科普专项</w:t>
            </w:r>
          </w:p>
        </w:tc>
        <w:tc>
          <w:tcPr>
            <w:tcW w:w="1080"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color w:val="000000"/>
                <w:sz w:val="22"/>
                <w:szCs w:val="22"/>
              </w:rPr>
            </w:pPr>
            <w:r>
              <w:rPr>
                <w:rFonts w:hint="eastAsia" w:ascii="宋体" w:hAnsi="宋体" w:cs="宋体"/>
                <w:color w:val="000000"/>
                <w:sz w:val="22"/>
                <w:szCs w:val="22"/>
              </w:rPr>
              <w:t>1231907</w:t>
            </w:r>
          </w:p>
        </w:tc>
        <w:tc>
          <w:tcPr>
            <w:tcW w:w="558"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22"/>
                <w:szCs w:val="22"/>
              </w:rPr>
            </w:pPr>
            <w:r>
              <w:rPr>
                <w:rFonts w:hint="eastAsia" w:ascii="宋体" w:hAnsi="宋体" w:cs="宋体"/>
                <w:color w:val="000000"/>
                <w:sz w:val="22"/>
                <w:szCs w:val="22"/>
              </w:rPr>
              <w:t>　</w:t>
            </w:r>
          </w:p>
        </w:tc>
        <w:tc>
          <w:tcPr>
            <w:tcW w:w="53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22"/>
                <w:szCs w:val="22"/>
              </w:rPr>
            </w:pPr>
            <w:r>
              <w:rPr>
                <w:rFonts w:hint="eastAsia" w:ascii="宋体" w:hAnsi="宋体" w:cs="宋体"/>
                <w:color w:val="000000"/>
                <w:sz w:val="22"/>
                <w:szCs w:val="22"/>
              </w:rPr>
              <w:t>　</w:t>
            </w:r>
          </w:p>
        </w:tc>
        <w:tc>
          <w:tcPr>
            <w:tcW w:w="508"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color w:val="000000"/>
                <w:sz w:val="22"/>
                <w:szCs w:val="22"/>
              </w:rPr>
            </w:pPr>
            <w:r>
              <w:rPr>
                <w:rFonts w:hint="eastAsia" w:ascii="宋体" w:hAnsi="宋体" w:cs="宋体"/>
                <w:color w:val="000000"/>
                <w:sz w:val="22"/>
                <w:szCs w:val="22"/>
              </w:rPr>
              <w:t>　</w:t>
            </w:r>
          </w:p>
        </w:tc>
        <w:tc>
          <w:tcPr>
            <w:tcW w:w="948"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color w:val="000000"/>
                <w:sz w:val="22"/>
                <w:szCs w:val="22"/>
              </w:rPr>
            </w:pPr>
            <w:r>
              <w:rPr>
                <w:rFonts w:hint="eastAsia" w:ascii="宋体" w:hAnsi="宋体" w:cs="宋体"/>
                <w:color w:val="000000"/>
                <w:sz w:val="22"/>
                <w:szCs w:val="22"/>
              </w:rPr>
              <w:t>18093</w:t>
            </w:r>
          </w:p>
        </w:tc>
        <w:tc>
          <w:tcPr>
            <w:tcW w:w="416"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416"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416"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80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76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color w:val="000000"/>
                <w:sz w:val="22"/>
                <w:szCs w:val="22"/>
              </w:rPr>
            </w:pPr>
            <w:r>
              <w:rPr>
                <w:rFonts w:hint="eastAsia" w:ascii="宋体" w:hAnsi="宋体" w:cs="宋体"/>
                <w:color w:val="000000"/>
                <w:sz w:val="22"/>
                <w:szCs w:val="22"/>
              </w:rPr>
              <w:t>1250000</w:t>
            </w:r>
          </w:p>
        </w:tc>
        <w:tc>
          <w:tcPr>
            <w:tcW w:w="218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提升公民科学素质服务。</w:t>
            </w:r>
            <w:r>
              <w:rPr>
                <w:rFonts w:hint="eastAsia" w:ascii="宋体" w:hAnsi="宋体" w:cs="宋体"/>
                <w:sz w:val="18"/>
                <w:szCs w:val="18"/>
              </w:rPr>
              <w:br/>
            </w:r>
            <w:r>
              <w:rPr>
                <w:rFonts w:hint="eastAsia" w:ascii="宋体" w:hAnsi="宋体" w:cs="宋体"/>
                <w:sz w:val="18"/>
                <w:szCs w:val="18"/>
              </w:rPr>
              <w:t>1、9月份，与相关部门一起切实开展全国科普日活动，推动全民科普活动。</w:t>
            </w:r>
            <w:r>
              <w:rPr>
                <w:rFonts w:hint="eastAsia" w:ascii="宋体" w:hAnsi="宋体" w:cs="宋体"/>
                <w:sz w:val="18"/>
                <w:szCs w:val="18"/>
              </w:rPr>
              <w:br/>
            </w:r>
            <w:r>
              <w:rPr>
                <w:rFonts w:hint="eastAsia" w:ascii="宋体" w:hAnsi="宋体" w:cs="宋体"/>
                <w:sz w:val="18"/>
                <w:szCs w:val="18"/>
              </w:rPr>
              <w:t>2、利用现代传媒手段，加快智慧科普公共wifi推送系统和温岭市数字科技馆建设，主动向智能手机用户推送科普知识。进一步利用微信、农民信箱、“科普网络书屋”等作用，普及科学知识。</w:t>
            </w:r>
            <w:r>
              <w:rPr>
                <w:rFonts w:hint="eastAsia" w:ascii="宋体" w:hAnsi="宋体" w:cs="宋体"/>
                <w:sz w:val="18"/>
                <w:szCs w:val="18"/>
              </w:rPr>
              <w:br/>
            </w:r>
            <w:r>
              <w:rPr>
                <w:rFonts w:hint="eastAsia" w:ascii="宋体" w:hAnsi="宋体" w:cs="宋体"/>
                <w:sz w:val="18"/>
                <w:szCs w:val="18"/>
              </w:rPr>
              <w:t>3、承办好温岭市青少年科技创新大赛、青少年科学嘉年华等大型科技竞赛，培育青少年科技创新意识。</w:t>
            </w:r>
            <w:r>
              <w:rPr>
                <w:rFonts w:hint="eastAsia" w:ascii="宋体" w:hAnsi="宋体" w:cs="宋体"/>
                <w:sz w:val="18"/>
                <w:szCs w:val="18"/>
              </w:rPr>
              <w:br/>
            </w:r>
            <w:r>
              <w:rPr>
                <w:rFonts w:hint="eastAsia" w:ascii="宋体" w:hAnsi="宋体" w:cs="宋体"/>
                <w:sz w:val="18"/>
                <w:szCs w:val="18"/>
              </w:rPr>
              <w:t>4、继续做好中科院老科学家科普演讲团演讲安排工作。加大对市科普讲师团扶持力度，继续下基层巡回演讲；抓好农村科普宣传员队伍，进一步发挥农函大的作用，提高教学培训质量。提升农民科学素质。</w:t>
            </w:r>
            <w:r>
              <w:rPr>
                <w:rFonts w:hint="eastAsia" w:ascii="宋体" w:hAnsi="宋体" w:cs="宋体"/>
                <w:sz w:val="18"/>
                <w:szCs w:val="18"/>
              </w:rPr>
              <w:br/>
            </w:r>
            <w:r>
              <w:rPr>
                <w:rFonts w:hint="eastAsia" w:ascii="宋体" w:hAnsi="宋体" w:cs="宋体"/>
                <w:sz w:val="18"/>
                <w:szCs w:val="18"/>
              </w:rPr>
              <w:t>5、继续加强科普基础设施建设，与团市委一起完成市青少年科普活动中心建设并投入正常使用。利用科普惠农、社区益民计划等政策，挖掘有条件的企业、社区、学校等建设科普教育基地，启动市科技馆建设前期工作，更好服务民众。</w:t>
            </w:r>
            <w:r>
              <w:rPr>
                <w:rFonts w:hint="eastAsia" w:ascii="宋体" w:hAnsi="宋体" w:cs="宋体"/>
                <w:sz w:val="18"/>
                <w:szCs w:val="18"/>
              </w:rPr>
              <w:br/>
            </w:r>
            <w:r>
              <w:rPr>
                <w:rFonts w:hint="eastAsia" w:ascii="宋体" w:hAnsi="宋体" w:cs="宋体"/>
                <w:sz w:val="18"/>
                <w:szCs w:val="18"/>
              </w:rPr>
              <w:t>6、按照省纲要办部署，做好公民科学素质抽样调整工作。</w:t>
            </w:r>
            <w:r>
              <w:rPr>
                <w:rFonts w:hint="eastAsia" w:ascii="宋体" w:hAnsi="宋体" w:cs="宋体"/>
                <w:sz w:val="18"/>
                <w:szCs w:val="18"/>
              </w:rPr>
              <w:br/>
            </w:r>
            <w:r>
              <w:rPr>
                <w:rFonts w:hint="eastAsia" w:ascii="宋体" w:hAnsi="宋体" w:cs="宋体"/>
                <w:sz w:val="18"/>
                <w:szCs w:val="18"/>
              </w:rPr>
              <w:t>为科技工作者服务。</w:t>
            </w:r>
            <w:r>
              <w:rPr>
                <w:rFonts w:hint="eastAsia" w:ascii="宋体" w:hAnsi="宋体" w:cs="宋体"/>
                <w:sz w:val="18"/>
                <w:szCs w:val="18"/>
              </w:rPr>
              <w:br/>
            </w:r>
            <w:r>
              <w:rPr>
                <w:rFonts w:hint="eastAsia" w:ascii="宋体" w:hAnsi="宋体" w:cs="宋体"/>
                <w:sz w:val="18"/>
                <w:szCs w:val="18"/>
              </w:rPr>
              <w:t>1、根据台州市相关文件要求，结合温岭实际，巩固科协系统改革成果，开展中国科协成立60周年庆祝活动。</w:t>
            </w:r>
            <w:r>
              <w:rPr>
                <w:rFonts w:hint="eastAsia" w:ascii="宋体" w:hAnsi="宋体" w:cs="宋体"/>
                <w:sz w:val="18"/>
                <w:szCs w:val="18"/>
              </w:rPr>
              <w:br/>
            </w:r>
            <w:r>
              <w:rPr>
                <w:rFonts w:hint="eastAsia" w:ascii="宋体" w:hAnsi="宋体" w:cs="宋体"/>
                <w:sz w:val="18"/>
                <w:szCs w:val="18"/>
              </w:rPr>
              <w:t>2、进一步加强科技人员优秀事迹宣传，激励创新热情和创业干劲。努力开展专家建言工作，切实发动科技工作者为党和政府科学决策服务。营造全社会尊重人才、尊重创造的环境，提升科技工作者在社会的影响力。</w:t>
            </w:r>
            <w:r>
              <w:rPr>
                <w:rFonts w:hint="eastAsia" w:ascii="宋体" w:hAnsi="宋体" w:cs="宋体"/>
                <w:sz w:val="18"/>
                <w:szCs w:val="18"/>
              </w:rPr>
              <w:br/>
            </w:r>
            <w:r>
              <w:rPr>
                <w:rFonts w:hint="eastAsia" w:ascii="宋体" w:hAnsi="宋体" w:cs="宋体"/>
                <w:sz w:val="18"/>
                <w:szCs w:val="18"/>
              </w:rPr>
              <w:t>3、进一步夯实基层基础，完善基层科协组织和科普志愿者组织。加强企业科协园区科协和园区科协联盟建设，努力使企业科协成为企业科技工作者之家。积极探索网上科协建设，建家联谊，不断提升服务科技工作者水平。</w:t>
            </w:r>
          </w:p>
        </w:tc>
      </w:tr>
      <w:tr>
        <w:trPr>
          <w:trHeight w:val="2715" w:hRule="atLeast"/>
        </w:trPr>
        <w:tc>
          <w:tcPr>
            <w:tcW w:w="1105" w:type="dxa"/>
            <w:tcBorders>
              <w:top w:val="nil"/>
              <w:left w:val="single" w:color="auto" w:sz="4" w:space="0"/>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352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20"/>
              </w:rPr>
            </w:pPr>
            <w:r>
              <w:rPr>
                <w:rFonts w:hint="eastAsia" w:ascii="宋体" w:hAnsi="宋体" w:cs="宋体"/>
                <w:sz w:val="20"/>
              </w:rPr>
              <w:t>学术交流</w:t>
            </w:r>
          </w:p>
        </w:tc>
        <w:tc>
          <w:tcPr>
            <w:tcW w:w="1080"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24"/>
                <w:szCs w:val="24"/>
              </w:rPr>
            </w:pPr>
            <w:r>
              <w:rPr>
                <w:rFonts w:hint="eastAsia" w:ascii="宋体" w:hAnsi="宋体" w:cs="宋体"/>
                <w:sz w:val="24"/>
                <w:szCs w:val="24"/>
              </w:rPr>
              <w:t>265465</w:t>
            </w:r>
          </w:p>
        </w:tc>
        <w:tc>
          <w:tcPr>
            <w:tcW w:w="558"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sz w:val="24"/>
                <w:szCs w:val="24"/>
              </w:rPr>
            </w:pPr>
            <w:r>
              <w:rPr>
                <w:rFonts w:hint="eastAsia" w:ascii="宋体" w:hAnsi="宋体" w:cs="宋体"/>
                <w:sz w:val="24"/>
                <w:szCs w:val="24"/>
              </w:rPr>
              <w:t>　</w:t>
            </w:r>
          </w:p>
        </w:tc>
        <w:tc>
          <w:tcPr>
            <w:tcW w:w="531"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sz w:val="24"/>
                <w:szCs w:val="24"/>
              </w:rPr>
            </w:pPr>
            <w:r>
              <w:rPr>
                <w:rFonts w:hint="eastAsia" w:ascii="宋体" w:hAnsi="宋体" w:cs="宋体"/>
                <w:sz w:val="24"/>
                <w:szCs w:val="24"/>
              </w:rPr>
              <w:t>　</w:t>
            </w:r>
          </w:p>
        </w:tc>
        <w:tc>
          <w:tcPr>
            <w:tcW w:w="508" w:type="dxa"/>
            <w:tcBorders>
              <w:top w:val="nil"/>
              <w:left w:val="nil"/>
              <w:bottom w:val="single" w:color="auto" w:sz="4" w:space="0"/>
              <w:right w:val="single" w:color="auto" w:sz="4" w:space="0"/>
            </w:tcBorders>
            <w:vAlign w:val="center"/>
          </w:tcPr>
          <w:p>
            <w:pPr>
              <w:adjustRightInd/>
              <w:jc w:val="center"/>
              <w:textAlignment w:val="auto"/>
              <w:rPr>
                <w:rFonts w:ascii="宋体" w:hAnsi="宋体" w:cs="宋体"/>
                <w:sz w:val="24"/>
                <w:szCs w:val="24"/>
              </w:rPr>
            </w:pPr>
            <w:r>
              <w:rPr>
                <w:rFonts w:hint="eastAsia" w:ascii="宋体" w:hAnsi="宋体" w:cs="宋体"/>
                <w:sz w:val="24"/>
                <w:szCs w:val="24"/>
              </w:rPr>
              <w:t>　</w:t>
            </w:r>
          </w:p>
        </w:tc>
        <w:tc>
          <w:tcPr>
            <w:tcW w:w="948"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24"/>
                <w:szCs w:val="24"/>
              </w:rPr>
            </w:pPr>
            <w:r>
              <w:rPr>
                <w:rFonts w:hint="eastAsia" w:ascii="宋体" w:hAnsi="宋体" w:cs="宋体"/>
                <w:sz w:val="24"/>
                <w:szCs w:val="24"/>
              </w:rPr>
              <w:t>4535</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800"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760"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1080" w:type="dxa"/>
            <w:tcBorders>
              <w:top w:val="nil"/>
              <w:left w:val="nil"/>
              <w:bottom w:val="single" w:color="auto" w:sz="4" w:space="0"/>
              <w:right w:val="single" w:color="auto" w:sz="4" w:space="0"/>
            </w:tcBorders>
            <w:vAlign w:val="bottom"/>
          </w:tcPr>
          <w:p>
            <w:pPr>
              <w:adjustRightInd/>
              <w:jc w:val="right"/>
              <w:textAlignment w:val="auto"/>
              <w:rPr>
                <w:rFonts w:ascii="宋体" w:hAnsi="宋体" w:cs="宋体"/>
                <w:sz w:val="24"/>
                <w:szCs w:val="24"/>
              </w:rPr>
            </w:pPr>
            <w:r>
              <w:rPr>
                <w:rFonts w:hint="eastAsia" w:ascii="宋体" w:hAnsi="宋体" w:cs="宋体"/>
                <w:sz w:val="24"/>
                <w:szCs w:val="24"/>
              </w:rPr>
              <w:t>270000</w:t>
            </w:r>
          </w:p>
        </w:tc>
        <w:tc>
          <w:tcPr>
            <w:tcW w:w="218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学术交流项目在实施过程中，根据学会自己申报有计划地进行。首先由市级学会以及企业科协组织提出学术交流内容，要求具备实施项目的能力，以专家为主导，其中领衔专家原则上应具有高级职称，有自筹经费（含社会资助等）和配套经费。其次要核实学术交流的内容、规模、人员来源和经费安排。再次要界定经费开支范围，如组织学术活动所需的宣传展览费、策划设计费、场租费，以及活动结束后对相关资料进行汇编的出版印刷费，图书资料费等。</w:t>
            </w:r>
            <w:r>
              <w:rPr>
                <w:rFonts w:hint="eastAsia" w:ascii="宋体" w:hAnsi="宋体" w:cs="宋体"/>
                <w:sz w:val="18"/>
                <w:szCs w:val="18"/>
              </w:rPr>
              <w:br/>
            </w:r>
            <w:r>
              <w:rPr>
                <w:rFonts w:hint="eastAsia" w:ascii="宋体" w:hAnsi="宋体" w:cs="宋体"/>
                <w:sz w:val="18"/>
                <w:szCs w:val="18"/>
              </w:rPr>
              <w:t>筹建学会工作站,架科技与需求的桥梁,帮助企业技术革新,推动经济的发展。学会工作站建站补助，用于学会工作站的发展。</w:t>
            </w:r>
          </w:p>
        </w:tc>
      </w:tr>
      <w:tr>
        <w:trPr>
          <w:trHeight w:val="1545" w:hRule="atLeast"/>
        </w:trPr>
        <w:tc>
          <w:tcPr>
            <w:tcW w:w="1105" w:type="dxa"/>
            <w:tcBorders>
              <w:top w:val="nil"/>
              <w:left w:val="single" w:color="auto" w:sz="4" w:space="0"/>
              <w:bottom w:val="single" w:color="auto" w:sz="4" w:space="0"/>
              <w:right w:val="single" w:color="auto" w:sz="4" w:space="0"/>
            </w:tcBorders>
            <w:vAlign w:val="center"/>
          </w:tcPr>
          <w:p>
            <w:pPr>
              <w:adjustRightInd/>
              <w:ind w:firstLine="200" w:firstLineChars="100"/>
              <w:jc w:val="left"/>
              <w:textAlignment w:val="auto"/>
              <w:rPr>
                <w:rFonts w:ascii="仿宋_GB2312" w:hAnsi="宋体" w:eastAsia="仿宋_GB2312" w:cs="宋体"/>
                <w:color w:val="000000"/>
                <w:sz w:val="20"/>
              </w:rPr>
            </w:pPr>
          </w:p>
        </w:tc>
        <w:tc>
          <w:tcPr>
            <w:tcW w:w="352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0"/>
              </w:rPr>
            </w:pPr>
            <w:r>
              <w:rPr>
                <w:rFonts w:hint="eastAsia" w:ascii="宋体" w:hAnsi="宋体" w:cs="宋体"/>
                <w:color w:val="000000"/>
                <w:sz w:val="20"/>
              </w:rPr>
              <w:t>金桥工程项目经费</w:t>
            </w:r>
          </w:p>
        </w:tc>
        <w:tc>
          <w:tcPr>
            <w:tcW w:w="1080"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color w:val="000000"/>
                <w:sz w:val="22"/>
                <w:szCs w:val="22"/>
              </w:rPr>
            </w:pPr>
            <w:r>
              <w:rPr>
                <w:rFonts w:hint="eastAsia" w:ascii="宋体" w:hAnsi="宋体" w:cs="宋体"/>
                <w:color w:val="000000"/>
                <w:sz w:val="22"/>
                <w:szCs w:val="22"/>
              </w:rPr>
              <w:t>480000</w:t>
            </w:r>
          </w:p>
        </w:tc>
        <w:tc>
          <w:tcPr>
            <w:tcW w:w="55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53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50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94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416"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416"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416"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80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76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color w:val="000000"/>
                <w:sz w:val="22"/>
                <w:szCs w:val="22"/>
              </w:rPr>
            </w:pPr>
            <w:r>
              <w:rPr>
                <w:rFonts w:hint="eastAsia" w:ascii="宋体" w:hAnsi="宋体" w:cs="宋体"/>
                <w:color w:val="000000"/>
                <w:sz w:val="22"/>
                <w:szCs w:val="22"/>
              </w:rPr>
              <w:t>480000</w:t>
            </w:r>
          </w:p>
        </w:tc>
        <w:tc>
          <w:tcPr>
            <w:tcW w:w="218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创新型项目10个以上，给予经费补助。</w:t>
            </w:r>
            <w:r>
              <w:rPr>
                <w:rFonts w:hint="eastAsia" w:ascii="宋体" w:hAnsi="宋体" w:cs="宋体"/>
                <w:sz w:val="18"/>
                <w:szCs w:val="18"/>
              </w:rPr>
              <w:br/>
            </w:r>
            <w:r>
              <w:rPr>
                <w:rFonts w:hint="eastAsia" w:ascii="宋体" w:hAnsi="宋体" w:cs="宋体"/>
                <w:sz w:val="18"/>
                <w:szCs w:val="18"/>
              </w:rPr>
              <w:t>服务型项目是指引进省级学会与温岭本地的企业或是学会组成学会服务站，给予学会服务站经费补助。</w:t>
            </w:r>
          </w:p>
        </w:tc>
      </w:tr>
      <w:tr>
        <w:trPr>
          <w:trHeight w:val="645" w:hRule="atLeast"/>
        </w:trPr>
        <w:tc>
          <w:tcPr>
            <w:tcW w:w="1105" w:type="dxa"/>
            <w:tcBorders>
              <w:top w:val="nil"/>
              <w:left w:val="single" w:color="auto" w:sz="4" w:space="0"/>
              <w:bottom w:val="single" w:color="auto" w:sz="4" w:space="0"/>
              <w:right w:val="single" w:color="auto" w:sz="4" w:space="0"/>
            </w:tcBorders>
            <w:vAlign w:val="center"/>
          </w:tcPr>
          <w:p>
            <w:pPr>
              <w:adjustRightInd/>
              <w:jc w:val="left"/>
              <w:textAlignment w:val="auto"/>
              <w:rPr>
                <w:rFonts w:ascii="仿宋_GB2312" w:hAnsi="宋体" w:eastAsia="仿宋_GB2312" w:cs="宋体"/>
                <w:color w:val="000000"/>
                <w:szCs w:val="21"/>
              </w:rPr>
            </w:pPr>
            <w:r>
              <w:rPr>
                <w:rFonts w:hint="eastAsia" w:ascii="仿宋_GB2312" w:hAnsi="宋体" w:eastAsia="仿宋_GB2312" w:cs="宋体"/>
                <w:color w:val="000000"/>
                <w:szCs w:val="21"/>
              </w:rPr>
              <w:t xml:space="preserve"> </w:t>
            </w:r>
          </w:p>
        </w:tc>
        <w:tc>
          <w:tcPr>
            <w:tcW w:w="352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0"/>
              </w:rPr>
            </w:pPr>
            <w:r>
              <w:rPr>
                <w:rFonts w:hint="eastAsia" w:ascii="宋体" w:hAnsi="宋体" w:cs="宋体"/>
                <w:color w:val="000000"/>
                <w:sz w:val="20"/>
              </w:rPr>
              <w:t>人才发展专项-技术研讨和创新活动补助</w:t>
            </w:r>
          </w:p>
        </w:tc>
        <w:tc>
          <w:tcPr>
            <w:tcW w:w="1080"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color w:val="000000"/>
                <w:sz w:val="22"/>
                <w:szCs w:val="22"/>
              </w:rPr>
            </w:pPr>
            <w:r>
              <w:rPr>
                <w:rFonts w:hint="eastAsia" w:ascii="宋体" w:hAnsi="宋体" w:cs="宋体"/>
                <w:color w:val="000000"/>
                <w:sz w:val="22"/>
                <w:szCs w:val="22"/>
              </w:rPr>
              <w:t>200000</w:t>
            </w:r>
          </w:p>
        </w:tc>
        <w:tc>
          <w:tcPr>
            <w:tcW w:w="55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53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50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94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416"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416"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416"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80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76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2"/>
                <w:szCs w:val="22"/>
              </w:rPr>
            </w:pPr>
            <w:r>
              <w:rPr>
                <w:rFonts w:hint="eastAsia" w:ascii="宋体" w:hAnsi="宋体" w:cs="宋体"/>
                <w:color w:val="000000"/>
                <w:sz w:val="22"/>
                <w:szCs w:val="22"/>
              </w:rPr>
              <w:t>　</w:t>
            </w:r>
          </w:p>
        </w:tc>
        <w:tc>
          <w:tcPr>
            <w:tcW w:w="1080"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color w:val="000000"/>
                <w:sz w:val="22"/>
                <w:szCs w:val="22"/>
              </w:rPr>
            </w:pPr>
            <w:r>
              <w:rPr>
                <w:rFonts w:hint="eastAsia" w:ascii="宋体" w:hAnsi="宋体" w:cs="宋体"/>
                <w:color w:val="000000"/>
                <w:sz w:val="22"/>
                <w:szCs w:val="22"/>
              </w:rPr>
              <w:t>200000</w:t>
            </w:r>
          </w:p>
        </w:tc>
        <w:tc>
          <w:tcPr>
            <w:tcW w:w="218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已建站并通过审批的工作站，一家给予经费补助，补三年。</w:t>
            </w:r>
          </w:p>
        </w:tc>
      </w:tr>
      <w:tr>
        <w:trPr>
          <w:trHeight w:val="720" w:hRule="atLeast"/>
        </w:trPr>
        <w:tc>
          <w:tcPr>
            <w:tcW w:w="1105" w:type="dxa"/>
            <w:tcBorders>
              <w:top w:val="nil"/>
              <w:left w:val="single" w:color="auto" w:sz="4" w:space="0"/>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352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0"/>
              </w:rPr>
            </w:pPr>
            <w:r>
              <w:rPr>
                <w:rFonts w:hint="eastAsia" w:ascii="宋体" w:hAnsi="宋体" w:cs="宋体"/>
                <w:color w:val="000000"/>
                <w:sz w:val="20"/>
              </w:rPr>
              <w:t>人才发展专项-院士工作站补助</w:t>
            </w:r>
          </w:p>
        </w:tc>
        <w:tc>
          <w:tcPr>
            <w:tcW w:w="1080"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24"/>
                <w:szCs w:val="24"/>
              </w:rPr>
            </w:pPr>
            <w:r>
              <w:rPr>
                <w:rFonts w:hint="eastAsia" w:ascii="宋体" w:hAnsi="宋体" w:cs="宋体"/>
                <w:sz w:val="24"/>
                <w:szCs w:val="24"/>
              </w:rPr>
              <w:t>600000</w:t>
            </w:r>
          </w:p>
        </w:tc>
        <w:tc>
          <w:tcPr>
            <w:tcW w:w="55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24"/>
                <w:szCs w:val="24"/>
              </w:rPr>
            </w:pPr>
            <w:r>
              <w:rPr>
                <w:rFonts w:hint="eastAsia" w:ascii="宋体" w:hAnsi="宋体" w:cs="宋体"/>
                <w:sz w:val="24"/>
                <w:szCs w:val="24"/>
              </w:rPr>
              <w:t>　</w:t>
            </w:r>
          </w:p>
        </w:tc>
        <w:tc>
          <w:tcPr>
            <w:tcW w:w="53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24"/>
                <w:szCs w:val="24"/>
              </w:rPr>
            </w:pPr>
            <w:r>
              <w:rPr>
                <w:rFonts w:hint="eastAsia" w:ascii="宋体" w:hAnsi="宋体" w:cs="宋体"/>
                <w:sz w:val="24"/>
                <w:szCs w:val="24"/>
              </w:rPr>
              <w:t>　</w:t>
            </w:r>
          </w:p>
        </w:tc>
        <w:tc>
          <w:tcPr>
            <w:tcW w:w="50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24"/>
                <w:szCs w:val="24"/>
              </w:rPr>
            </w:pPr>
            <w:r>
              <w:rPr>
                <w:rFonts w:hint="eastAsia" w:ascii="宋体" w:hAnsi="宋体" w:cs="宋体"/>
                <w:sz w:val="24"/>
                <w:szCs w:val="24"/>
              </w:rPr>
              <w:t>　</w:t>
            </w:r>
          </w:p>
        </w:tc>
        <w:tc>
          <w:tcPr>
            <w:tcW w:w="94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24"/>
                <w:szCs w:val="24"/>
              </w:rPr>
            </w:pPr>
            <w:r>
              <w:rPr>
                <w:rFonts w:hint="eastAsia" w:ascii="宋体" w:hAnsi="宋体" w:cs="宋体"/>
                <w:sz w:val="24"/>
                <w:szCs w:val="24"/>
              </w:rPr>
              <w:t>　</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800"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760"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1080" w:type="dxa"/>
            <w:tcBorders>
              <w:top w:val="nil"/>
              <w:left w:val="nil"/>
              <w:bottom w:val="single" w:color="auto" w:sz="4" w:space="0"/>
              <w:right w:val="single" w:color="auto" w:sz="4" w:space="0"/>
            </w:tcBorders>
            <w:vAlign w:val="bottom"/>
          </w:tcPr>
          <w:p>
            <w:pPr>
              <w:adjustRightInd/>
              <w:jc w:val="right"/>
              <w:textAlignment w:val="auto"/>
              <w:rPr>
                <w:rFonts w:ascii="宋体" w:hAnsi="宋体" w:cs="宋体"/>
                <w:sz w:val="24"/>
                <w:szCs w:val="24"/>
              </w:rPr>
            </w:pPr>
            <w:r>
              <w:rPr>
                <w:rFonts w:hint="eastAsia" w:ascii="宋体" w:hAnsi="宋体" w:cs="宋体"/>
                <w:sz w:val="24"/>
                <w:szCs w:val="24"/>
              </w:rPr>
              <w:t>600000</w:t>
            </w:r>
          </w:p>
        </w:tc>
        <w:tc>
          <w:tcPr>
            <w:tcW w:w="218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活动开展规模：以活动正式代表为准，将经费下拨到各镇（街道），由他们具体承办。</w:t>
            </w:r>
          </w:p>
        </w:tc>
      </w:tr>
      <w:tr>
        <w:trPr>
          <w:trHeight w:val="1155" w:hRule="atLeast"/>
        </w:trPr>
        <w:tc>
          <w:tcPr>
            <w:tcW w:w="1105" w:type="dxa"/>
            <w:tcBorders>
              <w:top w:val="nil"/>
              <w:left w:val="single" w:color="auto" w:sz="4" w:space="0"/>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352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color w:val="000000"/>
                <w:sz w:val="20"/>
              </w:rPr>
            </w:pPr>
            <w:r>
              <w:rPr>
                <w:rFonts w:hint="eastAsia" w:ascii="宋体" w:hAnsi="宋体" w:cs="宋体"/>
                <w:color w:val="000000"/>
                <w:sz w:val="20"/>
              </w:rPr>
              <w:t>人才发展专项-国家级学会工作站补助</w:t>
            </w:r>
          </w:p>
        </w:tc>
        <w:tc>
          <w:tcPr>
            <w:tcW w:w="1080" w:type="dxa"/>
            <w:tcBorders>
              <w:top w:val="nil"/>
              <w:left w:val="nil"/>
              <w:bottom w:val="single" w:color="auto" w:sz="4" w:space="0"/>
              <w:right w:val="single" w:color="auto" w:sz="4" w:space="0"/>
            </w:tcBorders>
            <w:vAlign w:val="center"/>
          </w:tcPr>
          <w:p>
            <w:pPr>
              <w:adjustRightInd/>
              <w:jc w:val="right"/>
              <w:textAlignment w:val="auto"/>
              <w:rPr>
                <w:rFonts w:ascii="宋体" w:hAnsi="宋体" w:cs="宋体"/>
                <w:sz w:val="24"/>
                <w:szCs w:val="24"/>
              </w:rPr>
            </w:pPr>
            <w:r>
              <w:rPr>
                <w:rFonts w:hint="eastAsia" w:ascii="宋体" w:hAnsi="宋体" w:cs="宋体"/>
                <w:sz w:val="24"/>
                <w:szCs w:val="24"/>
              </w:rPr>
              <w:t>1200000</w:t>
            </w:r>
          </w:p>
        </w:tc>
        <w:tc>
          <w:tcPr>
            <w:tcW w:w="55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24"/>
                <w:szCs w:val="24"/>
              </w:rPr>
            </w:pPr>
            <w:r>
              <w:rPr>
                <w:rFonts w:hint="eastAsia" w:ascii="宋体" w:hAnsi="宋体" w:cs="宋体"/>
                <w:sz w:val="24"/>
                <w:szCs w:val="24"/>
              </w:rPr>
              <w:t>　</w:t>
            </w:r>
          </w:p>
        </w:tc>
        <w:tc>
          <w:tcPr>
            <w:tcW w:w="531"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24"/>
                <w:szCs w:val="24"/>
              </w:rPr>
            </w:pPr>
            <w:r>
              <w:rPr>
                <w:rFonts w:hint="eastAsia" w:ascii="宋体" w:hAnsi="宋体" w:cs="宋体"/>
                <w:sz w:val="24"/>
                <w:szCs w:val="24"/>
              </w:rPr>
              <w:t>　</w:t>
            </w:r>
          </w:p>
        </w:tc>
        <w:tc>
          <w:tcPr>
            <w:tcW w:w="50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24"/>
                <w:szCs w:val="24"/>
              </w:rPr>
            </w:pPr>
            <w:r>
              <w:rPr>
                <w:rFonts w:hint="eastAsia" w:ascii="宋体" w:hAnsi="宋体" w:cs="宋体"/>
                <w:sz w:val="24"/>
                <w:szCs w:val="24"/>
              </w:rPr>
              <w:t>　</w:t>
            </w:r>
          </w:p>
        </w:tc>
        <w:tc>
          <w:tcPr>
            <w:tcW w:w="948"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24"/>
                <w:szCs w:val="24"/>
              </w:rPr>
            </w:pPr>
            <w:r>
              <w:rPr>
                <w:rFonts w:hint="eastAsia" w:ascii="宋体" w:hAnsi="宋体" w:cs="宋体"/>
                <w:sz w:val="24"/>
                <w:szCs w:val="24"/>
              </w:rPr>
              <w:t>　</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800"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760"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1080" w:type="dxa"/>
            <w:tcBorders>
              <w:top w:val="nil"/>
              <w:left w:val="nil"/>
              <w:bottom w:val="single" w:color="auto" w:sz="4" w:space="0"/>
              <w:right w:val="single" w:color="auto" w:sz="4" w:space="0"/>
            </w:tcBorders>
            <w:vAlign w:val="bottom"/>
          </w:tcPr>
          <w:p>
            <w:pPr>
              <w:adjustRightInd/>
              <w:jc w:val="right"/>
              <w:textAlignment w:val="auto"/>
              <w:rPr>
                <w:rFonts w:ascii="宋体" w:hAnsi="宋体" w:cs="宋体"/>
                <w:sz w:val="24"/>
                <w:szCs w:val="24"/>
              </w:rPr>
            </w:pPr>
            <w:r>
              <w:rPr>
                <w:rFonts w:hint="eastAsia" w:ascii="宋体" w:hAnsi="宋体" w:cs="宋体"/>
                <w:sz w:val="24"/>
                <w:szCs w:val="24"/>
              </w:rPr>
              <w:t>120000</w:t>
            </w:r>
          </w:p>
        </w:tc>
        <w:tc>
          <w:tcPr>
            <w:tcW w:w="2180" w:type="dxa"/>
            <w:tcBorders>
              <w:top w:val="nil"/>
              <w:left w:val="nil"/>
              <w:bottom w:val="single" w:color="auto" w:sz="4" w:space="0"/>
              <w:right w:val="single" w:color="auto" w:sz="4" w:space="0"/>
            </w:tcBorders>
            <w:vAlign w:val="center"/>
          </w:tcPr>
          <w:p>
            <w:pPr>
              <w:adjustRightInd/>
              <w:jc w:val="left"/>
              <w:textAlignment w:val="auto"/>
              <w:rPr>
                <w:rFonts w:ascii="宋体" w:hAnsi="宋体" w:cs="宋体"/>
                <w:sz w:val="18"/>
                <w:szCs w:val="18"/>
              </w:rPr>
            </w:pPr>
            <w:r>
              <w:rPr>
                <w:rFonts w:hint="eastAsia" w:ascii="宋体" w:hAnsi="宋体" w:cs="宋体"/>
                <w:sz w:val="18"/>
                <w:szCs w:val="18"/>
              </w:rPr>
              <w:t>省级站50万一个单位，台州市级30万一个单位。每年力争创建1个以上的省级工作站，1-2个以上台州市级工作站。若已成立的工作站入驻产业园区，省级站70万一个单位，台州市级40万一个单位。</w:t>
            </w:r>
          </w:p>
        </w:tc>
      </w:tr>
      <w:tr>
        <w:trPr>
          <w:trHeight w:val="499" w:hRule="atLeast"/>
        </w:trPr>
        <w:tc>
          <w:tcPr>
            <w:tcW w:w="1105" w:type="dxa"/>
            <w:tcBorders>
              <w:top w:val="nil"/>
              <w:left w:val="single" w:color="auto" w:sz="4" w:space="0"/>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3528"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1080"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558"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531"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508"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948"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416"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800"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760"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1080"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c>
          <w:tcPr>
            <w:tcW w:w="2180" w:type="dxa"/>
            <w:tcBorders>
              <w:top w:val="nil"/>
              <w:left w:val="nil"/>
              <w:bottom w:val="single" w:color="auto" w:sz="4" w:space="0"/>
              <w:right w:val="single" w:color="auto" w:sz="4" w:space="0"/>
            </w:tcBorders>
            <w:vAlign w:val="bottom"/>
          </w:tcPr>
          <w:p>
            <w:pPr>
              <w:adjustRightInd/>
              <w:jc w:val="left"/>
              <w:textAlignment w:val="auto"/>
              <w:rPr>
                <w:rFonts w:ascii="宋体" w:hAnsi="宋体" w:cs="宋体"/>
                <w:sz w:val="24"/>
                <w:szCs w:val="24"/>
              </w:rPr>
            </w:pPr>
            <w:r>
              <w:rPr>
                <w:rFonts w:hint="eastAsia" w:ascii="宋体" w:hAnsi="宋体" w:cs="宋体"/>
                <w:sz w:val="24"/>
                <w:szCs w:val="24"/>
              </w:rPr>
              <w:t>　</w:t>
            </w:r>
          </w:p>
        </w:tc>
      </w:tr>
      <w:tr>
        <w:trPr>
          <w:trHeight w:val="285" w:hRule="atLeast"/>
        </w:trPr>
        <w:tc>
          <w:tcPr>
            <w:tcW w:w="1105"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3528"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08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558"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531"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508"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948"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416"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416"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416"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80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76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08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2180" w:type="dxa"/>
            <w:tcBorders>
              <w:top w:val="nil"/>
              <w:left w:val="nil"/>
              <w:bottom w:val="nil"/>
              <w:right w:val="nil"/>
            </w:tcBorders>
            <w:vAlign w:val="bottom"/>
          </w:tcPr>
          <w:p>
            <w:pPr>
              <w:adjustRightInd/>
              <w:jc w:val="left"/>
              <w:textAlignment w:val="auto"/>
              <w:rPr>
                <w:rFonts w:ascii="宋体" w:hAnsi="宋体" w:cs="宋体"/>
                <w:sz w:val="24"/>
                <w:szCs w:val="24"/>
              </w:rPr>
            </w:pPr>
          </w:p>
        </w:tc>
      </w:tr>
      <w:tr>
        <w:trPr>
          <w:trHeight w:val="1260" w:hRule="atLeast"/>
        </w:trPr>
        <w:tc>
          <w:tcPr>
            <w:tcW w:w="14326" w:type="dxa"/>
            <w:gridSpan w:val="14"/>
            <w:tcBorders>
              <w:top w:val="nil"/>
              <w:left w:val="nil"/>
              <w:bottom w:val="nil"/>
              <w:right w:val="nil"/>
            </w:tcBorders>
            <w:vAlign w:val="center"/>
          </w:tcPr>
          <w:p>
            <w:pPr>
              <w:adjustRightInd/>
              <w:jc w:val="left"/>
              <w:textAlignment w:val="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备注：1.该表格只填写重点项目内容，重点项目定义为：预算额度在20万以上的2019年非发展建设类项目。2.项目绩效目标查询方式：网站http://172.247.71.5：9080/BudgetFill  路径：年初预算申报管理——年初预算数据查询——支出预算查询——项目绩效目标查询。</w:t>
            </w:r>
          </w:p>
        </w:tc>
      </w:tr>
      <w:tr>
        <w:trPr>
          <w:trHeight w:val="285" w:hRule="atLeast"/>
        </w:trPr>
        <w:tc>
          <w:tcPr>
            <w:tcW w:w="1105"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3528"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08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558"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531"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508"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948"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416"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416"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416"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80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76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1080" w:type="dxa"/>
            <w:tcBorders>
              <w:top w:val="nil"/>
              <w:left w:val="nil"/>
              <w:bottom w:val="nil"/>
              <w:right w:val="nil"/>
            </w:tcBorders>
            <w:vAlign w:val="bottom"/>
          </w:tcPr>
          <w:p>
            <w:pPr>
              <w:adjustRightInd/>
              <w:jc w:val="left"/>
              <w:textAlignment w:val="auto"/>
              <w:rPr>
                <w:rFonts w:ascii="宋体" w:hAnsi="宋体" w:cs="宋体"/>
                <w:sz w:val="24"/>
                <w:szCs w:val="24"/>
              </w:rPr>
            </w:pPr>
          </w:p>
        </w:tc>
        <w:tc>
          <w:tcPr>
            <w:tcW w:w="2180" w:type="dxa"/>
            <w:tcBorders>
              <w:top w:val="nil"/>
              <w:left w:val="nil"/>
              <w:bottom w:val="nil"/>
              <w:right w:val="nil"/>
            </w:tcBorders>
            <w:vAlign w:val="bottom"/>
          </w:tcPr>
          <w:p>
            <w:pPr>
              <w:adjustRightInd/>
              <w:jc w:val="left"/>
              <w:textAlignment w:val="auto"/>
              <w:rPr>
                <w:rFonts w:ascii="宋体" w:hAnsi="宋体" w:cs="宋体"/>
                <w:sz w:val="24"/>
                <w:szCs w:val="24"/>
              </w:rPr>
            </w:pPr>
          </w:p>
        </w:tc>
      </w:tr>
    </w:tbl>
    <w:p>
      <w:pPr>
        <w:pStyle w:val="2"/>
        <w:rPr>
          <w:rFonts w:hint="default"/>
          <w:sz w:val="21"/>
          <w:szCs w:val="21"/>
        </w:rPr>
      </w:pPr>
    </w:p>
    <w:sectPr>
      <w:pgSz w:w="16838" w:h="11906" w:orient="landscape"/>
      <w:pgMar w:top="1418" w:right="1440" w:bottom="1134" w:left="144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Arial Unicode MS"/>
    <w:panose1 w:val="00000000000000000000"/>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86"/>
    <w:family w:val="auto"/>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宋体"/>
    <w:panose1 w:val="03000509000000000000"/>
    <w:charset w:val="86"/>
    <w:family w:val="auto"/>
    <w:pitch w:val="default"/>
    <w:sig w:usb0="00000001" w:usb1="080E0000" w:usb2="00000010" w:usb3="00000000" w:csb0="00040000" w:csb1="00000000"/>
  </w:font>
  <w:font w:name="方正大标宋简体">
    <w:altName w:val="Arial Unicode MS"/>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8"/>
      <w:numFmt w:val="chineseCounting"/>
      <w:suff w:val="nothing"/>
      <w:lvlText w:val="（%1）"/>
      <w:lvlJc w:val="left"/>
      <w:rPr>
        <w:rFonts w:hint="eastAsia"/>
      </w:rPr>
    </w:lvl>
  </w:abstractNum>
  <w:abstractNum w:abstractNumId="11">
    <w:nsid w:val="0000000B"/>
    <w:multiLevelType w:val="singleLevel"/>
    <w:tmpl w:val="0000000B"/>
    <w:lvl w:ilvl="0" w:tentative="1">
      <w:start w:val="1"/>
      <w:numFmt w:val="decimal"/>
      <w:suff w:val="nothing"/>
      <w:lvlText w:val="%1."/>
      <w:lvlJc w:val="left"/>
    </w:lvl>
  </w:abstractNum>
  <w:num w:numId="1">
    <w:abstractNumId w:val="1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5">
    <w:name w:val="Default Paragraph Font"/>
  </w:style>
  <w:style w:type="paragraph" w:customStyle="1" w:styleId="2">
    <w:name w:val="Default"/>
    <w:pPr>
      <w:widowControl w:val="0"/>
      <w:autoSpaceDE w:val="0"/>
      <w:autoSpaceDN w:val="0"/>
      <w:adjustRightInd w:val="0"/>
    </w:pPr>
    <w:rPr>
      <w:rFonts w:hint="eastAsia" w:ascii="仿宋_GB2312" w:hAnsi="仿宋_GB2312" w:eastAsia="仿宋_GB2312" w:cs="Times New Roman"/>
      <w:color w:val="000000"/>
      <w:kern w:val="0"/>
      <w:sz w:val="24"/>
    </w:rPr>
  </w:style>
  <w:style w:type="paragraph" w:styleId="3">
    <w:name w:val="footer"/>
    <w:basedOn w:val="1"/>
    <w:link w:val="4"/>
    <w:pPr>
      <w:tabs>
        <w:tab w:val="center" w:pos="4153"/>
        <w:tab w:val="right" w:pos="8306"/>
      </w:tabs>
      <w:snapToGrid w:val="0"/>
      <w:jc w:val="left"/>
    </w:pPr>
    <w:rPr>
      <w:sz w:val="18"/>
      <w:szCs w:val="18"/>
    </w:rPr>
  </w:style>
  <w:style w:type="character" w:customStyle="1" w:styleId="4">
    <w:name w:val="页脚 Char"/>
    <w:basedOn w:val="5"/>
    <w:link w:val="3"/>
    <w:semiHidden/>
    <w:rPr>
      <w:sz w:val="18"/>
      <w:szCs w:val="18"/>
    </w:rPr>
  </w:style>
  <w:style w:type="paragraph" w:styleId="6">
    <w:name w:val="header"/>
    <w:basedOn w:val="1"/>
    <w:link w:val="7"/>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6"/>
    <w:semiHidden/>
    <w:rPr>
      <w:sz w:val="18"/>
      <w:szCs w:val="18"/>
    </w:rPr>
  </w:style>
  <w:style w:type="paragraph" w:customStyle="1" w:styleId="8">
    <w:name w:val="p0"/>
    <w:basedOn w:val="1"/>
    <w:pPr>
      <w:adjustRightInd/>
      <w:textAlignment w:val="auto"/>
    </w:pPr>
    <w:rPr>
      <w:rFonts w:ascii="Calibri" w:hAnsi="Calibri" w:cs="宋体"/>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2177</Words>
  <Characters>12413</Characters>
  <Lines>103</Lines>
  <Paragraphs>29</Paragraphs>
  <TotalTime>0</TotalTime>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2019-04-03T09:55:00Z</dcterms:created>
  <dc:creator>Administrator</dc:creator>
  <dcterms:modified xsi:type="dcterms:W3CDTF">2021-05-14T10:57:19Z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