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黑体" w:eastAsia="黑体"/>
          <w:sz w:val="44"/>
          <w:szCs w:val="44"/>
        </w:rPr>
      </w:pPr>
      <w:r>
        <w:rPr>
          <w:rStyle w:val="36"/>
          <w:rFonts w:hint="eastAsia" w:ascii="黑体" w:hAnsi="黑体" w:eastAsia="黑体" w:cs="宋体"/>
          <w:sz w:val="44"/>
          <w:szCs w:val="44"/>
        </w:rPr>
        <w:t>台州市温岭市城南镇人民政府</w:t>
      </w:r>
    </w:p>
    <w:p>
      <w:pPr>
        <w:pStyle w:val="12"/>
        <w:snapToGrid w:val="0"/>
        <w:jc w:val="center"/>
        <w:rPr>
          <w:rFonts w:hint="eastAsia"/>
        </w:rPr>
      </w:pPr>
      <w:r>
        <w:rPr>
          <w:rStyle w:val="36"/>
          <w:rFonts w:hint="eastAsia" w:ascii="黑体" w:hAnsi="宋体" w:eastAsia="黑体" w:cs="宋体"/>
          <w:sz w:val="44"/>
          <w:szCs w:val="44"/>
        </w:rPr>
        <w:t>2020</w:t>
      </w:r>
      <w:r>
        <w:rPr>
          <w:rStyle w:val="36"/>
          <w:rFonts w:hint="eastAsia" w:ascii="黑体" w:hAnsi="黑体" w:eastAsia="黑体" w:cs="宋体"/>
          <w:sz w:val="44"/>
          <w:szCs w:val="44"/>
        </w:rPr>
        <w:t>年度部门决算</w:t>
      </w:r>
    </w:p>
    <w:p>
      <w:pPr>
        <w:pStyle w:val="12"/>
        <w:snapToGrid w:val="0"/>
        <w:jc w:val="center"/>
        <w:rPr>
          <w:rFonts w:hint="eastAsia"/>
        </w:rPr>
      </w:pPr>
      <w:r>
        <w:rPr>
          <w:rStyle w:val="36"/>
          <w:rFonts w:hint="eastAsia" w:ascii="宋体" w:hAnsi="宋体"/>
          <w:sz w:val="22"/>
          <w:szCs w:val="22"/>
        </w:rPr>
        <w:t>目录</w:t>
      </w:r>
    </w:p>
    <w:p>
      <w:pPr>
        <w:snapToGrid w:val="0"/>
        <w:spacing w:line="480" w:lineRule="auto"/>
        <w:ind w:firstLine="641"/>
        <w:jc w:val="distribute"/>
        <w:rPr>
          <w:rFonts w:hint="eastAsia" w:ascii="Calibri" w:hAnsi="Calibri" w:eastAsia="等线" w:cs="Arial"/>
          <w:sz w:val="22"/>
          <w:szCs w:val="22"/>
        </w:rPr>
      </w:pPr>
      <w:r>
        <w:rPr>
          <w:rStyle w:val="36"/>
          <w:rFonts w:hint="eastAsia" w:ascii="宋体" w:hAnsi="宋体" w:cs="Arial"/>
          <w:sz w:val="22"/>
          <w:szCs w:val="22"/>
        </w:rPr>
        <w:t>一、概况</w:t>
      </w:r>
      <w:r>
        <w:rPr>
          <w:rStyle w:val="36"/>
          <w:rFonts w:ascii="Calibri" w:hAnsi="Calibri" w:eastAsia="等线" w:cs="Arial"/>
          <w:sz w:val="22"/>
          <w:szCs w:val="22"/>
        </w:rPr>
        <w:t>.........................................................................................................(1)</w:t>
      </w:r>
    </w:p>
    <w:p>
      <w:pPr>
        <w:snapToGrid w:val="0"/>
        <w:spacing w:line="480" w:lineRule="auto"/>
        <w:ind w:firstLine="641"/>
        <w:jc w:val="distribute"/>
        <w:rPr>
          <w:rFonts w:ascii="Calibri" w:hAnsi="Calibri"/>
          <w:b/>
          <w:bCs/>
          <w:sz w:val="22"/>
          <w:szCs w:val="22"/>
        </w:rPr>
      </w:pPr>
      <w:r>
        <w:rPr>
          <w:rStyle w:val="36"/>
          <w:rFonts w:hint="eastAsia" w:ascii="宋体" w:hAnsi="宋体" w:cs="Arial"/>
          <w:b w:val="0"/>
          <w:bCs w:val="0"/>
          <w:sz w:val="22"/>
          <w:szCs w:val="22"/>
        </w:rPr>
        <w:t>（一）部门职责</w:t>
      </w:r>
      <w:r>
        <w:rPr>
          <w:rStyle w:val="36"/>
          <w:rFonts w:ascii="Calibri" w:hAnsi="Calibri" w:eastAsia="等线" w:cs="Arial"/>
          <w:b w:val="0"/>
          <w:bCs w:val="0"/>
          <w:sz w:val="22"/>
          <w:szCs w:val="22"/>
        </w:rPr>
        <w:t>.................................................................................(1)</w:t>
      </w:r>
    </w:p>
    <w:p>
      <w:pPr>
        <w:snapToGrid w:val="0"/>
        <w:spacing w:line="480" w:lineRule="auto"/>
        <w:ind w:firstLine="641"/>
        <w:jc w:val="distribute"/>
        <w:rPr>
          <w:rFonts w:ascii="Calibri" w:hAnsi="Calibri"/>
          <w:b/>
          <w:bCs/>
          <w:sz w:val="22"/>
          <w:szCs w:val="22"/>
        </w:rPr>
      </w:pPr>
      <w:r>
        <w:rPr>
          <w:rStyle w:val="36"/>
          <w:rFonts w:hint="eastAsia" w:ascii="宋体" w:hAnsi="宋体" w:cs="Arial"/>
          <w:b w:val="0"/>
          <w:bCs w:val="0"/>
          <w:sz w:val="22"/>
          <w:szCs w:val="22"/>
        </w:rPr>
        <w:t>（二）机构设置</w:t>
      </w:r>
      <w:r>
        <w:rPr>
          <w:rStyle w:val="36"/>
          <w:rFonts w:ascii="Calibri" w:hAnsi="Calibri" w:eastAsia="等线" w:cs="Arial"/>
          <w:b w:val="0"/>
          <w:bCs w:val="0"/>
          <w:sz w:val="22"/>
          <w:szCs w:val="22"/>
        </w:rPr>
        <w:t xml:space="preserve">...............................................................................................(2) </w:t>
      </w:r>
    </w:p>
    <w:p>
      <w:pPr>
        <w:snapToGrid w:val="0"/>
        <w:spacing w:line="480" w:lineRule="auto"/>
        <w:ind w:firstLine="641"/>
        <w:jc w:val="distribute"/>
        <w:rPr>
          <w:rFonts w:ascii="Calibri" w:hAnsi="Calibri"/>
          <w:sz w:val="22"/>
          <w:szCs w:val="22"/>
        </w:rPr>
      </w:pPr>
      <w:r>
        <w:rPr>
          <w:rStyle w:val="36"/>
          <w:rFonts w:hint="eastAsia" w:ascii="宋体" w:hAnsi="宋体" w:cs="Arial"/>
          <w:sz w:val="22"/>
          <w:szCs w:val="22"/>
        </w:rPr>
        <w:t>二、</w:t>
      </w:r>
      <w:r>
        <w:rPr>
          <w:rStyle w:val="36"/>
          <w:rFonts w:ascii="Calibri" w:hAnsi="Calibri" w:eastAsia="等线" w:cs="Arial"/>
          <w:sz w:val="22"/>
          <w:szCs w:val="22"/>
        </w:rPr>
        <w:t>2020</w:t>
      </w:r>
      <w:r>
        <w:rPr>
          <w:rStyle w:val="36"/>
          <w:rFonts w:hint="eastAsia" w:ascii="宋体" w:hAnsi="宋体" w:cs="Arial"/>
          <w:sz w:val="22"/>
          <w:szCs w:val="22"/>
        </w:rPr>
        <w:t>年度部门决算公开表</w:t>
      </w:r>
      <w:r>
        <w:rPr>
          <w:rStyle w:val="36"/>
          <w:rFonts w:ascii="Calibri" w:hAnsi="Calibri" w:eastAsia="等线" w:cs="Arial"/>
          <w:sz w:val="22"/>
          <w:szCs w:val="22"/>
        </w:rPr>
        <w:t>.........................................................(</w:t>
      </w:r>
      <w:r>
        <w:rPr>
          <w:rStyle w:val="36"/>
          <w:rFonts w:ascii="Calibri" w:hAnsi="Calibri" w:cs="Arial"/>
          <w:sz w:val="22"/>
          <w:szCs w:val="22"/>
        </w:rPr>
        <w:t>2</w:t>
      </w:r>
      <w:r>
        <w:rPr>
          <w:rStyle w:val="36"/>
          <w:rFonts w:ascii="Calibri" w:hAnsi="Calibri" w:eastAsia="等线" w:cs="Arial"/>
          <w:sz w:val="22"/>
          <w:szCs w:val="22"/>
        </w:rPr>
        <w:t>)</w:t>
      </w:r>
    </w:p>
    <w:p>
      <w:pPr>
        <w:snapToGrid w:val="0"/>
        <w:spacing w:line="480" w:lineRule="auto"/>
        <w:ind w:firstLine="641"/>
        <w:jc w:val="distribute"/>
        <w:rPr>
          <w:rFonts w:ascii="Calibri" w:hAnsi="Calibri"/>
          <w:sz w:val="22"/>
          <w:szCs w:val="22"/>
        </w:rPr>
      </w:pPr>
      <w:r>
        <w:rPr>
          <w:rStyle w:val="36"/>
          <w:rFonts w:hint="eastAsia" w:ascii="宋体" w:hAnsi="宋体" w:cs="Arial"/>
          <w:sz w:val="22"/>
          <w:szCs w:val="22"/>
        </w:rPr>
        <w:t>三、</w:t>
      </w:r>
      <w:r>
        <w:rPr>
          <w:rStyle w:val="36"/>
          <w:rFonts w:ascii="Calibri" w:hAnsi="Calibri" w:eastAsia="等线" w:cs="Arial"/>
          <w:sz w:val="22"/>
          <w:szCs w:val="22"/>
        </w:rPr>
        <w:t>2020</w:t>
      </w:r>
      <w:r>
        <w:rPr>
          <w:rStyle w:val="36"/>
          <w:rFonts w:hint="eastAsia" w:ascii="宋体" w:hAnsi="宋体" w:cs="Arial"/>
          <w:sz w:val="22"/>
          <w:szCs w:val="22"/>
        </w:rPr>
        <w:t>年度部门决算情况说明</w:t>
      </w:r>
      <w:r>
        <w:rPr>
          <w:rStyle w:val="36"/>
          <w:rFonts w:ascii="Calibri" w:hAnsi="Calibri" w:eastAsia="等线" w:cs="Arial"/>
          <w:sz w:val="22"/>
          <w:szCs w:val="22"/>
        </w:rPr>
        <w:t>......................................................(</w:t>
      </w:r>
      <w:r>
        <w:rPr>
          <w:rStyle w:val="36"/>
          <w:rFonts w:ascii="Calibri" w:hAnsi="Calibri" w:cs="Arial"/>
          <w:sz w:val="22"/>
          <w:szCs w:val="22"/>
        </w:rPr>
        <w:t>2</w:t>
      </w:r>
      <w:r>
        <w:rPr>
          <w:rStyle w:val="36"/>
          <w:rFonts w:ascii="Calibri" w:hAnsi="Calibri" w:eastAsia="等线" w:cs="Arial"/>
          <w:sz w:val="22"/>
          <w:szCs w:val="22"/>
        </w:rPr>
        <w:t xml:space="preserve">) </w:t>
      </w:r>
    </w:p>
    <w:p>
      <w:pPr>
        <w:snapToGrid w:val="0"/>
        <w:spacing w:line="480" w:lineRule="auto"/>
        <w:ind w:firstLine="641"/>
        <w:jc w:val="distribute"/>
        <w:rPr>
          <w:rFonts w:ascii="Calibri" w:hAnsi="Calibri"/>
          <w:b/>
          <w:bCs/>
          <w:sz w:val="22"/>
          <w:szCs w:val="22"/>
        </w:rPr>
      </w:pPr>
      <w:r>
        <w:rPr>
          <w:rStyle w:val="36"/>
          <w:rFonts w:hint="eastAsia" w:ascii="宋体" w:hAnsi="宋体" w:cs="Arial"/>
          <w:b w:val="0"/>
          <w:bCs w:val="0"/>
          <w:sz w:val="22"/>
          <w:szCs w:val="22"/>
        </w:rPr>
        <w:t>（一）收入支出决算总体情况说明</w:t>
      </w:r>
      <w:r>
        <w:rPr>
          <w:rStyle w:val="36"/>
          <w:rFonts w:ascii="Calibri" w:hAnsi="Calibri" w:eastAsia="等线" w:cs="Arial"/>
          <w:b w:val="0"/>
          <w:bCs w:val="0"/>
          <w:sz w:val="22"/>
          <w:szCs w:val="22"/>
        </w:rPr>
        <w:t>...................................................................(</w:t>
      </w:r>
      <w:r>
        <w:rPr>
          <w:rStyle w:val="36"/>
          <w:rFonts w:ascii="Calibri" w:hAnsi="Calibri" w:cs="Arial"/>
          <w:b w:val="0"/>
          <w:bCs w:val="0"/>
          <w:sz w:val="22"/>
          <w:szCs w:val="22"/>
        </w:rPr>
        <w:t>2</w:t>
      </w:r>
      <w:r>
        <w:rPr>
          <w:rStyle w:val="36"/>
          <w:rFonts w:ascii="Calibri" w:hAnsi="Calibri" w:eastAsia="等线" w:cs="Arial"/>
          <w:b w:val="0"/>
          <w:bCs w:val="0"/>
          <w:sz w:val="22"/>
          <w:szCs w:val="22"/>
        </w:rPr>
        <w:t>)</w:t>
      </w:r>
    </w:p>
    <w:p>
      <w:pPr>
        <w:snapToGrid w:val="0"/>
        <w:spacing w:line="480" w:lineRule="auto"/>
        <w:ind w:firstLine="641"/>
        <w:jc w:val="distribute"/>
        <w:rPr>
          <w:rFonts w:ascii="Calibri" w:hAnsi="Calibri"/>
          <w:b/>
          <w:bCs/>
          <w:sz w:val="22"/>
          <w:szCs w:val="22"/>
        </w:rPr>
      </w:pPr>
      <w:r>
        <w:rPr>
          <w:rStyle w:val="36"/>
          <w:rFonts w:hint="eastAsia" w:ascii="宋体" w:hAnsi="宋体" w:cs="Arial"/>
          <w:b w:val="0"/>
          <w:bCs w:val="0"/>
          <w:sz w:val="22"/>
          <w:szCs w:val="22"/>
        </w:rPr>
        <w:t>（二）收入决算情况说明</w:t>
      </w:r>
      <w:r>
        <w:rPr>
          <w:rStyle w:val="36"/>
          <w:rFonts w:ascii="Calibri" w:hAnsi="Calibri" w:eastAsia="等线" w:cs="Arial"/>
          <w:b w:val="0"/>
          <w:bCs w:val="0"/>
          <w:sz w:val="22"/>
          <w:szCs w:val="22"/>
        </w:rPr>
        <w:t>.................................................................................(</w:t>
      </w:r>
      <w:r>
        <w:rPr>
          <w:rStyle w:val="36"/>
          <w:rFonts w:hint="eastAsia" w:ascii="Calibri" w:hAnsi="Calibri" w:cs="Arial"/>
          <w:b w:val="0"/>
          <w:bCs w:val="0"/>
          <w:sz w:val="22"/>
          <w:szCs w:val="22"/>
        </w:rPr>
        <w:t>3</w:t>
      </w:r>
      <w:r>
        <w:rPr>
          <w:rStyle w:val="36"/>
          <w:rFonts w:ascii="Calibri" w:hAnsi="Calibri" w:eastAsia="等线" w:cs="Arial"/>
          <w:b w:val="0"/>
          <w:bCs w:val="0"/>
          <w:sz w:val="22"/>
          <w:szCs w:val="22"/>
        </w:rPr>
        <w:t>)</w:t>
      </w:r>
    </w:p>
    <w:p>
      <w:pPr>
        <w:snapToGrid w:val="0"/>
        <w:spacing w:line="480" w:lineRule="auto"/>
        <w:ind w:firstLine="641"/>
        <w:jc w:val="distribute"/>
        <w:rPr>
          <w:rFonts w:ascii="Calibri" w:hAnsi="Calibri"/>
          <w:b/>
          <w:bCs/>
          <w:sz w:val="22"/>
          <w:szCs w:val="22"/>
        </w:rPr>
      </w:pPr>
      <w:r>
        <w:rPr>
          <w:rStyle w:val="36"/>
          <w:rFonts w:hint="eastAsia" w:ascii="宋体" w:hAnsi="宋体" w:cs="Arial"/>
          <w:b w:val="0"/>
          <w:bCs w:val="0"/>
          <w:sz w:val="22"/>
          <w:szCs w:val="22"/>
        </w:rPr>
        <w:t>（三）支出决算情况说明</w:t>
      </w:r>
      <w:r>
        <w:rPr>
          <w:rStyle w:val="36"/>
          <w:rFonts w:ascii="Calibri" w:hAnsi="Calibri" w:eastAsia="等线" w:cs="Arial"/>
          <w:b w:val="0"/>
          <w:bCs w:val="0"/>
          <w:sz w:val="22"/>
          <w:szCs w:val="22"/>
        </w:rPr>
        <w:t>.................................................................................(</w:t>
      </w:r>
      <w:r>
        <w:rPr>
          <w:rStyle w:val="36"/>
          <w:rFonts w:ascii="Calibri" w:hAnsi="Calibri" w:cs="Arial"/>
          <w:b w:val="0"/>
          <w:bCs w:val="0"/>
          <w:sz w:val="22"/>
          <w:szCs w:val="22"/>
        </w:rPr>
        <w:t>3</w:t>
      </w:r>
      <w:r>
        <w:rPr>
          <w:rStyle w:val="36"/>
          <w:rFonts w:ascii="Calibri" w:hAnsi="Calibri" w:eastAsia="等线" w:cs="Arial"/>
          <w:b w:val="0"/>
          <w:bCs w:val="0"/>
          <w:sz w:val="22"/>
          <w:szCs w:val="22"/>
        </w:rPr>
        <w:t>)</w:t>
      </w:r>
    </w:p>
    <w:p>
      <w:pPr>
        <w:snapToGrid w:val="0"/>
        <w:spacing w:line="480" w:lineRule="auto"/>
        <w:ind w:firstLine="641"/>
        <w:jc w:val="distribute"/>
        <w:rPr>
          <w:rFonts w:ascii="Calibri" w:hAnsi="Calibri"/>
          <w:b/>
          <w:bCs/>
          <w:sz w:val="22"/>
          <w:szCs w:val="22"/>
        </w:rPr>
      </w:pPr>
      <w:r>
        <w:rPr>
          <w:rStyle w:val="36"/>
          <w:rFonts w:hint="eastAsia" w:ascii="宋体" w:hAnsi="宋体" w:cs="Arial"/>
          <w:b w:val="0"/>
          <w:bCs w:val="0"/>
          <w:sz w:val="22"/>
          <w:szCs w:val="22"/>
        </w:rPr>
        <w:t>（四）财政拨款收入支出决算总体情况说明</w:t>
      </w:r>
      <w:r>
        <w:rPr>
          <w:rStyle w:val="36"/>
          <w:rFonts w:ascii="Calibri" w:hAnsi="Calibri" w:eastAsia="等线" w:cs="Arial"/>
          <w:b w:val="0"/>
          <w:bCs w:val="0"/>
          <w:sz w:val="22"/>
          <w:szCs w:val="22"/>
        </w:rPr>
        <w:t>.....................................................(</w:t>
      </w:r>
      <w:r>
        <w:rPr>
          <w:rStyle w:val="36"/>
          <w:rFonts w:ascii="Calibri" w:hAnsi="Calibri" w:cs="Arial"/>
          <w:b w:val="0"/>
          <w:bCs w:val="0"/>
          <w:sz w:val="22"/>
          <w:szCs w:val="22"/>
        </w:rPr>
        <w:t>3</w:t>
      </w:r>
      <w:r>
        <w:rPr>
          <w:rStyle w:val="36"/>
          <w:rFonts w:ascii="Calibri" w:hAnsi="Calibri" w:eastAsia="等线" w:cs="Arial"/>
          <w:b w:val="0"/>
          <w:bCs w:val="0"/>
          <w:sz w:val="22"/>
          <w:szCs w:val="22"/>
        </w:rPr>
        <w:t>)</w:t>
      </w:r>
    </w:p>
    <w:p>
      <w:pPr>
        <w:snapToGrid w:val="0"/>
        <w:spacing w:line="480" w:lineRule="auto"/>
        <w:ind w:firstLine="641"/>
        <w:jc w:val="distribute"/>
        <w:rPr>
          <w:rFonts w:ascii="Calibri" w:hAnsi="Calibri"/>
          <w:b/>
          <w:bCs/>
          <w:sz w:val="22"/>
          <w:szCs w:val="22"/>
        </w:rPr>
      </w:pPr>
      <w:r>
        <w:rPr>
          <w:rStyle w:val="36"/>
          <w:rFonts w:hint="eastAsia" w:ascii="宋体" w:hAnsi="宋体" w:cs="Arial"/>
          <w:b w:val="0"/>
          <w:bCs w:val="0"/>
          <w:sz w:val="22"/>
          <w:szCs w:val="22"/>
        </w:rPr>
        <w:t>（五）一般公共预算财政拨款支出决算情况说明</w:t>
      </w:r>
      <w:r>
        <w:rPr>
          <w:rStyle w:val="36"/>
          <w:rFonts w:ascii="Calibri" w:hAnsi="Calibri" w:eastAsia="等线" w:cs="Arial"/>
          <w:b w:val="0"/>
          <w:bCs w:val="0"/>
          <w:sz w:val="22"/>
          <w:szCs w:val="22"/>
        </w:rPr>
        <w:t>..............................................(</w:t>
      </w:r>
      <w:r>
        <w:rPr>
          <w:rStyle w:val="36"/>
          <w:rFonts w:ascii="Calibri" w:hAnsi="Calibri" w:cs="Arial"/>
          <w:b w:val="0"/>
          <w:bCs w:val="0"/>
          <w:sz w:val="22"/>
          <w:szCs w:val="22"/>
        </w:rPr>
        <w:t>3</w:t>
      </w:r>
      <w:r>
        <w:rPr>
          <w:rStyle w:val="36"/>
          <w:rFonts w:ascii="Calibri" w:hAnsi="Calibri" w:eastAsia="等线" w:cs="Arial"/>
          <w:b w:val="0"/>
          <w:bCs w:val="0"/>
          <w:sz w:val="22"/>
          <w:szCs w:val="22"/>
        </w:rPr>
        <w:t>)</w:t>
      </w:r>
    </w:p>
    <w:p>
      <w:pPr>
        <w:snapToGrid w:val="0"/>
        <w:spacing w:line="480" w:lineRule="auto"/>
        <w:ind w:firstLine="641"/>
        <w:jc w:val="distribute"/>
        <w:rPr>
          <w:rFonts w:ascii="Calibri" w:hAnsi="Calibri"/>
          <w:b/>
          <w:bCs/>
          <w:sz w:val="22"/>
          <w:szCs w:val="22"/>
        </w:rPr>
      </w:pPr>
      <w:r>
        <w:rPr>
          <w:rStyle w:val="36"/>
          <w:rFonts w:hint="eastAsia" w:ascii="宋体" w:hAnsi="宋体" w:cs="Arial"/>
          <w:b w:val="0"/>
          <w:bCs w:val="0"/>
          <w:sz w:val="22"/>
          <w:szCs w:val="22"/>
        </w:rPr>
        <w:t>（六）一般公共预算财政拨款基本支出决算情况说明</w:t>
      </w:r>
      <w:r>
        <w:rPr>
          <w:rStyle w:val="36"/>
          <w:rFonts w:ascii="Calibri" w:hAnsi="Calibri" w:eastAsia="等线" w:cs="Arial"/>
          <w:b w:val="0"/>
          <w:bCs w:val="0"/>
          <w:sz w:val="22"/>
          <w:szCs w:val="22"/>
        </w:rPr>
        <w:t>.......................................(</w:t>
      </w:r>
      <w:r>
        <w:rPr>
          <w:rStyle w:val="36"/>
          <w:rFonts w:ascii="Calibri" w:hAnsi="Calibri" w:cs="Arial"/>
          <w:b w:val="0"/>
          <w:bCs w:val="0"/>
          <w:sz w:val="22"/>
          <w:szCs w:val="22"/>
        </w:rPr>
        <w:t>1</w:t>
      </w:r>
      <w:r>
        <w:rPr>
          <w:rStyle w:val="36"/>
          <w:rFonts w:hint="eastAsia" w:ascii="Calibri" w:hAnsi="Calibri" w:cs="Arial"/>
          <w:b w:val="0"/>
          <w:bCs w:val="0"/>
          <w:sz w:val="22"/>
          <w:szCs w:val="22"/>
        </w:rPr>
        <w:t>1</w:t>
      </w:r>
      <w:r>
        <w:rPr>
          <w:rStyle w:val="36"/>
          <w:rFonts w:ascii="Calibri" w:hAnsi="Calibri" w:eastAsia="等线" w:cs="Arial"/>
          <w:b w:val="0"/>
          <w:bCs w:val="0"/>
          <w:sz w:val="22"/>
          <w:szCs w:val="22"/>
        </w:rPr>
        <w:t>)</w:t>
      </w:r>
    </w:p>
    <w:p>
      <w:pPr>
        <w:snapToGrid w:val="0"/>
        <w:spacing w:line="480" w:lineRule="auto"/>
        <w:ind w:firstLine="641"/>
        <w:jc w:val="distribute"/>
        <w:rPr>
          <w:rFonts w:ascii="Calibri" w:hAnsi="Calibri"/>
          <w:b/>
          <w:bCs/>
          <w:sz w:val="22"/>
          <w:szCs w:val="22"/>
        </w:rPr>
      </w:pPr>
      <w:r>
        <w:rPr>
          <w:rStyle w:val="36"/>
          <w:rFonts w:hint="eastAsia" w:ascii="宋体" w:hAnsi="宋体" w:cs="Arial"/>
          <w:b w:val="0"/>
          <w:bCs w:val="0"/>
          <w:sz w:val="22"/>
          <w:szCs w:val="22"/>
        </w:rPr>
        <w:t>（七）政府性基金预算财政拨款支出决算总体情况说明</w:t>
      </w:r>
      <w:r>
        <w:rPr>
          <w:rStyle w:val="36"/>
          <w:rFonts w:ascii="Calibri" w:hAnsi="Calibri" w:eastAsia="等线" w:cs="Arial"/>
          <w:b w:val="0"/>
          <w:bCs w:val="0"/>
          <w:sz w:val="22"/>
          <w:szCs w:val="22"/>
        </w:rPr>
        <w:t>...................................(</w:t>
      </w:r>
      <w:r>
        <w:rPr>
          <w:rStyle w:val="36"/>
          <w:rFonts w:ascii="Calibri" w:hAnsi="Calibri" w:cs="Arial"/>
          <w:b w:val="0"/>
          <w:bCs w:val="0"/>
          <w:sz w:val="22"/>
          <w:szCs w:val="22"/>
        </w:rPr>
        <w:t>1</w:t>
      </w:r>
      <w:r>
        <w:rPr>
          <w:rStyle w:val="36"/>
          <w:rFonts w:hint="eastAsia" w:ascii="Calibri" w:hAnsi="Calibri" w:cs="Arial"/>
          <w:b w:val="0"/>
          <w:bCs w:val="0"/>
          <w:sz w:val="22"/>
          <w:szCs w:val="22"/>
        </w:rPr>
        <w:t>2</w:t>
      </w:r>
      <w:r>
        <w:rPr>
          <w:rStyle w:val="36"/>
          <w:rFonts w:ascii="Calibri" w:hAnsi="Calibri" w:eastAsia="等线" w:cs="Arial"/>
          <w:b w:val="0"/>
          <w:bCs w:val="0"/>
          <w:sz w:val="22"/>
          <w:szCs w:val="22"/>
        </w:rPr>
        <w:t>)</w:t>
      </w:r>
    </w:p>
    <w:p>
      <w:pPr>
        <w:snapToGrid w:val="0"/>
        <w:spacing w:line="480" w:lineRule="auto"/>
        <w:ind w:firstLine="641"/>
        <w:jc w:val="distribute"/>
        <w:rPr>
          <w:rFonts w:ascii="Calibri" w:hAnsi="Calibri"/>
          <w:b/>
          <w:bCs/>
          <w:sz w:val="22"/>
          <w:szCs w:val="22"/>
        </w:rPr>
      </w:pPr>
      <w:r>
        <w:rPr>
          <w:rStyle w:val="36"/>
          <w:rFonts w:hint="eastAsia" w:ascii="宋体" w:hAnsi="宋体" w:cs="Arial"/>
          <w:b w:val="0"/>
          <w:bCs w:val="0"/>
          <w:sz w:val="22"/>
          <w:szCs w:val="22"/>
        </w:rPr>
        <w:t>（八）国有资本经营预算财政拨款支出决算总体情况说明</w:t>
      </w:r>
      <w:r>
        <w:rPr>
          <w:rStyle w:val="36"/>
          <w:rFonts w:ascii="Calibri" w:hAnsi="Calibri" w:eastAsia="等线" w:cs="Arial"/>
          <w:b w:val="0"/>
          <w:bCs w:val="0"/>
          <w:sz w:val="22"/>
          <w:szCs w:val="22"/>
        </w:rPr>
        <w:t>...............................(</w:t>
      </w:r>
      <w:r>
        <w:rPr>
          <w:rStyle w:val="36"/>
          <w:rFonts w:ascii="Calibri" w:hAnsi="Calibri" w:cs="Arial"/>
          <w:b w:val="0"/>
          <w:bCs w:val="0"/>
          <w:sz w:val="22"/>
          <w:szCs w:val="22"/>
        </w:rPr>
        <w:t>1</w:t>
      </w:r>
      <w:r>
        <w:rPr>
          <w:rStyle w:val="36"/>
          <w:rFonts w:hint="eastAsia" w:ascii="Calibri" w:hAnsi="Calibri" w:cs="Arial"/>
          <w:b w:val="0"/>
          <w:bCs w:val="0"/>
          <w:sz w:val="22"/>
          <w:szCs w:val="22"/>
        </w:rPr>
        <w:t>3</w:t>
      </w:r>
      <w:r>
        <w:rPr>
          <w:rStyle w:val="36"/>
          <w:rFonts w:ascii="Calibri" w:hAnsi="Calibri" w:eastAsia="等线" w:cs="Arial"/>
          <w:b w:val="0"/>
          <w:bCs w:val="0"/>
          <w:sz w:val="22"/>
          <w:szCs w:val="22"/>
        </w:rPr>
        <w:t>)</w:t>
      </w:r>
    </w:p>
    <w:p>
      <w:pPr>
        <w:snapToGrid w:val="0"/>
        <w:spacing w:line="480" w:lineRule="auto"/>
        <w:ind w:firstLine="641"/>
        <w:jc w:val="distribute"/>
        <w:rPr>
          <w:rFonts w:ascii="Calibri" w:hAnsi="Calibri"/>
          <w:b/>
          <w:bCs/>
          <w:sz w:val="22"/>
          <w:szCs w:val="22"/>
        </w:rPr>
      </w:pPr>
      <w:r>
        <w:rPr>
          <w:rStyle w:val="36"/>
          <w:rFonts w:hint="eastAsia" w:ascii="宋体" w:hAnsi="宋体" w:cs="Arial"/>
          <w:b w:val="0"/>
          <w:bCs w:val="0"/>
          <w:sz w:val="22"/>
          <w:szCs w:val="22"/>
        </w:rPr>
        <w:t>（九）一般公共预算财政拨款</w:t>
      </w:r>
      <w:r>
        <w:rPr>
          <w:rStyle w:val="36"/>
          <w:rFonts w:ascii="Calibri" w:hAnsi="Calibri" w:eastAsia="等线" w:cs="Arial"/>
          <w:b w:val="0"/>
          <w:bCs w:val="0"/>
          <w:sz w:val="22"/>
          <w:szCs w:val="22"/>
        </w:rPr>
        <w:t>“</w:t>
      </w:r>
      <w:r>
        <w:rPr>
          <w:rStyle w:val="36"/>
          <w:rFonts w:hint="eastAsia" w:ascii="宋体" w:hAnsi="宋体" w:cs="Arial"/>
          <w:b w:val="0"/>
          <w:bCs w:val="0"/>
          <w:sz w:val="22"/>
          <w:szCs w:val="22"/>
        </w:rPr>
        <w:t>三公</w:t>
      </w:r>
      <w:r>
        <w:rPr>
          <w:rStyle w:val="36"/>
          <w:rFonts w:ascii="Calibri" w:hAnsi="Calibri" w:eastAsia="等线" w:cs="Arial"/>
          <w:b w:val="0"/>
          <w:bCs w:val="0"/>
          <w:sz w:val="22"/>
          <w:szCs w:val="22"/>
        </w:rPr>
        <w:t>”</w:t>
      </w:r>
      <w:r>
        <w:rPr>
          <w:rStyle w:val="36"/>
          <w:rFonts w:hint="eastAsia" w:ascii="宋体" w:hAnsi="宋体" w:cs="Arial"/>
          <w:b w:val="0"/>
          <w:bCs w:val="0"/>
          <w:sz w:val="22"/>
          <w:szCs w:val="22"/>
        </w:rPr>
        <w:t>经费支出决算情况说明</w:t>
      </w:r>
      <w:r>
        <w:rPr>
          <w:rStyle w:val="36"/>
          <w:rFonts w:ascii="Calibri" w:hAnsi="Calibri" w:eastAsia="等线" w:cs="Arial"/>
          <w:b w:val="0"/>
          <w:bCs w:val="0"/>
          <w:sz w:val="22"/>
          <w:szCs w:val="22"/>
        </w:rPr>
        <w:t>.........................(</w:t>
      </w:r>
      <w:r>
        <w:rPr>
          <w:rStyle w:val="36"/>
          <w:rFonts w:ascii="Calibri" w:hAnsi="Calibri" w:cs="Arial"/>
          <w:b w:val="0"/>
          <w:bCs w:val="0"/>
          <w:sz w:val="22"/>
          <w:szCs w:val="22"/>
        </w:rPr>
        <w:t>1</w:t>
      </w:r>
      <w:r>
        <w:rPr>
          <w:rStyle w:val="36"/>
          <w:rFonts w:hint="eastAsia" w:ascii="Calibri" w:hAnsi="Calibri" w:cs="Arial"/>
          <w:b w:val="0"/>
          <w:bCs w:val="0"/>
          <w:sz w:val="22"/>
          <w:szCs w:val="22"/>
        </w:rPr>
        <w:t>4</w:t>
      </w:r>
      <w:r>
        <w:rPr>
          <w:rStyle w:val="36"/>
          <w:rFonts w:ascii="Calibri" w:hAnsi="Calibri" w:eastAsia="等线" w:cs="Arial"/>
          <w:b w:val="0"/>
          <w:bCs w:val="0"/>
          <w:sz w:val="22"/>
          <w:szCs w:val="22"/>
        </w:rPr>
        <w:t>)</w:t>
      </w:r>
    </w:p>
    <w:p>
      <w:pPr>
        <w:snapToGrid w:val="0"/>
        <w:spacing w:line="480" w:lineRule="auto"/>
        <w:ind w:firstLine="641"/>
        <w:jc w:val="distribute"/>
        <w:rPr>
          <w:rFonts w:ascii="Calibri" w:hAnsi="Calibri"/>
          <w:b/>
          <w:bCs/>
          <w:sz w:val="22"/>
          <w:szCs w:val="22"/>
        </w:rPr>
      </w:pPr>
      <w:r>
        <w:rPr>
          <w:rStyle w:val="36"/>
          <w:rFonts w:hint="eastAsia" w:ascii="宋体" w:hAnsi="宋体" w:cs="Arial"/>
          <w:b w:val="0"/>
          <w:bCs w:val="0"/>
          <w:sz w:val="22"/>
          <w:szCs w:val="22"/>
        </w:rPr>
        <w:t>（十）机关运行经费支出说明</w:t>
      </w:r>
      <w:r>
        <w:rPr>
          <w:rStyle w:val="36"/>
          <w:rFonts w:ascii="Calibri" w:hAnsi="Calibri" w:eastAsia="等线" w:cs="Arial"/>
          <w:b w:val="0"/>
          <w:bCs w:val="0"/>
          <w:sz w:val="22"/>
          <w:szCs w:val="22"/>
        </w:rPr>
        <w:t>..........................................................................(</w:t>
      </w:r>
      <w:r>
        <w:rPr>
          <w:rStyle w:val="36"/>
          <w:rFonts w:ascii="Calibri" w:hAnsi="Calibri" w:cs="Arial"/>
          <w:b w:val="0"/>
          <w:bCs w:val="0"/>
          <w:sz w:val="22"/>
          <w:szCs w:val="22"/>
        </w:rPr>
        <w:t>1</w:t>
      </w:r>
      <w:r>
        <w:rPr>
          <w:rStyle w:val="36"/>
          <w:rFonts w:hint="eastAsia" w:ascii="Calibri" w:hAnsi="Calibri" w:cs="Arial"/>
          <w:b w:val="0"/>
          <w:bCs w:val="0"/>
          <w:sz w:val="22"/>
          <w:szCs w:val="22"/>
        </w:rPr>
        <w:t>5</w:t>
      </w:r>
      <w:r>
        <w:rPr>
          <w:rStyle w:val="36"/>
          <w:rFonts w:ascii="Calibri" w:hAnsi="Calibri" w:eastAsia="等线" w:cs="Arial"/>
          <w:b w:val="0"/>
          <w:bCs w:val="0"/>
          <w:sz w:val="22"/>
          <w:szCs w:val="22"/>
        </w:rPr>
        <w:t>)</w:t>
      </w:r>
    </w:p>
    <w:p>
      <w:pPr>
        <w:snapToGrid w:val="0"/>
        <w:spacing w:line="480" w:lineRule="auto"/>
        <w:ind w:firstLine="641"/>
        <w:jc w:val="distribute"/>
        <w:rPr>
          <w:rFonts w:ascii="Calibri" w:hAnsi="Calibri"/>
          <w:b/>
          <w:bCs/>
          <w:sz w:val="22"/>
          <w:szCs w:val="22"/>
        </w:rPr>
      </w:pPr>
      <w:r>
        <w:rPr>
          <w:rStyle w:val="36"/>
          <w:rFonts w:hint="eastAsia" w:ascii="宋体" w:hAnsi="宋体" w:cs="Arial"/>
          <w:b w:val="0"/>
          <w:bCs w:val="0"/>
          <w:sz w:val="22"/>
          <w:szCs w:val="22"/>
        </w:rPr>
        <w:t>（十一）政府采购支出说明</w:t>
      </w:r>
      <w:r>
        <w:rPr>
          <w:rStyle w:val="36"/>
          <w:rFonts w:ascii="Calibri" w:hAnsi="Calibri" w:eastAsia="等线" w:cs="Arial"/>
          <w:b w:val="0"/>
          <w:bCs w:val="0"/>
          <w:sz w:val="22"/>
          <w:szCs w:val="22"/>
        </w:rPr>
        <w:t>.............................................................................(1</w:t>
      </w:r>
      <w:r>
        <w:rPr>
          <w:rStyle w:val="36"/>
          <w:rFonts w:hint="eastAsia" w:ascii="Calibri" w:hAnsi="Calibri" w:cs="Arial"/>
          <w:b w:val="0"/>
          <w:bCs w:val="0"/>
          <w:sz w:val="22"/>
          <w:szCs w:val="22"/>
        </w:rPr>
        <w:t>6</w:t>
      </w:r>
      <w:r>
        <w:rPr>
          <w:rStyle w:val="36"/>
          <w:rFonts w:ascii="Calibri" w:hAnsi="Calibri" w:eastAsia="等线" w:cs="Arial"/>
          <w:b w:val="0"/>
          <w:bCs w:val="0"/>
          <w:sz w:val="22"/>
          <w:szCs w:val="22"/>
        </w:rPr>
        <w:t>)</w:t>
      </w:r>
    </w:p>
    <w:p>
      <w:pPr>
        <w:snapToGrid w:val="0"/>
        <w:spacing w:line="480" w:lineRule="auto"/>
        <w:ind w:firstLine="641"/>
        <w:jc w:val="distribute"/>
        <w:rPr>
          <w:rFonts w:ascii="Calibri" w:hAnsi="Calibri"/>
          <w:b/>
          <w:bCs/>
          <w:sz w:val="22"/>
          <w:szCs w:val="22"/>
        </w:rPr>
      </w:pPr>
      <w:r>
        <w:rPr>
          <w:rStyle w:val="36"/>
          <w:rFonts w:hint="eastAsia" w:ascii="宋体" w:hAnsi="宋体" w:cs="Arial"/>
          <w:b w:val="0"/>
          <w:bCs w:val="0"/>
          <w:sz w:val="22"/>
          <w:szCs w:val="22"/>
        </w:rPr>
        <w:t>（十二）国有资产占有情况说明</w:t>
      </w:r>
      <w:r>
        <w:rPr>
          <w:rStyle w:val="36"/>
          <w:rFonts w:ascii="Calibri" w:hAnsi="Calibri" w:eastAsia="等线" w:cs="Arial"/>
          <w:b w:val="0"/>
          <w:bCs w:val="0"/>
          <w:sz w:val="22"/>
          <w:szCs w:val="22"/>
        </w:rPr>
        <w:t>......................................................................(1</w:t>
      </w:r>
      <w:r>
        <w:rPr>
          <w:rStyle w:val="36"/>
          <w:rFonts w:hint="eastAsia" w:ascii="Calibri" w:hAnsi="Calibri" w:cs="Arial"/>
          <w:b w:val="0"/>
          <w:bCs w:val="0"/>
          <w:sz w:val="22"/>
          <w:szCs w:val="22"/>
        </w:rPr>
        <w:t>6</w:t>
      </w:r>
      <w:r>
        <w:rPr>
          <w:rStyle w:val="36"/>
          <w:rFonts w:ascii="Calibri" w:hAnsi="Calibri" w:eastAsia="等线" w:cs="Arial"/>
          <w:b w:val="0"/>
          <w:bCs w:val="0"/>
          <w:sz w:val="22"/>
          <w:szCs w:val="22"/>
        </w:rPr>
        <w:t>)</w:t>
      </w:r>
    </w:p>
    <w:p>
      <w:pPr>
        <w:snapToGrid w:val="0"/>
        <w:spacing w:line="480" w:lineRule="auto"/>
        <w:ind w:firstLine="641"/>
        <w:jc w:val="distribute"/>
        <w:rPr>
          <w:rFonts w:ascii="Calibri" w:hAnsi="Calibri"/>
          <w:b/>
          <w:bCs/>
          <w:sz w:val="22"/>
          <w:szCs w:val="22"/>
        </w:rPr>
      </w:pPr>
      <w:r>
        <w:rPr>
          <w:rStyle w:val="36"/>
          <w:rFonts w:hint="eastAsia" w:ascii="宋体" w:hAnsi="宋体" w:cs="Arial"/>
          <w:b w:val="0"/>
          <w:bCs w:val="0"/>
          <w:sz w:val="22"/>
          <w:szCs w:val="22"/>
        </w:rPr>
        <w:t>（十三）预算绩效情况说明</w:t>
      </w:r>
      <w:r>
        <w:rPr>
          <w:rStyle w:val="36"/>
          <w:rFonts w:ascii="Calibri" w:hAnsi="Calibri" w:eastAsia="等线" w:cs="Arial"/>
          <w:b w:val="0"/>
          <w:bCs w:val="0"/>
          <w:sz w:val="22"/>
          <w:szCs w:val="22"/>
        </w:rPr>
        <w:t>.............................................................................(1</w:t>
      </w:r>
      <w:r>
        <w:rPr>
          <w:rStyle w:val="36"/>
          <w:rFonts w:hint="eastAsia" w:ascii="Calibri" w:hAnsi="Calibri" w:cs="Arial"/>
          <w:b w:val="0"/>
          <w:bCs w:val="0"/>
          <w:sz w:val="22"/>
          <w:szCs w:val="22"/>
        </w:rPr>
        <w:t>6</w:t>
      </w:r>
      <w:r>
        <w:rPr>
          <w:rStyle w:val="36"/>
          <w:rFonts w:ascii="Calibri" w:hAnsi="Calibri" w:eastAsia="等线" w:cs="Arial"/>
          <w:b w:val="0"/>
          <w:bCs w:val="0"/>
          <w:sz w:val="22"/>
          <w:szCs w:val="22"/>
        </w:rPr>
        <w:t>)</w:t>
      </w:r>
    </w:p>
    <w:p>
      <w:pPr>
        <w:snapToGrid w:val="0"/>
        <w:spacing w:line="480" w:lineRule="auto"/>
        <w:ind w:firstLine="641"/>
        <w:jc w:val="distribute"/>
        <w:rPr>
          <w:rFonts w:ascii="Calibri" w:hAnsi="Calibri" w:eastAsia="等线" w:cs="Arial"/>
          <w:sz w:val="22"/>
          <w:szCs w:val="22"/>
        </w:rPr>
      </w:pPr>
      <w:r>
        <w:rPr>
          <w:rStyle w:val="36"/>
          <w:rFonts w:hint="eastAsia" w:ascii="宋体" w:hAnsi="宋体" w:cs="Arial"/>
          <w:sz w:val="22"/>
          <w:szCs w:val="22"/>
        </w:rPr>
        <w:t>四、名词解释</w:t>
      </w:r>
      <w:r>
        <w:rPr>
          <w:rStyle w:val="36"/>
          <w:rFonts w:ascii="Calibri" w:hAnsi="Calibri" w:eastAsia="等线" w:cs="Arial"/>
          <w:sz w:val="22"/>
          <w:szCs w:val="22"/>
        </w:rPr>
        <w:t>..................................................................................................(</w:t>
      </w:r>
      <w:r>
        <w:rPr>
          <w:rStyle w:val="36"/>
          <w:rFonts w:ascii="Calibri" w:hAnsi="Calibri" w:cs="Arial"/>
          <w:sz w:val="22"/>
          <w:szCs w:val="22"/>
        </w:rPr>
        <w:t>20</w:t>
      </w:r>
      <w:r>
        <w:rPr>
          <w:rStyle w:val="36"/>
          <w:rFonts w:ascii="Calibri" w:hAnsi="Calibri" w:eastAsia="等线" w:cs="Arial"/>
          <w:sz w:val="22"/>
          <w:szCs w:val="22"/>
        </w:rPr>
        <w:t>)</w:t>
      </w:r>
    </w:p>
    <w:p>
      <w:pPr>
        <w:snapToGrid w:val="0"/>
      </w:pPr>
      <w:r>
        <w:rPr>
          <w:rFonts w:ascii="Calibri" w:hAnsi="Calibri"/>
        </w:rPr>
        <w:br w:type="page"/>
      </w:r>
    </w:p>
    <w:p>
      <w:pPr>
        <w:adjustRightInd w:val="0"/>
        <w:snapToGrid w:val="0"/>
        <w:spacing w:line="540" w:lineRule="exact"/>
        <w:ind w:firstLine="640"/>
        <w:jc w:val="both"/>
        <w:rPr>
          <w:rFonts w:eastAsia="仿宋" w:asciiTheme="minorHAnsi" w:hAnsiTheme="minorHAnsi"/>
        </w:rPr>
      </w:pPr>
      <w:r>
        <w:rPr>
          <w:rStyle w:val="36"/>
          <w:rFonts w:hAnsi="仿宋" w:eastAsia="仿宋" w:cs="Arial" w:asciiTheme="minorHAnsi"/>
          <w:sz w:val="32"/>
          <w:szCs w:val="32"/>
        </w:rPr>
        <w:t>一、概况</w:t>
      </w:r>
    </w:p>
    <w:p>
      <w:pPr>
        <w:adjustRightInd w:val="0"/>
        <w:snapToGrid w:val="0"/>
        <w:spacing w:before="240" w:line="540" w:lineRule="exact"/>
        <w:ind w:firstLine="640"/>
        <w:jc w:val="both"/>
        <w:rPr>
          <w:rFonts w:eastAsia="仿宋" w:cs="Arial" w:asciiTheme="minorHAnsi" w:hAnsiTheme="minorHAnsi"/>
          <w:sz w:val="32"/>
          <w:szCs w:val="32"/>
        </w:rPr>
      </w:pPr>
      <w:r>
        <w:rPr>
          <w:rStyle w:val="36"/>
          <w:rFonts w:hAnsi="仿宋" w:eastAsia="仿宋" w:cs="Arial" w:asciiTheme="minorHAnsi"/>
          <w:sz w:val="32"/>
          <w:szCs w:val="32"/>
        </w:rPr>
        <w:t>（一）部门职责</w:t>
      </w:r>
    </w:p>
    <w:p>
      <w:pPr>
        <w:adjustRightInd w:val="0"/>
        <w:snapToGrid w:val="0"/>
        <w:spacing w:before="240" w:line="540" w:lineRule="exact"/>
        <w:ind w:firstLine="640"/>
        <w:jc w:val="both"/>
        <w:rPr>
          <w:rFonts w:eastAsia="仿宋" w:asciiTheme="minorHAnsi" w:hAnsiTheme="minorHAnsi"/>
        </w:rPr>
      </w:pPr>
      <w:r>
        <w:rPr>
          <w:rFonts w:eastAsia="仿宋" w:cs="Arial" w:asciiTheme="minorHAnsi" w:hAnsiTheme="minorHAnsi"/>
          <w:sz w:val="32"/>
          <w:szCs w:val="32"/>
        </w:rPr>
        <w:t>1</w:t>
      </w:r>
      <w:r>
        <w:rPr>
          <w:rFonts w:hAnsi="仿宋" w:eastAsia="仿宋" w:cs="Arial" w:asciiTheme="minorHAnsi"/>
          <w:sz w:val="32"/>
          <w:szCs w:val="32"/>
        </w:rPr>
        <w:t>、推进区域发展。负责落实区域经济社会发展的重大决策和建设规划，参与辖区公区服务设施建设规划，推动辖区健康有序可持续发展。</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2</w:t>
      </w:r>
      <w:r>
        <w:rPr>
          <w:rFonts w:hAnsi="仿宋" w:eastAsia="仿宋" w:cs="Arial" w:asciiTheme="minorHAnsi"/>
          <w:sz w:val="32"/>
          <w:szCs w:val="32"/>
        </w:rPr>
        <w:t>、组织公共服务。组织实施与人民群众生活密切相关的各项公共服务，落实人力社保、民政、教育、文化、体育、卫生健康等方面相关政策。</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3</w:t>
      </w:r>
      <w:r>
        <w:rPr>
          <w:rFonts w:hAnsi="仿宋" w:eastAsia="仿宋" w:cs="Arial" w:asciiTheme="minorHAnsi"/>
          <w:sz w:val="32"/>
          <w:szCs w:val="32"/>
        </w:rPr>
        <w:t>、实施综合管理。落实辖区内村镇管理、人口管理、社会管理等工作，承担组织领导、推进实施、综合协调等职责。落实辖区内相关行政事务常态化管理。统筹协调区域内相关力量，协助做好监督检查等事中事后监管工作。组织开展群众监督和社会监督。</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4</w:t>
      </w:r>
      <w:r>
        <w:rPr>
          <w:rFonts w:hAnsi="仿宋" w:eastAsia="仿宋" w:cs="Arial" w:asciiTheme="minorHAnsi"/>
          <w:sz w:val="32"/>
          <w:szCs w:val="32"/>
        </w:rPr>
        <w:t>、领导基层自治。指导村委会等建设，组织人民群众和单位参与基层建设和管理，健全完善自治、法治、德治相结合的基层治理体系。</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5</w:t>
      </w:r>
      <w:r>
        <w:rPr>
          <w:rFonts w:hAnsi="仿宋" w:eastAsia="仿宋" w:cs="Arial" w:asciiTheme="minorHAnsi"/>
          <w:sz w:val="32"/>
          <w:szCs w:val="32"/>
        </w:rPr>
        <w:t>、维护安全稳定。承担辖区平安建设、社会治安综合治理、公共安全及安全生产监管等相关工作，处理群来信来访，反映社情民意，化解矛盾纠纷。</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6</w:t>
      </w:r>
      <w:r>
        <w:rPr>
          <w:rFonts w:hAnsi="仿宋" w:eastAsia="仿宋" w:cs="Arial" w:asciiTheme="minorHAnsi"/>
          <w:sz w:val="32"/>
          <w:szCs w:val="32"/>
        </w:rPr>
        <w:t>、动员社会参与。动员辖区内各类单位、社会组织和人民群众等社会力量参与基层治理，引导辖区单位履行社会责任，整治区域内各种社会力量服务发展。</w:t>
      </w:r>
    </w:p>
    <w:p>
      <w:pPr>
        <w:adjustRightInd w:val="0"/>
        <w:snapToGrid w:val="0"/>
        <w:spacing w:line="540" w:lineRule="exact"/>
        <w:ind w:firstLine="640"/>
        <w:jc w:val="both"/>
        <w:rPr>
          <w:rFonts w:hAnsi="仿宋" w:eastAsia="仿宋" w:cs="Arial" w:asciiTheme="minorHAnsi"/>
          <w:sz w:val="32"/>
          <w:szCs w:val="32"/>
        </w:rPr>
      </w:pPr>
      <w:r>
        <w:rPr>
          <w:rFonts w:eastAsia="仿宋" w:cs="Arial" w:asciiTheme="minorHAnsi" w:hAnsiTheme="minorHAnsi"/>
          <w:sz w:val="32"/>
          <w:szCs w:val="32"/>
        </w:rPr>
        <w:t>7</w:t>
      </w:r>
      <w:r>
        <w:rPr>
          <w:rFonts w:hAnsi="仿宋" w:eastAsia="仿宋" w:cs="Arial" w:asciiTheme="minorHAnsi"/>
          <w:sz w:val="32"/>
          <w:szCs w:val="32"/>
        </w:rPr>
        <w:t>、完成上级党委、政府交办的其他任务。</w:t>
      </w:r>
    </w:p>
    <w:p>
      <w:pPr>
        <w:pStyle w:val="2"/>
      </w:pPr>
      <w:r>
        <w:br w:type="page"/>
      </w:r>
    </w:p>
    <w:p>
      <w:pPr>
        <w:adjustRightInd w:val="0"/>
        <w:snapToGrid w:val="0"/>
        <w:spacing w:line="540" w:lineRule="exact"/>
        <w:ind w:firstLine="480" w:firstLineChars="150"/>
        <w:jc w:val="both"/>
        <w:rPr>
          <w:rFonts w:eastAsia="仿宋" w:asciiTheme="minorHAnsi" w:hAnsiTheme="minorHAnsi"/>
        </w:rPr>
      </w:pPr>
      <w:r>
        <w:rPr>
          <w:rStyle w:val="36"/>
          <w:rFonts w:hAnsi="仿宋" w:eastAsia="仿宋" w:cs="Arial" w:asciiTheme="minorHAnsi"/>
          <w:sz w:val="32"/>
          <w:szCs w:val="32"/>
        </w:rPr>
        <w:t>（二）机构设置</w:t>
      </w:r>
    </w:p>
    <w:p>
      <w:pPr>
        <w:adjustRightInd w:val="0"/>
        <w:snapToGrid w:val="0"/>
        <w:spacing w:line="540" w:lineRule="exact"/>
        <w:ind w:firstLine="640"/>
        <w:jc w:val="both"/>
        <w:rPr>
          <w:rFonts w:eastAsia="仿宋" w:asciiTheme="minorHAnsi" w:hAnsiTheme="minorHAnsi"/>
          <w:sz w:val="32"/>
          <w:szCs w:val="32"/>
          <w:highlight w:val="yellow"/>
        </w:rPr>
      </w:pPr>
      <w:r>
        <w:rPr>
          <w:rFonts w:hAnsi="仿宋" w:eastAsia="仿宋" w:asciiTheme="minorHAnsi"/>
          <w:sz w:val="32"/>
          <w:szCs w:val="32"/>
        </w:rPr>
        <w:t>从预算单位构成看，台州市温岭市城南镇人民政府部门决算包括：镇本级决算、</w:t>
      </w:r>
      <w:r>
        <w:rPr>
          <w:rFonts w:hAnsi="仿宋" w:eastAsia="仿宋" w:cs="仿宋" w:asciiTheme="minorHAnsi"/>
          <w:sz w:val="32"/>
          <w:szCs w:val="32"/>
        </w:rPr>
        <w:t>经济建设服务中心、农业综合服务中心、社会事业服务中心。</w:t>
      </w:r>
    </w:p>
    <w:p>
      <w:pPr>
        <w:adjustRightInd w:val="0"/>
        <w:snapToGrid w:val="0"/>
        <w:spacing w:line="540" w:lineRule="exact"/>
        <w:ind w:firstLine="640"/>
        <w:jc w:val="both"/>
        <w:rPr>
          <w:rFonts w:eastAsia="仿宋" w:asciiTheme="minorHAnsi" w:hAnsiTheme="minorHAnsi"/>
          <w:sz w:val="32"/>
          <w:szCs w:val="32"/>
        </w:rPr>
      </w:pPr>
      <w:r>
        <w:rPr>
          <w:rFonts w:hAnsi="仿宋" w:eastAsia="仿宋" w:asciiTheme="minorHAnsi"/>
          <w:sz w:val="32"/>
          <w:szCs w:val="32"/>
        </w:rPr>
        <w:t>纳入台州市温岭市城南镇人民政府</w:t>
      </w:r>
      <w:r>
        <w:rPr>
          <w:rFonts w:eastAsia="仿宋" w:cs="Arial" w:asciiTheme="minorHAnsi" w:hAnsiTheme="minorHAnsi"/>
          <w:sz w:val="32"/>
          <w:szCs w:val="32"/>
        </w:rPr>
        <w:t>2020</w:t>
      </w:r>
      <w:r>
        <w:rPr>
          <w:rFonts w:hAnsi="仿宋" w:eastAsia="仿宋" w:asciiTheme="minorHAnsi"/>
          <w:sz w:val="32"/>
          <w:szCs w:val="32"/>
        </w:rPr>
        <w:t>年度部门决算编制范围的二级预算单位包括：二级预算单位并入镇本级，由镇本级统一核算并编制决算报表。</w:t>
      </w:r>
    </w:p>
    <w:p>
      <w:pPr>
        <w:adjustRightInd w:val="0"/>
        <w:snapToGrid w:val="0"/>
        <w:spacing w:line="540" w:lineRule="exact"/>
        <w:ind w:firstLine="640"/>
        <w:jc w:val="both"/>
        <w:rPr>
          <w:rFonts w:eastAsia="仿宋" w:cs="仿宋" w:asciiTheme="minorHAnsi" w:hAnsiTheme="minorHAnsi"/>
          <w:sz w:val="32"/>
          <w:szCs w:val="32"/>
          <w:highlight w:val="yellow"/>
        </w:rPr>
      </w:pPr>
      <w:r>
        <w:rPr>
          <w:rFonts w:hAnsi="仿宋" w:eastAsia="仿宋" w:cs="Arial" w:asciiTheme="minorHAnsi"/>
          <w:sz w:val="32"/>
          <w:szCs w:val="32"/>
        </w:rPr>
        <w:t>从预算单位构成看，本单位内设：党政综合办公室、党建工作办公室、社会管理办公室（挂行政审批办公室牌子）、基层综合治理办公室（挂综合信息指挥室、</w:t>
      </w:r>
      <w:r>
        <w:rPr>
          <w:rFonts w:eastAsia="仿宋" w:cs="Arial" w:asciiTheme="minorHAnsi" w:hAnsiTheme="minorHAnsi"/>
          <w:sz w:val="32"/>
          <w:szCs w:val="32"/>
        </w:rPr>
        <w:t xml:space="preserve"> </w:t>
      </w:r>
      <w:r>
        <w:rPr>
          <w:rFonts w:hAnsi="仿宋" w:eastAsia="仿宋" w:cs="Arial" w:asciiTheme="minorHAnsi"/>
          <w:sz w:val="32"/>
          <w:szCs w:val="32"/>
        </w:rPr>
        <w:t>应急管理办公室牌子）、经济发展和规划建设办公室（经营管理和统计办公室）、村镇建设办公室（挂综合行政执法办公室、</w:t>
      </w:r>
      <w:r>
        <w:rPr>
          <w:rFonts w:eastAsia="仿宋" w:cs="Arial" w:asciiTheme="minorHAnsi" w:hAnsiTheme="minorHAnsi"/>
          <w:sz w:val="32"/>
          <w:szCs w:val="32"/>
        </w:rPr>
        <w:t xml:space="preserve"> </w:t>
      </w:r>
      <w:r>
        <w:rPr>
          <w:rFonts w:hAnsi="仿宋" w:eastAsia="仿宋" w:cs="Arial" w:asciiTheme="minorHAnsi"/>
          <w:sz w:val="32"/>
          <w:szCs w:val="32"/>
        </w:rPr>
        <w:t>生态环境办公室牌子）</w:t>
      </w:r>
      <w:r>
        <w:rPr>
          <w:rFonts w:hAnsi="仿宋" w:eastAsia="仿宋" w:cs="仿宋" w:asciiTheme="minorHAnsi"/>
          <w:sz w:val="32"/>
          <w:szCs w:val="32"/>
        </w:rPr>
        <w:t>。</w:t>
      </w:r>
    </w:p>
    <w:p>
      <w:pPr>
        <w:adjustRightInd w:val="0"/>
        <w:snapToGrid w:val="0"/>
        <w:spacing w:before="240" w:line="540" w:lineRule="exact"/>
        <w:ind w:firstLine="640"/>
        <w:jc w:val="both"/>
        <w:rPr>
          <w:rFonts w:eastAsia="仿宋" w:asciiTheme="minorHAnsi" w:hAnsiTheme="minorHAnsi"/>
        </w:rPr>
      </w:pPr>
      <w:r>
        <w:rPr>
          <w:rStyle w:val="36"/>
          <w:rFonts w:hAnsi="仿宋" w:eastAsia="仿宋" w:cs="Arial" w:asciiTheme="minorHAnsi"/>
          <w:sz w:val="32"/>
          <w:szCs w:val="32"/>
        </w:rPr>
        <w:t>二、</w:t>
      </w:r>
      <w:r>
        <w:rPr>
          <w:rStyle w:val="36"/>
          <w:rFonts w:eastAsia="仿宋" w:cs="Arial" w:asciiTheme="minorHAnsi" w:hAnsiTheme="minorHAnsi"/>
          <w:sz w:val="32"/>
          <w:szCs w:val="32"/>
        </w:rPr>
        <w:t>2020</w:t>
      </w:r>
      <w:r>
        <w:rPr>
          <w:rStyle w:val="36"/>
          <w:rFonts w:hAnsi="仿宋" w:eastAsia="仿宋" w:cs="Arial" w:asciiTheme="minorHAnsi"/>
          <w:sz w:val="32"/>
          <w:szCs w:val="32"/>
        </w:rPr>
        <w:t>年度部门决算公开表</w:t>
      </w:r>
    </w:p>
    <w:p>
      <w:pPr>
        <w:adjustRightInd w:val="0"/>
        <w:snapToGrid w:val="0"/>
        <w:spacing w:before="240" w:line="540" w:lineRule="exact"/>
        <w:ind w:firstLine="640"/>
        <w:jc w:val="both"/>
        <w:rPr>
          <w:rFonts w:eastAsia="仿宋" w:asciiTheme="minorHAnsi" w:hAnsiTheme="minorHAnsi"/>
        </w:rPr>
      </w:pPr>
      <w:r>
        <w:rPr>
          <w:rFonts w:hAnsi="仿宋" w:eastAsia="仿宋" w:cs="Arial" w:asciiTheme="minorHAnsi"/>
          <w:sz w:val="32"/>
          <w:szCs w:val="32"/>
        </w:rPr>
        <w:t>详见附件一。</w:t>
      </w:r>
    </w:p>
    <w:p>
      <w:pPr>
        <w:adjustRightInd w:val="0"/>
        <w:snapToGrid w:val="0"/>
        <w:spacing w:before="240" w:line="540" w:lineRule="exact"/>
        <w:ind w:firstLine="640"/>
        <w:jc w:val="both"/>
        <w:rPr>
          <w:rFonts w:eastAsia="仿宋" w:asciiTheme="minorHAnsi" w:hAnsiTheme="minorHAnsi"/>
        </w:rPr>
      </w:pPr>
      <w:r>
        <w:rPr>
          <w:rStyle w:val="36"/>
          <w:rFonts w:hAnsi="仿宋" w:eastAsia="仿宋" w:cs="Arial" w:asciiTheme="minorHAnsi"/>
          <w:sz w:val="32"/>
          <w:szCs w:val="32"/>
        </w:rPr>
        <w:t>三、</w:t>
      </w:r>
      <w:r>
        <w:rPr>
          <w:rStyle w:val="36"/>
          <w:rFonts w:eastAsia="仿宋" w:cs="Arial" w:asciiTheme="minorHAnsi" w:hAnsiTheme="minorHAnsi"/>
          <w:sz w:val="32"/>
          <w:szCs w:val="32"/>
        </w:rPr>
        <w:t>2020</w:t>
      </w:r>
      <w:r>
        <w:rPr>
          <w:rStyle w:val="36"/>
          <w:rFonts w:hAnsi="仿宋" w:eastAsia="仿宋" w:cs="Arial" w:asciiTheme="minorHAnsi"/>
          <w:sz w:val="32"/>
          <w:szCs w:val="32"/>
        </w:rPr>
        <w:t>年度部门决算情况说明</w:t>
      </w:r>
    </w:p>
    <w:p>
      <w:pPr>
        <w:adjustRightInd w:val="0"/>
        <w:snapToGrid w:val="0"/>
        <w:spacing w:line="540" w:lineRule="exact"/>
        <w:ind w:firstLine="640"/>
        <w:jc w:val="both"/>
        <w:rPr>
          <w:rFonts w:eastAsia="仿宋" w:asciiTheme="minorHAnsi" w:hAnsiTheme="minorHAnsi"/>
        </w:rPr>
      </w:pPr>
      <w:r>
        <w:rPr>
          <w:rStyle w:val="36"/>
          <w:rFonts w:hAnsi="仿宋" w:eastAsia="仿宋" w:cs="Arial" w:asciiTheme="minorHAnsi"/>
          <w:sz w:val="32"/>
          <w:szCs w:val="32"/>
        </w:rPr>
        <w:t>（一）收入支出决算总体情况说明</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2020</w:t>
      </w:r>
      <w:r>
        <w:rPr>
          <w:rFonts w:hAnsi="仿宋" w:eastAsia="仿宋" w:cs="Arial" w:asciiTheme="minorHAnsi"/>
          <w:sz w:val="32"/>
          <w:szCs w:val="32"/>
        </w:rPr>
        <w:t>年度收入总计</w:t>
      </w:r>
      <w:r>
        <w:rPr>
          <w:rFonts w:eastAsia="仿宋" w:cs="Arial" w:asciiTheme="minorHAnsi" w:hAnsiTheme="minorHAnsi"/>
          <w:sz w:val="32"/>
          <w:szCs w:val="32"/>
        </w:rPr>
        <w:t>11,156.57</w:t>
      </w:r>
      <w:r>
        <w:rPr>
          <w:rFonts w:hAnsi="仿宋" w:eastAsia="仿宋" w:cs="Arial" w:asciiTheme="minorHAnsi"/>
          <w:sz w:val="32"/>
          <w:szCs w:val="32"/>
        </w:rPr>
        <w:t>万元，支出总计</w:t>
      </w:r>
      <w:r>
        <w:rPr>
          <w:rFonts w:eastAsia="仿宋" w:cs="Arial" w:asciiTheme="minorHAnsi" w:hAnsiTheme="minorHAnsi"/>
          <w:sz w:val="32"/>
          <w:szCs w:val="32"/>
        </w:rPr>
        <w:t>11,156.57</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与</w:t>
      </w:r>
      <w:r>
        <w:rPr>
          <w:rFonts w:eastAsia="仿宋" w:cs="Arial" w:asciiTheme="minorHAnsi" w:hAnsiTheme="minorHAnsi"/>
          <w:sz w:val="32"/>
          <w:szCs w:val="32"/>
        </w:rPr>
        <w:t>2019</w:t>
      </w:r>
      <w:r>
        <w:rPr>
          <w:rFonts w:hAnsi="仿宋" w:eastAsia="仿宋" w:cs="Arial" w:asciiTheme="minorHAnsi"/>
          <w:sz w:val="32"/>
          <w:szCs w:val="32"/>
        </w:rPr>
        <w:t>年度相比，减少</w:t>
      </w:r>
      <w:r>
        <w:rPr>
          <w:rFonts w:eastAsia="仿宋" w:cs="Arial" w:asciiTheme="minorHAnsi" w:hAnsiTheme="minorHAnsi"/>
          <w:sz w:val="32"/>
          <w:szCs w:val="32"/>
        </w:rPr>
        <w:t>2,272.28</w:t>
      </w:r>
      <w:r>
        <w:rPr>
          <w:rFonts w:hAnsi="仿宋" w:eastAsia="仿宋" w:cs="Arial" w:asciiTheme="minorHAnsi"/>
          <w:sz w:val="32"/>
          <w:szCs w:val="32"/>
        </w:rPr>
        <w:t>万元，下降</w:t>
      </w:r>
      <w:r>
        <w:rPr>
          <w:rFonts w:eastAsia="仿宋" w:cs="Arial" w:asciiTheme="minorHAnsi" w:hAnsiTheme="minorHAnsi"/>
          <w:sz w:val="32"/>
          <w:szCs w:val="32"/>
        </w:rPr>
        <w:t>16.92%</w:t>
      </w:r>
      <w:r>
        <w:rPr>
          <w:rFonts w:hAnsi="仿宋" w:eastAsia="仿宋" w:cs="Arial" w:asciiTheme="minorHAnsi"/>
          <w:sz w:val="32"/>
          <w:szCs w:val="32"/>
        </w:rPr>
        <w:t>。主要原因是：建设项目有所减少，政府性基金收入根据项目安排进行了调整，</w:t>
      </w:r>
      <w:r>
        <w:rPr>
          <w:rFonts w:eastAsia="仿宋" w:cs="Arial" w:asciiTheme="minorHAnsi" w:hAnsiTheme="minorHAnsi"/>
          <w:sz w:val="32"/>
          <w:szCs w:val="32"/>
        </w:rPr>
        <w:t>2020</w:t>
      </w:r>
      <w:r>
        <w:rPr>
          <w:rFonts w:hAnsi="仿宋" w:eastAsia="仿宋" w:cs="Arial" w:asciiTheme="minorHAnsi"/>
          <w:sz w:val="32"/>
          <w:szCs w:val="32"/>
        </w:rPr>
        <w:t>年收入支出相对应减少。</w:t>
      </w:r>
    </w:p>
    <w:p>
      <w:pPr>
        <w:adjustRightInd w:val="0"/>
        <w:snapToGrid w:val="0"/>
        <w:spacing w:line="540" w:lineRule="exact"/>
        <w:ind w:firstLine="640"/>
        <w:jc w:val="both"/>
        <w:rPr>
          <w:rFonts w:eastAsia="仿宋" w:asciiTheme="minorHAnsi" w:hAnsiTheme="minorHAnsi"/>
        </w:rPr>
      </w:pPr>
      <w:r>
        <w:rPr>
          <w:rStyle w:val="36"/>
          <w:rFonts w:hAnsi="仿宋" w:eastAsia="仿宋" w:cs="Arial" w:asciiTheme="minorHAnsi"/>
          <w:sz w:val="32"/>
          <w:szCs w:val="32"/>
        </w:rPr>
        <w:t>（二）收入决算情况说明</w:t>
      </w:r>
    </w:p>
    <w:p>
      <w:pPr>
        <w:adjustRightInd w:val="0"/>
        <w:snapToGrid w:val="0"/>
        <w:spacing w:line="540" w:lineRule="exact"/>
        <w:ind w:firstLine="640"/>
        <w:jc w:val="both"/>
        <w:rPr>
          <w:rFonts w:eastAsia="仿宋" w:cs="Arial" w:asciiTheme="minorHAnsi" w:hAnsiTheme="minorHAnsi"/>
          <w:sz w:val="32"/>
          <w:szCs w:val="32"/>
        </w:rPr>
      </w:pPr>
      <w:r>
        <w:rPr>
          <w:rFonts w:hAnsi="仿宋" w:eastAsia="仿宋" w:cs="Arial" w:asciiTheme="minorHAnsi"/>
          <w:sz w:val="32"/>
          <w:szCs w:val="32"/>
        </w:rPr>
        <w:t>本年收入合计</w:t>
      </w:r>
      <w:r>
        <w:rPr>
          <w:rFonts w:eastAsia="仿宋" w:cs="Arial" w:asciiTheme="minorHAnsi" w:hAnsiTheme="minorHAnsi"/>
          <w:sz w:val="32"/>
          <w:szCs w:val="32"/>
        </w:rPr>
        <w:t>11,034.82</w:t>
      </w:r>
      <w:r>
        <w:rPr>
          <w:rFonts w:hAnsi="仿宋" w:eastAsia="仿宋" w:cs="Arial" w:asciiTheme="minorHAnsi"/>
          <w:sz w:val="32"/>
          <w:szCs w:val="32"/>
        </w:rPr>
        <w:t>万元；包括财政拨款收入</w:t>
      </w:r>
      <w:r>
        <w:rPr>
          <w:rFonts w:eastAsia="仿宋" w:cs="Arial" w:asciiTheme="minorHAnsi" w:hAnsiTheme="minorHAnsi"/>
          <w:sz w:val="32"/>
          <w:szCs w:val="32"/>
        </w:rPr>
        <w:t>10,018.70</w:t>
      </w:r>
      <w:r>
        <w:rPr>
          <w:rFonts w:hAnsi="仿宋" w:eastAsia="仿宋" w:cs="Arial" w:asciiTheme="minorHAnsi"/>
          <w:sz w:val="32"/>
          <w:szCs w:val="32"/>
        </w:rPr>
        <w:t>万元（其中，一般公共预算</w:t>
      </w:r>
      <w:r>
        <w:rPr>
          <w:rFonts w:eastAsia="仿宋" w:cs="Arial" w:asciiTheme="minorHAnsi" w:hAnsiTheme="minorHAnsi"/>
          <w:sz w:val="32"/>
          <w:szCs w:val="32"/>
        </w:rPr>
        <w:t>5,982.05</w:t>
      </w:r>
      <w:r>
        <w:rPr>
          <w:rFonts w:hAnsi="仿宋" w:eastAsia="仿宋" w:cs="Arial" w:asciiTheme="minorHAnsi"/>
          <w:sz w:val="32"/>
          <w:szCs w:val="32"/>
        </w:rPr>
        <w:t>万元，政府性基金预算</w:t>
      </w:r>
      <w:r>
        <w:rPr>
          <w:rFonts w:eastAsia="仿宋" w:cs="Arial" w:asciiTheme="minorHAnsi" w:hAnsiTheme="minorHAnsi"/>
          <w:sz w:val="32"/>
          <w:szCs w:val="32"/>
        </w:rPr>
        <w:t>4,036.65</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国有资本经营预算</w:t>
      </w:r>
      <w:r>
        <w:rPr>
          <w:rFonts w:eastAsia="仿宋" w:cs="Arial" w:asciiTheme="minorHAnsi" w:hAnsiTheme="minorHAnsi"/>
          <w:sz w:val="32"/>
          <w:szCs w:val="32"/>
        </w:rPr>
        <w:t>0</w:t>
      </w:r>
      <w:r>
        <w:rPr>
          <w:rFonts w:hAnsi="仿宋" w:eastAsia="仿宋" w:cs="Arial" w:asciiTheme="minorHAnsi"/>
          <w:sz w:val="32"/>
          <w:szCs w:val="32"/>
        </w:rPr>
        <w:t>万元），占收入合计</w:t>
      </w:r>
      <w:r>
        <w:rPr>
          <w:rFonts w:eastAsia="仿宋" w:cs="Arial" w:asciiTheme="minorHAnsi" w:hAnsiTheme="minorHAnsi"/>
          <w:sz w:val="32"/>
          <w:szCs w:val="32"/>
        </w:rPr>
        <w:t>90.79%</w:t>
      </w:r>
      <w:r>
        <w:rPr>
          <w:rFonts w:hAnsi="仿宋" w:eastAsia="仿宋" w:cs="Arial" w:asciiTheme="minorHAnsi"/>
          <w:sz w:val="32"/>
          <w:szCs w:val="32"/>
        </w:rPr>
        <w:t>；上级补助收入</w:t>
      </w:r>
      <w:r>
        <w:rPr>
          <w:rFonts w:eastAsia="仿宋" w:cs="Arial" w:asciiTheme="minorHAnsi" w:hAnsiTheme="minorHAnsi"/>
          <w:sz w:val="32"/>
          <w:szCs w:val="32"/>
        </w:rPr>
        <w:t>0</w:t>
      </w:r>
      <w:r>
        <w:rPr>
          <w:rFonts w:hAnsi="仿宋" w:eastAsia="仿宋" w:cs="Arial" w:asciiTheme="minorHAnsi"/>
          <w:sz w:val="32"/>
          <w:szCs w:val="32"/>
        </w:rPr>
        <w:t>万元，占收入合计</w:t>
      </w:r>
      <w:r>
        <w:rPr>
          <w:rFonts w:eastAsia="仿宋" w:cs="Arial" w:asciiTheme="minorHAnsi" w:hAnsiTheme="minorHAnsi"/>
          <w:sz w:val="32"/>
          <w:szCs w:val="32"/>
        </w:rPr>
        <w:t>0%</w:t>
      </w:r>
      <w:r>
        <w:rPr>
          <w:rFonts w:hAnsi="仿宋" w:eastAsia="仿宋" w:cs="Arial" w:asciiTheme="minorHAnsi"/>
          <w:sz w:val="32"/>
          <w:szCs w:val="32"/>
        </w:rPr>
        <w:t>；事业收入</w:t>
      </w:r>
      <w:r>
        <w:rPr>
          <w:rFonts w:eastAsia="仿宋" w:cs="Arial" w:asciiTheme="minorHAnsi" w:hAnsiTheme="minorHAnsi"/>
          <w:sz w:val="32"/>
          <w:szCs w:val="32"/>
        </w:rPr>
        <w:t>0</w:t>
      </w:r>
      <w:r>
        <w:rPr>
          <w:rFonts w:hAnsi="仿宋" w:eastAsia="仿宋" w:cs="Arial" w:asciiTheme="minorHAnsi"/>
          <w:sz w:val="32"/>
          <w:szCs w:val="32"/>
        </w:rPr>
        <w:t>万元，占收入合计</w:t>
      </w:r>
      <w:r>
        <w:rPr>
          <w:rFonts w:eastAsia="仿宋" w:cs="Arial" w:asciiTheme="minorHAnsi" w:hAnsiTheme="minorHAnsi"/>
          <w:sz w:val="32"/>
          <w:szCs w:val="32"/>
        </w:rPr>
        <w:t>0%</w:t>
      </w:r>
      <w:r>
        <w:rPr>
          <w:rFonts w:hAnsi="仿宋" w:eastAsia="仿宋" w:cs="Arial" w:asciiTheme="minorHAnsi"/>
          <w:sz w:val="32"/>
          <w:szCs w:val="32"/>
        </w:rPr>
        <w:t>；经营收入</w:t>
      </w:r>
      <w:r>
        <w:rPr>
          <w:rFonts w:eastAsia="仿宋" w:cs="Arial" w:asciiTheme="minorHAnsi" w:hAnsiTheme="minorHAnsi"/>
          <w:sz w:val="32"/>
          <w:szCs w:val="32"/>
        </w:rPr>
        <w:t>0</w:t>
      </w:r>
      <w:r>
        <w:rPr>
          <w:rFonts w:hAnsi="仿宋" w:eastAsia="仿宋" w:cs="Arial" w:asciiTheme="minorHAnsi"/>
          <w:sz w:val="32"/>
          <w:szCs w:val="32"/>
        </w:rPr>
        <w:t>万元，占收入合计</w:t>
      </w:r>
      <w:r>
        <w:rPr>
          <w:rFonts w:eastAsia="仿宋" w:cs="Arial" w:asciiTheme="minorHAnsi" w:hAnsiTheme="minorHAnsi"/>
          <w:sz w:val="32"/>
          <w:szCs w:val="32"/>
        </w:rPr>
        <w:t>0%</w:t>
      </w:r>
      <w:r>
        <w:rPr>
          <w:rFonts w:hAnsi="仿宋" w:eastAsia="仿宋" w:cs="Arial" w:asciiTheme="minorHAnsi"/>
          <w:sz w:val="32"/>
          <w:szCs w:val="32"/>
        </w:rPr>
        <w:t>；附属单位上缴收入</w:t>
      </w:r>
      <w:r>
        <w:rPr>
          <w:rFonts w:eastAsia="仿宋" w:cs="Arial" w:asciiTheme="minorHAnsi" w:hAnsiTheme="minorHAnsi"/>
          <w:sz w:val="32"/>
          <w:szCs w:val="32"/>
        </w:rPr>
        <w:t>0</w:t>
      </w:r>
      <w:r>
        <w:rPr>
          <w:rFonts w:hAnsi="仿宋" w:eastAsia="仿宋" w:cs="Arial" w:asciiTheme="minorHAnsi"/>
          <w:sz w:val="32"/>
          <w:szCs w:val="32"/>
        </w:rPr>
        <w:t>万元，占收入合计</w:t>
      </w:r>
      <w:r>
        <w:rPr>
          <w:rFonts w:eastAsia="仿宋" w:cs="Arial" w:asciiTheme="minorHAnsi" w:hAnsiTheme="minorHAnsi"/>
          <w:sz w:val="32"/>
          <w:szCs w:val="32"/>
        </w:rPr>
        <w:t>0%</w:t>
      </w:r>
      <w:r>
        <w:rPr>
          <w:rFonts w:hAnsi="仿宋" w:eastAsia="仿宋" w:cs="Arial" w:asciiTheme="minorHAnsi"/>
          <w:sz w:val="32"/>
          <w:szCs w:val="32"/>
        </w:rPr>
        <w:t>；其他收入</w:t>
      </w:r>
      <w:r>
        <w:rPr>
          <w:rFonts w:eastAsia="仿宋" w:cs="Arial" w:asciiTheme="minorHAnsi" w:hAnsiTheme="minorHAnsi"/>
          <w:sz w:val="32"/>
          <w:szCs w:val="32"/>
        </w:rPr>
        <w:t>1,016.13</w:t>
      </w:r>
      <w:r>
        <w:rPr>
          <w:rFonts w:hAnsi="仿宋" w:eastAsia="仿宋" w:cs="Arial" w:asciiTheme="minorHAnsi"/>
          <w:sz w:val="32"/>
          <w:szCs w:val="32"/>
        </w:rPr>
        <w:t>万元，占收入合计</w:t>
      </w:r>
      <w:r>
        <w:rPr>
          <w:rFonts w:eastAsia="仿宋" w:cs="Arial" w:asciiTheme="minorHAnsi" w:hAnsiTheme="minorHAnsi"/>
          <w:sz w:val="32"/>
          <w:szCs w:val="32"/>
        </w:rPr>
        <w:t>9.21%</w:t>
      </w:r>
      <w:r>
        <w:rPr>
          <w:rFonts w:hAnsi="仿宋" w:eastAsia="仿宋" w:cs="Arial" w:asciiTheme="minorHAnsi"/>
          <w:sz w:val="32"/>
          <w:szCs w:val="32"/>
        </w:rPr>
        <w:t>。</w:t>
      </w:r>
    </w:p>
    <w:p>
      <w:pPr>
        <w:adjustRightInd w:val="0"/>
        <w:snapToGrid w:val="0"/>
        <w:spacing w:line="540" w:lineRule="exact"/>
        <w:ind w:firstLine="640"/>
        <w:jc w:val="both"/>
        <w:rPr>
          <w:rFonts w:eastAsia="仿宋" w:asciiTheme="minorHAnsi" w:hAnsiTheme="minorHAnsi"/>
        </w:rPr>
      </w:pPr>
      <w:r>
        <w:rPr>
          <w:rStyle w:val="36"/>
          <w:rFonts w:hAnsi="仿宋" w:eastAsia="仿宋" w:cs="Arial" w:asciiTheme="minorHAnsi"/>
          <w:sz w:val="32"/>
          <w:szCs w:val="32"/>
        </w:rPr>
        <w:t>（三）支出决算情况说明</w:t>
      </w:r>
    </w:p>
    <w:p>
      <w:pPr>
        <w:adjustRightInd w:val="0"/>
        <w:snapToGrid w:val="0"/>
        <w:spacing w:line="540" w:lineRule="exact"/>
        <w:ind w:firstLine="640"/>
        <w:jc w:val="both"/>
        <w:rPr>
          <w:rFonts w:eastAsia="仿宋" w:cs="Arial" w:asciiTheme="minorHAnsi" w:hAnsiTheme="minorHAnsi"/>
          <w:sz w:val="32"/>
          <w:szCs w:val="32"/>
        </w:rPr>
      </w:pPr>
      <w:r>
        <w:rPr>
          <w:rFonts w:hAnsi="仿宋" w:eastAsia="仿宋" w:cs="Arial" w:asciiTheme="minorHAnsi"/>
          <w:sz w:val="32"/>
          <w:szCs w:val="32"/>
        </w:rPr>
        <w:t>本年支出合计</w:t>
      </w:r>
      <w:r>
        <w:rPr>
          <w:rFonts w:eastAsia="仿宋" w:cs="Arial" w:asciiTheme="minorHAnsi" w:hAnsiTheme="minorHAnsi"/>
          <w:sz w:val="32"/>
          <w:szCs w:val="32"/>
        </w:rPr>
        <w:t>11,156.57</w:t>
      </w:r>
      <w:r>
        <w:rPr>
          <w:rFonts w:hAnsi="仿宋" w:eastAsia="仿宋" w:cs="Arial" w:asciiTheme="minorHAnsi"/>
          <w:sz w:val="32"/>
          <w:szCs w:val="32"/>
        </w:rPr>
        <w:t>万元（上年结转结余支出</w:t>
      </w:r>
      <w:r>
        <w:rPr>
          <w:rFonts w:eastAsia="仿宋" w:cs="Arial" w:asciiTheme="minorHAnsi" w:hAnsiTheme="minorHAnsi"/>
          <w:sz w:val="32"/>
          <w:szCs w:val="32"/>
        </w:rPr>
        <w:t>121.75</w:t>
      </w:r>
      <w:r>
        <w:rPr>
          <w:rFonts w:hAnsi="仿宋" w:eastAsia="仿宋" w:cs="Arial" w:asciiTheme="minorHAnsi"/>
          <w:sz w:val="32"/>
          <w:szCs w:val="32"/>
        </w:rPr>
        <w:t>万元），其中基本支出</w:t>
      </w:r>
      <w:r>
        <w:rPr>
          <w:rFonts w:eastAsia="仿宋" w:cs="Arial" w:asciiTheme="minorHAnsi" w:hAnsiTheme="minorHAnsi"/>
          <w:sz w:val="32"/>
          <w:szCs w:val="32"/>
        </w:rPr>
        <w:t>2,821.41</w:t>
      </w:r>
      <w:r>
        <w:rPr>
          <w:rFonts w:hAnsi="仿宋" w:eastAsia="仿宋" w:cs="Arial" w:asciiTheme="minorHAnsi"/>
          <w:sz w:val="32"/>
          <w:szCs w:val="32"/>
        </w:rPr>
        <w:t>万元，占</w:t>
      </w:r>
      <w:r>
        <w:rPr>
          <w:rFonts w:eastAsia="仿宋" w:cs="Arial" w:asciiTheme="minorHAnsi" w:hAnsiTheme="minorHAnsi"/>
          <w:sz w:val="32"/>
          <w:szCs w:val="32"/>
        </w:rPr>
        <w:t>25.29%</w:t>
      </w:r>
      <w:r>
        <w:rPr>
          <w:rFonts w:hAnsi="仿宋" w:eastAsia="仿宋" w:cs="Arial" w:asciiTheme="minorHAnsi"/>
          <w:sz w:val="32"/>
          <w:szCs w:val="32"/>
        </w:rPr>
        <w:t>；项目支出</w:t>
      </w:r>
      <w:r>
        <w:rPr>
          <w:rFonts w:eastAsia="仿宋" w:cs="Arial" w:asciiTheme="minorHAnsi" w:hAnsiTheme="minorHAnsi"/>
          <w:sz w:val="32"/>
          <w:szCs w:val="32"/>
        </w:rPr>
        <w:t>8,335.16</w:t>
      </w:r>
      <w:r>
        <w:rPr>
          <w:rFonts w:hAnsi="仿宋" w:eastAsia="仿宋" w:cs="Arial" w:asciiTheme="minorHAnsi"/>
          <w:sz w:val="32"/>
          <w:szCs w:val="32"/>
        </w:rPr>
        <w:t>万元，占</w:t>
      </w:r>
      <w:r>
        <w:rPr>
          <w:rFonts w:eastAsia="仿宋" w:cs="Arial" w:asciiTheme="minorHAnsi" w:hAnsiTheme="minorHAnsi"/>
          <w:sz w:val="32"/>
          <w:szCs w:val="32"/>
        </w:rPr>
        <w:t>74.71%</w:t>
      </w:r>
      <w:r>
        <w:rPr>
          <w:rFonts w:hAnsi="仿宋" w:eastAsia="仿宋" w:cs="Arial" w:asciiTheme="minorHAnsi"/>
          <w:sz w:val="32"/>
          <w:szCs w:val="32"/>
        </w:rPr>
        <w:t>；上缴上级支出</w:t>
      </w:r>
      <w:r>
        <w:rPr>
          <w:rFonts w:eastAsia="仿宋" w:cs="Arial" w:asciiTheme="minorHAnsi" w:hAnsiTheme="minorHAnsi"/>
          <w:sz w:val="32"/>
          <w:szCs w:val="32"/>
        </w:rPr>
        <w:t>0</w:t>
      </w:r>
      <w:r>
        <w:rPr>
          <w:rFonts w:hAnsi="仿宋" w:eastAsia="仿宋" w:cs="Arial" w:asciiTheme="minorHAnsi"/>
          <w:sz w:val="32"/>
          <w:szCs w:val="32"/>
        </w:rPr>
        <w:t>万元，占</w:t>
      </w:r>
      <w:r>
        <w:rPr>
          <w:rFonts w:eastAsia="仿宋" w:cs="Arial" w:asciiTheme="minorHAnsi" w:hAnsiTheme="minorHAnsi"/>
          <w:sz w:val="32"/>
          <w:szCs w:val="32"/>
        </w:rPr>
        <w:t>0%</w:t>
      </w:r>
      <w:r>
        <w:rPr>
          <w:rFonts w:hAnsi="仿宋" w:eastAsia="仿宋" w:cs="Arial" w:asciiTheme="minorHAnsi"/>
          <w:sz w:val="32"/>
          <w:szCs w:val="32"/>
        </w:rPr>
        <w:t>；经营支出</w:t>
      </w:r>
      <w:r>
        <w:rPr>
          <w:rFonts w:eastAsia="仿宋" w:cs="Arial" w:asciiTheme="minorHAnsi" w:hAnsiTheme="minorHAnsi"/>
          <w:sz w:val="32"/>
          <w:szCs w:val="32"/>
        </w:rPr>
        <w:t>0</w:t>
      </w:r>
      <w:r>
        <w:rPr>
          <w:rFonts w:hAnsi="仿宋" w:eastAsia="仿宋" w:cs="Arial" w:asciiTheme="minorHAnsi"/>
          <w:sz w:val="32"/>
          <w:szCs w:val="32"/>
        </w:rPr>
        <w:t>万元，占</w:t>
      </w:r>
      <w:r>
        <w:rPr>
          <w:rFonts w:eastAsia="仿宋" w:cs="Arial" w:asciiTheme="minorHAnsi" w:hAnsiTheme="minorHAnsi"/>
          <w:sz w:val="32"/>
          <w:szCs w:val="32"/>
        </w:rPr>
        <w:t>0%</w:t>
      </w:r>
      <w:r>
        <w:rPr>
          <w:rFonts w:hAnsi="仿宋" w:eastAsia="仿宋" w:cs="Arial" w:asciiTheme="minorHAnsi"/>
          <w:sz w:val="32"/>
          <w:szCs w:val="32"/>
        </w:rPr>
        <w:t>；对附属单位补助支出</w:t>
      </w:r>
      <w:r>
        <w:rPr>
          <w:rFonts w:eastAsia="仿宋" w:cs="Arial" w:asciiTheme="minorHAnsi" w:hAnsiTheme="minorHAnsi"/>
          <w:sz w:val="32"/>
          <w:szCs w:val="32"/>
        </w:rPr>
        <w:t>0</w:t>
      </w:r>
      <w:r>
        <w:rPr>
          <w:rFonts w:hAnsi="仿宋" w:eastAsia="仿宋" w:cs="Arial" w:asciiTheme="minorHAnsi"/>
          <w:sz w:val="32"/>
          <w:szCs w:val="32"/>
        </w:rPr>
        <w:t>万元，占</w:t>
      </w:r>
      <w:r>
        <w:rPr>
          <w:rFonts w:eastAsia="仿宋" w:cs="Arial" w:asciiTheme="minorHAnsi" w:hAnsiTheme="minorHAnsi"/>
          <w:sz w:val="32"/>
          <w:szCs w:val="32"/>
        </w:rPr>
        <w:t>0%</w:t>
      </w:r>
      <w:r>
        <w:rPr>
          <w:rFonts w:hAnsi="仿宋" w:eastAsia="仿宋" w:cs="Arial" w:asciiTheme="minorHAnsi"/>
          <w:sz w:val="32"/>
          <w:szCs w:val="32"/>
        </w:rPr>
        <w:t>。</w:t>
      </w:r>
    </w:p>
    <w:p>
      <w:pPr>
        <w:adjustRightInd w:val="0"/>
        <w:snapToGrid w:val="0"/>
        <w:spacing w:line="540" w:lineRule="exact"/>
        <w:ind w:firstLine="640"/>
        <w:jc w:val="both"/>
        <w:rPr>
          <w:rFonts w:eastAsia="仿宋" w:cs="Arial" w:asciiTheme="minorHAnsi" w:hAnsiTheme="minorHAnsi"/>
          <w:sz w:val="32"/>
          <w:szCs w:val="32"/>
        </w:rPr>
      </w:pPr>
      <w:r>
        <w:rPr>
          <w:rStyle w:val="36"/>
          <w:rFonts w:hAnsi="仿宋" w:eastAsia="仿宋" w:cs="Arial" w:asciiTheme="minorHAnsi"/>
          <w:sz w:val="32"/>
          <w:szCs w:val="32"/>
        </w:rPr>
        <w:t>（四）财政拨款收入支出决算总体情况说明</w:t>
      </w:r>
    </w:p>
    <w:p>
      <w:pPr>
        <w:adjustRightInd w:val="0"/>
        <w:snapToGrid w:val="0"/>
        <w:spacing w:line="540" w:lineRule="exact"/>
        <w:ind w:firstLine="640"/>
        <w:jc w:val="both"/>
        <w:rPr>
          <w:rFonts w:eastAsia="仿宋" w:asciiTheme="minorHAnsi" w:hAnsiTheme="minorHAnsi"/>
        </w:rPr>
      </w:pPr>
      <w:r>
        <w:rPr>
          <w:rFonts w:eastAsia="仿宋" w:cs="Arial" w:asciiTheme="minorHAnsi" w:hAnsiTheme="minorHAnsi"/>
          <w:sz w:val="32"/>
          <w:szCs w:val="32"/>
        </w:rPr>
        <w:t>2020</w:t>
      </w:r>
      <w:r>
        <w:rPr>
          <w:rFonts w:hAnsi="仿宋" w:eastAsia="仿宋" w:cs="Arial" w:asciiTheme="minorHAnsi"/>
          <w:sz w:val="32"/>
          <w:szCs w:val="32"/>
        </w:rPr>
        <w:t>年度财政拨款收入总计</w:t>
      </w:r>
      <w:r>
        <w:rPr>
          <w:rFonts w:eastAsia="仿宋" w:cs="Arial" w:asciiTheme="minorHAnsi" w:hAnsiTheme="minorHAnsi"/>
          <w:sz w:val="32"/>
          <w:szCs w:val="32"/>
        </w:rPr>
        <w:t>10,140.45</w:t>
      </w:r>
      <w:r>
        <w:rPr>
          <w:rFonts w:hAnsi="仿宋" w:eastAsia="仿宋" w:cs="Arial" w:asciiTheme="minorHAnsi"/>
          <w:sz w:val="32"/>
          <w:szCs w:val="32"/>
        </w:rPr>
        <w:t>万元，支出总计</w:t>
      </w:r>
      <w:r>
        <w:rPr>
          <w:rFonts w:eastAsia="仿宋" w:cs="Arial" w:asciiTheme="minorHAnsi" w:hAnsiTheme="minorHAnsi"/>
          <w:sz w:val="32"/>
          <w:szCs w:val="32"/>
        </w:rPr>
        <w:t>10,140.45</w:t>
      </w:r>
      <w:r>
        <w:rPr>
          <w:rFonts w:hAnsi="仿宋" w:eastAsia="仿宋" w:cs="Arial" w:asciiTheme="minorHAnsi"/>
          <w:sz w:val="32"/>
          <w:szCs w:val="32"/>
        </w:rPr>
        <w:t>万元，与</w:t>
      </w:r>
      <w:r>
        <w:rPr>
          <w:rFonts w:eastAsia="仿宋" w:cs="Arial" w:asciiTheme="minorHAnsi" w:hAnsiTheme="minorHAnsi"/>
          <w:sz w:val="32"/>
          <w:szCs w:val="32"/>
        </w:rPr>
        <w:t>2019</w:t>
      </w:r>
      <w:r>
        <w:rPr>
          <w:rFonts w:hAnsi="仿宋" w:eastAsia="仿宋" w:cs="Arial" w:asciiTheme="minorHAnsi"/>
          <w:sz w:val="32"/>
          <w:szCs w:val="32"/>
        </w:rPr>
        <w:t>年相比，各减少</w:t>
      </w:r>
      <w:r>
        <w:rPr>
          <w:rFonts w:eastAsia="仿宋" w:cs="Arial" w:asciiTheme="minorHAnsi" w:hAnsiTheme="minorHAnsi"/>
          <w:sz w:val="32"/>
          <w:szCs w:val="32"/>
        </w:rPr>
        <w:t>2,409.41</w:t>
      </w:r>
      <w:r>
        <w:rPr>
          <w:rFonts w:hAnsi="仿宋" w:eastAsia="仿宋" w:cs="Arial" w:asciiTheme="minorHAnsi"/>
          <w:sz w:val="32"/>
          <w:szCs w:val="32"/>
        </w:rPr>
        <w:t>万元，下降</w:t>
      </w:r>
      <w:r>
        <w:rPr>
          <w:rFonts w:eastAsia="仿宋" w:cs="Arial" w:asciiTheme="minorHAnsi" w:hAnsiTheme="minorHAnsi"/>
          <w:sz w:val="32"/>
          <w:szCs w:val="32"/>
        </w:rPr>
        <w:t>19.20%</w:t>
      </w:r>
      <w:r>
        <w:rPr>
          <w:rFonts w:hAnsi="仿宋" w:eastAsia="仿宋" w:cs="Arial" w:asciiTheme="minorHAnsi"/>
          <w:sz w:val="32"/>
          <w:szCs w:val="32"/>
        </w:rPr>
        <w:t>。主要原因是建设项目有所减小，政府性基金收入支出下降；财政拨款支出年初预算数</w:t>
      </w:r>
      <w:r>
        <w:rPr>
          <w:rFonts w:eastAsia="仿宋" w:cs="Arial" w:asciiTheme="minorHAnsi" w:hAnsiTheme="minorHAnsi"/>
          <w:sz w:val="32"/>
          <w:szCs w:val="32"/>
        </w:rPr>
        <w:t>2953.70</w:t>
      </w:r>
      <w:r>
        <w:rPr>
          <w:rFonts w:hAnsi="仿宋" w:eastAsia="仿宋" w:cs="Arial" w:asciiTheme="minorHAnsi"/>
          <w:sz w:val="32"/>
          <w:szCs w:val="32"/>
        </w:rPr>
        <w:t>万元，完成年初预算</w:t>
      </w:r>
      <w:r>
        <w:rPr>
          <w:rFonts w:eastAsia="仿宋" w:cs="Arial" w:asciiTheme="minorHAnsi" w:hAnsiTheme="minorHAnsi"/>
          <w:sz w:val="32"/>
          <w:szCs w:val="32"/>
        </w:rPr>
        <w:t>339%</w:t>
      </w:r>
      <w:r>
        <w:rPr>
          <w:rFonts w:hAnsi="仿宋" w:eastAsia="仿宋" w:cs="Arial" w:asciiTheme="minorHAnsi"/>
          <w:sz w:val="32"/>
          <w:szCs w:val="32"/>
        </w:rPr>
        <w:t>，主要原因是年中项目追加，政府性基金预算财政拨款收入、支出增加。</w:t>
      </w:r>
    </w:p>
    <w:p>
      <w:pPr>
        <w:adjustRightInd w:val="0"/>
        <w:snapToGrid w:val="0"/>
        <w:spacing w:line="540" w:lineRule="exact"/>
        <w:ind w:firstLine="640"/>
        <w:jc w:val="both"/>
        <w:rPr>
          <w:rFonts w:eastAsia="仿宋" w:asciiTheme="minorHAnsi" w:hAnsiTheme="minorHAnsi"/>
        </w:rPr>
      </w:pPr>
      <w:r>
        <w:rPr>
          <w:rStyle w:val="36"/>
          <w:rFonts w:hAnsi="仿宋" w:eastAsia="仿宋" w:cs="Arial" w:asciiTheme="minorHAnsi"/>
          <w:sz w:val="32"/>
          <w:szCs w:val="32"/>
        </w:rPr>
        <w:t>（五）一般公共预算财政拨款支出决算情况说明</w:t>
      </w:r>
    </w:p>
    <w:p>
      <w:pPr>
        <w:adjustRightInd w:val="0"/>
        <w:snapToGrid w:val="0"/>
        <w:spacing w:line="540" w:lineRule="exact"/>
        <w:ind w:firstLine="640"/>
        <w:jc w:val="both"/>
        <w:rPr>
          <w:rFonts w:eastAsia="仿宋" w:asciiTheme="minorHAnsi" w:hAnsiTheme="minorHAnsi"/>
        </w:rPr>
      </w:pPr>
      <w:r>
        <w:rPr>
          <w:rStyle w:val="36"/>
          <w:rFonts w:eastAsia="仿宋" w:cs="Arial" w:asciiTheme="minorHAnsi" w:hAnsiTheme="minorHAnsi"/>
          <w:sz w:val="32"/>
          <w:szCs w:val="32"/>
        </w:rPr>
        <w:t>1.</w:t>
      </w:r>
      <w:r>
        <w:rPr>
          <w:rStyle w:val="36"/>
          <w:rFonts w:hAnsi="仿宋" w:eastAsia="仿宋" w:cs="Arial" w:asciiTheme="minorHAnsi"/>
          <w:sz w:val="32"/>
          <w:szCs w:val="32"/>
        </w:rPr>
        <w:t>一般公共预算财政拨款支出决算总体情况</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2020</w:t>
      </w:r>
      <w:r>
        <w:rPr>
          <w:rFonts w:hAnsi="仿宋" w:eastAsia="仿宋" w:cs="Arial" w:asciiTheme="minorHAnsi"/>
          <w:sz w:val="32"/>
          <w:szCs w:val="32"/>
        </w:rPr>
        <w:t>年度一般公共预算财政拨款支出</w:t>
      </w:r>
      <w:r>
        <w:rPr>
          <w:rFonts w:eastAsia="仿宋" w:cs="Arial" w:asciiTheme="minorHAnsi" w:hAnsiTheme="minorHAnsi"/>
          <w:sz w:val="32"/>
          <w:szCs w:val="32"/>
        </w:rPr>
        <w:t>6,103.80</w:t>
      </w:r>
      <w:r>
        <w:rPr>
          <w:rFonts w:hAnsi="仿宋" w:eastAsia="仿宋" w:cs="Arial" w:asciiTheme="minorHAnsi"/>
          <w:sz w:val="32"/>
          <w:szCs w:val="32"/>
        </w:rPr>
        <w:t>万元，占本年支出合计的</w:t>
      </w:r>
      <w:r>
        <w:rPr>
          <w:rFonts w:eastAsia="仿宋" w:cs="Arial" w:asciiTheme="minorHAnsi" w:hAnsiTheme="minorHAnsi"/>
          <w:sz w:val="32"/>
          <w:szCs w:val="32"/>
        </w:rPr>
        <w:t>54.71%</w:t>
      </w:r>
      <w:r>
        <w:rPr>
          <w:rFonts w:hAnsi="仿宋" w:eastAsia="仿宋" w:cs="Arial" w:asciiTheme="minorHAnsi"/>
          <w:sz w:val="32"/>
          <w:szCs w:val="32"/>
        </w:rPr>
        <w:t>。与</w:t>
      </w:r>
      <w:r>
        <w:rPr>
          <w:rFonts w:eastAsia="仿宋" w:cs="Arial" w:asciiTheme="minorHAnsi" w:hAnsiTheme="minorHAnsi"/>
          <w:sz w:val="32"/>
          <w:szCs w:val="32"/>
        </w:rPr>
        <w:t>2019</w:t>
      </w:r>
      <w:r>
        <w:rPr>
          <w:rFonts w:hAnsi="仿宋" w:eastAsia="仿宋" w:cs="Arial" w:asciiTheme="minorHAnsi"/>
          <w:sz w:val="32"/>
          <w:szCs w:val="32"/>
        </w:rPr>
        <w:t>年相比，一般公共预算财政拨款支出增加</w:t>
      </w:r>
      <w:r>
        <w:rPr>
          <w:rFonts w:eastAsia="仿宋" w:cs="Arial" w:asciiTheme="minorHAnsi" w:hAnsiTheme="minorHAnsi"/>
          <w:sz w:val="32"/>
          <w:szCs w:val="32"/>
        </w:rPr>
        <w:t>363.53</w:t>
      </w:r>
      <w:r>
        <w:rPr>
          <w:rFonts w:hAnsi="仿宋" w:eastAsia="仿宋" w:cs="Arial" w:asciiTheme="minorHAnsi"/>
          <w:sz w:val="32"/>
          <w:szCs w:val="32"/>
        </w:rPr>
        <w:t>万元，增长</w:t>
      </w:r>
      <w:r>
        <w:rPr>
          <w:rFonts w:eastAsia="仿宋" w:cs="Arial" w:asciiTheme="minorHAnsi" w:hAnsiTheme="minorHAnsi"/>
          <w:sz w:val="32"/>
          <w:szCs w:val="32"/>
        </w:rPr>
        <w:t>6.33%</w:t>
      </w:r>
      <w:r>
        <w:rPr>
          <w:rFonts w:hAnsi="仿宋" w:eastAsia="仿宋" w:cs="Arial" w:asciiTheme="minorHAnsi"/>
          <w:sz w:val="32"/>
          <w:szCs w:val="32"/>
        </w:rPr>
        <w:t>。主要原因是社会保障和就业支出增加。</w:t>
      </w:r>
    </w:p>
    <w:p>
      <w:pPr>
        <w:adjustRightInd w:val="0"/>
        <w:snapToGrid w:val="0"/>
        <w:spacing w:line="540" w:lineRule="exact"/>
        <w:ind w:firstLine="640"/>
        <w:jc w:val="both"/>
        <w:rPr>
          <w:rFonts w:eastAsia="仿宋" w:asciiTheme="minorHAnsi" w:hAnsiTheme="minorHAnsi"/>
        </w:rPr>
      </w:pPr>
      <w:r>
        <w:rPr>
          <w:rStyle w:val="36"/>
          <w:rFonts w:eastAsia="仿宋" w:cs="Arial" w:asciiTheme="minorHAnsi" w:hAnsiTheme="minorHAnsi"/>
          <w:sz w:val="32"/>
          <w:szCs w:val="32"/>
        </w:rPr>
        <w:t>2.</w:t>
      </w:r>
      <w:r>
        <w:rPr>
          <w:rStyle w:val="36"/>
          <w:rFonts w:hAnsi="仿宋" w:eastAsia="仿宋" w:cs="Arial" w:asciiTheme="minorHAnsi"/>
          <w:sz w:val="32"/>
          <w:szCs w:val="32"/>
        </w:rPr>
        <w:t>一般公共预算财政拨款支出决算结构情况</w:t>
      </w:r>
    </w:p>
    <w:p>
      <w:pPr>
        <w:adjustRightInd w:val="0"/>
        <w:snapToGrid w:val="0"/>
        <w:spacing w:line="540" w:lineRule="exact"/>
        <w:ind w:firstLine="640"/>
        <w:jc w:val="both"/>
        <w:rPr>
          <w:rFonts w:eastAsia="仿宋" w:asciiTheme="minorHAnsi" w:hAnsiTheme="minorHAnsi"/>
        </w:rPr>
      </w:pPr>
      <w:r>
        <w:rPr>
          <w:rFonts w:eastAsia="仿宋" w:cs="Arial" w:asciiTheme="minorHAnsi" w:hAnsiTheme="minorHAnsi"/>
          <w:sz w:val="32"/>
          <w:szCs w:val="32"/>
        </w:rPr>
        <w:t>2020</w:t>
      </w:r>
      <w:r>
        <w:rPr>
          <w:rFonts w:hAnsi="仿宋" w:eastAsia="仿宋" w:cs="Arial" w:asciiTheme="minorHAnsi"/>
          <w:sz w:val="32"/>
          <w:szCs w:val="32"/>
        </w:rPr>
        <w:t>年度一般公共预算财政拨款支出</w:t>
      </w:r>
      <w:r>
        <w:rPr>
          <w:rFonts w:eastAsia="仿宋" w:cs="Arial" w:asciiTheme="minorHAnsi" w:hAnsiTheme="minorHAnsi"/>
          <w:sz w:val="32"/>
          <w:szCs w:val="32"/>
        </w:rPr>
        <w:t>6,103.80</w:t>
      </w:r>
      <w:r>
        <w:rPr>
          <w:rFonts w:hAnsi="仿宋" w:eastAsia="仿宋" w:cs="Arial" w:asciiTheme="minorHAnsi"/>
          <w:sz w:val="32"/>
          <w:szCs w:val="32"/>
        </w:rPr>
        <w:t>万元，主要用于以下方面：一般公共服务（类）支出</w:t>
      </w:r>
      <w:r>
        <w:rPr>
          <w:rFonts w:eastAsia="仿宋" w:cs="Arial" w:asciiTheme="minorHAnsi" w:hAnsiTheme="minorHAnsi"/>
          <w:sz w:val="32"/>
          <w:szCs w:val="32"/>
        </w:rPr>
        <w:t>1,627.77</w:t>
      </w:r>
      <w:r>
        <w:rPr>
          <w:rFonts w:hAnsi="仿宋" w:eastAsia="仿宋" w:cs="Arial" w:asciiTheme="minorHAnsi"/>
          <w:sz w:val="32"/>
          <w:szCs w:val="32"/>
        </w:rPr>
        <w:t>万元，占</w:t>
      </w:r>
      <w:r>
        <w:rPr>
          <w:rFonts w:eastAsia="仿宋" w:cs="Arial" w:asciiTheme="minorHAnsi" w:hAnsiTheme="minorHAnsi"/>
          <w:sz w:val="32"/>
          <w:szCs w:val="32"/>
        </w:rPr>
        <w:t>26.67%</w:t>
      </w:r>
      <w:r>
        <w:rPr>
          <w:rFonts w:hAnsi="仿宋" w:eastAsia="仿宋" w:cs="Arial" w:asciiTheme="minorHAnsi"/>
          <w:sz w:val="32"/>
          <w:szCs w:val="32"/>
        </w:rPr>
        <w:t>；国防（类）支出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；公共安全（类）支出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；教育（类）支出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；科学技术（类）支出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；文化旅游体育与传媒（类）支出</w:t>
      </w:r>
      <w:r>
        <w:rPr>
          <w:rFonts w:eastAsia="仿宋" w:cs="Arial" w:asciiTheme="minorHAnsi" w:hAnsiTheme="minorHAnsi"/>
          <w:sz w:val="32"/>
          <w:szCs w:val="32"/>
        </w:rPr>
        <w:t>278.77</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4.57%</w:t>
      </w:r>
      <w:r>
        <w:rPr>
          <w:rFonts w:hAnsi="仿宋" w:eastAsia="仿宋" w:cs="Arial" w:asciiTheme="minorHAnsi"/>
          <w:sz w:val="32"/>
          <w:szCs w:val="32"/>
        </w:rPr>
        <w:t>；社会保障和就业（类）支出</w:t>
      </w:r>
      <w:r>
        <w:rPr>
          <w:rFonts w:eastAsia="仿宋" w:cs="Arial" w:asciiTheme="minorHAnsi" w:hAnsiTheme="minorHAnsi"/>
          <w:sz w:val="32"/>
          <w:szCs w:val="32"/>
        </w:rPr>
        <w:t>2,666.39</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43.68%</w:t>
      </w:r>
      <w:r>
        <w:rPr>
          <w:rFonts w:hAnsi="仿宋" w:eastAsia="仿宋" w:cs="Arial" w:asciiTheme="minorHAnsi"/>
          <w:sz w:val="32"/>
          <w:szCs w:val="32"/>
        </w:rPr>
        <w:t>；卫生健康（类）支出</w:t>
      </w:r>
      <w:r>
        <w:rPr>
          <w:rFonts w:eastAsia="仿宋" w:cs="Arial" w:asciiTheme="minorHAnsi" w:hAnsiTheme="minorHAnsi"/>
          <w:sz w:val="32"/>
          <w:szCs w:val="32"/>
        </w:rPr>
        <w:t>155.88</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2.55%</w:t>
      </w:r>
      <w:r>
        <w:rPr>
          <w:rFonts w:hAnsi="仿宋" w:eastAsia="仿宋" w:cs="Arial" w:asciiTheme="minorHAnsi"/>
          <w:sz w:val="32"/>
          <w:szCs w:val="32"/>
        </w:rPr>
        <w:t>；节能环保（类）支出</w:t>
      </w:r>
      <w:r>
        <w:rPr>
          <w:rFonts w:eastAsia="仿宋" w:cs="Arial" w:asciiTheme="minorHAnsi" w:hAnsiTheme="minorHAnsi"/>
          <w:sz w:val="32"/>
          <w:szCs w:val="32"/>
        </w:rPr>
        <w:t>41.80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0.68%</w:t>
      </w:r>
      <w:r>
        <w:rPr>
          <w:rFonts w:hAnsi="仿宋" w:eastAsia="仿宋" w:cs="Arial" w:asciiTheme="minorHAnsi"/>
          <w:sz w:val="32"/>
          <w:szCs w:val="32"/>
        </w:rPr>
        <w:t>；城乡社区（类）支出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；农林水（类）支出</w:t>
      </w:r>
      <w:r>
        <w:rPr>
          <w:rFonts w:eastAsia="仿宋" w:cs="Arial" w:asciiTheme="minorHAnsi" w:hAnsiTheme="minorHAnsi"/>
          <w:sz w:val="32"/>
          <w:szCs w:val="32"/>
        </w:rPr>
        <w:t>709.16</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11.62%</w:t>
      </w:r>
      <w:r>
        <w:rPr>
          <w:rFonts w:hAnsi="仿宋" w:eastAsia="仿宋" w:cs="Arial" w:asciiTheme="minorHAnsi"/>
          <w:sz w:val="32"/>
          <w:szCs w:val="32"/>
        </w:rPr>
        <w:t>；交通运输（类）支出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；资源勘探工业信息等（类）支出</w:t>
      </w:r>
      <w:r>
        <w:rPr>
          <w:rFonts w:eastAsia="仿宋" w:cs="Arial" w:asciiTheme="minorHAnsi" w:hAnsiTheme="minorHAnsi"/>
          <w:sz w:val="32"/>
          <w:szCs w:val="32"/>
        </w:rPr>
        <w:t>41.80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0.68%</w:t>
      </w:r>
      <w:r>
        <w:rPr>
          <w:rFonts w:hAnsi="仿宋" w:eastAsia="仿宋" w:cs="Arial" w:asciiTheme="minorHAnsi"/>
          <w:sz w:val="32"/>
          <w:szCs w:val="32"/>
        </w:rPr>
        <w:t>；商业服务业等（类）支出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；金融（类）支出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；援助其他地区（类）支出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；自然资源海洋气象等（类）支出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；住房保障（类）支出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；粮油物资储备（类）支出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；灾害防治及应急管理（类）支出</w:t>
      </w:r>
      <w:r>
        <w:rPr>
          <w:rFonts w:eastAsia="仿宋" w:cs="Arial" w:asciiTheme="minorHAnsi" w:hAnsiTheme="minorHAnsi"/>
          <w:sz w:val="32"/>
          <w:szCs w:val="32"/>
        </w:rPr>
        <w:t>460.49</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7.54%</w:t>
      </w:r>
      <w:r>
        <w:rPr>
          <w:rFonts w:hAnsi="仿宋" w:eastAsia="仿宋" w:cs="Arial" w:asciiTheme="minorHAnsi"/>
          <w:sz w:val="32"/>
          <w:szCs w:val="32"/>
        </w:rPr>
        <w:t>；其他（类）支出</w:t>
      </w:r>
      <w:r>
        <w:rPr>
          <w:rFonts w:eastAsia="仿宋" w:cs="Arial" w:asciiTheme="minorHAnsi" w:hAnsiTheme="minorHAnsi"/>
          <w:sz w:val="32"/>
          <w:szCs w:val="32"/>
        </w:rPr>
        <w:t>121.75</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1.99%</w:t>
      </w:r>
      <w:r>
        <w:rPr>
          <w:rFonts w:hAnsi="仿宋" w:eastAsia="仿宋" w:cs="Arial" w:asciiTheme="minorHAnsi"/>
          <w:sz w:val="32"/>
          <w:szCs w:val="32"/>
        </w:rPr>
        <w:t>；债务还本（类）支出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；债务付息（类）支出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w:t>
      </w:r>
    </w:p>
    <w:p>
      <w:pPr>
        <w:adjustRightInd w:val="0"/>
        <w:snapToGrid w:val="0"/>
        <w:spacing w:line="540" w:lineRule="exact"/>
        <w:ind w:firstLine="640"/>
        <w:jc w:val="both"/>
        <w:rPr>
          <w:rFonts w:eastAsia="仿宋" w:asciiTheme="minorHAnsi" w:hAnsiTheme="minorHAnsi"/>
        </w:rPr>
      </w:pPr>
      <w:r>
        <w:rPr>
          <w:rStyle w:val="36"/>
          <w:rFonts w:eastAsia="仿宋" w:cs="Arial" w:asciiTheme="minorHAnsi" w:hAnsiTheme="minorHAnsi"/>
          <w:sz w:val="32"/>
          <w:szCs w:val="32"/>
        </w:rPr>
        <w:t>3.</w:t>
      </w:r>
      <w:r>
        <w:rPr>
          <w:rStyle w:val="36"/>
          <w:rFonts w:hAnsi="仿宋" w:eastAsia="仿宋" w:cs="Arial" w:asciiTheme="minorHAnsi"/>
          <w:sz w:val="32"/>
          <w:szCs w:val="32"/>
        </w:rPr>
        <w:t>一般公共预算财政拨款支出决算具体情况</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2020</w:t>
      </w:r>
      <w:r>
        <w:rPr>
          <w:rFonts w:hAnsi="仿宋" w:eastAsia="仿宋" w:cs="Arial" w:asciiTheme="minorHAnsi"/>
          <w:sz w:val="32"/>
          <w:szCs w:val="32"/>
        </w:rPr>
        <w:t>年度一般公共预算财政拨款支出年初预算为</w:t>
      </w:r>
      <w:r>
        <w:rPr>
          <w:rFonts w:eastAsia="仿宋" w:cs="Arial" w:asciiTheme="minorHAnsi" w:hAnsiTheme="minorHAnsi"/>
          <w:sz w:val="32"/>
          <w:szCs w:val="32"/>
        </w:rPr>
        <w:t>2953.70</w:t>
      </w:r>
      <w:r>
        <w:rPr>
          <w:rFonts w:hAnsi="仿宋" w:eastAsia="仿宋" w:cs="Arial" w:asciiTheme="minorHAnsi"/>
          <w:sz w:val="32"/>
          <w:szCs w:val="32"/>
        </w:rPr>
        <w:t>万元，支出决算为</w:t>
      </w:r>
      <w:r>
        <w:rPr>
          <w:rFonts w:eastAsia="仿宋" w:cs="Arial" w:asciiTheme="minorHAnsi" w:hAnsiTheme="minorHAnsi"/>
          <w:sz w:val="32"/>
          <w:szCs w:val="32"/>
        </w:rPr>
        <w:t>6,103.80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完成年初预算的</w:t>
      </w:r>
      <w:r>
        <w:rPr>
          <w:rFonts w:eastAsia="仿宋" w:cs="Arial" w:asciiTheme="minorHAnsi" w:hAnsiTheme="minorHAnsi"/>
          <w:sz w:val="32"/>
          <w:szCs w:val="32"/>
        </w:rPr>
        <w:t>206%</w:t>
      </w:r>
      <w:r>
        <w:rPr>
          <w:rFonts w:hAnsi="仿宋" w:eastAsia="仿宋" w:cs="Arial" w:asciiTheme="minorHAnsi"/>
          <w:sz w:val="32"/>
          <w:szCs w:val="32"/>
        </w:rPr>
        <w:t>，主要因为：年度财政追加</w:t>
      </w:r>
      <w:r>
        <w:rPr>
          <w:rFonts w:eastAsia="仿宋" w:cs="Arial" w:asciiTheme="minorHAnsi" w:hAnsiTheme="minorHAnsi"/>
          <w:sz w:val="32"/>
          <w:szCs w:val="32"/>
        </w:rPr>
        <w:t>131.67</w:t>
      </w:r>
      <w:r>
        <w:rPr>
          <w:rFonts w:hAnsi="仿宋" w:eastAsia="仿宋" w:cs="Arial" w:asciiTheme="minorHAnsi"/>
          <w:sz w:val="32"/>
          <w:szCs w:val="32"/>
        </w:rPr>
        <w:t>万元基本支出经费；年度财政追加</w:t>
      </w:r>
      <w:r>
        <w:rPr>
          <w:rFonts w:eastAsia="仿宋" w:cs="Arial" w:asciiTheme="minorHAnsi" w:hAnsiTheme="minorHAnsi"/>
          <w:sz w:val="32"/>
          <w:szCs w:val="32"/>
        </w:rPr>
        <w:t>2896.68</w:t>
      </w:r>
      <w:r>
        <w:rPr>
          <w:rFonts w:hAnsi="仿宋" w:eastAsia="仿宋" w:cs="Arial" w:asciiTheme="minorHAnsi"/>
          <w:sz w:val="32"/>
          <w:szCs w:val="32"/>
        </w:rPr>
        <w:t>万元项目支出经费，年初结余</w:t>
      </w:r>
      <w:r>
        <w:rPr>
          <w:rFonts w:eastAsia="仿宋" w:cs="Arial" w:asciiTheme="minorHAnsi" w:hAnsiTheme="minorHAnsi"/>
          <w:sz w:val="32"/>
          <w:szCs w:val="32"/>
        </w:rPr>
        <w:t>121.75</w:t>
      </w:r>
      <w:r>
        <w:rPr>
          <w:rFonts w:hAnsi="仿宋" w:eastAsia="仿宋" w:cs="Arial" w:asciiTheme="minorHAnsi"/>
          <w:sz w:val="32"/>
          <w:szCs w:val="32"/>
        </w:rPr>
        <w:t>万元。其中：</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一般公共服务支出（类）人大事务（款）行政运行（项），年初预算为63.3万元。支出决算为63.3万元，完成年初预算的100%，决算数等于预算数的主要原因在于严格按照预算计划安排支出。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一般公共服务支出（类）政府办公厅（室）及相关机构事务（款）行政运行（项）。年初预算为1164.37万元，支出决算为1164.37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一般公共服务支出（类）统计信息事务（款）事业运行（项）。年初预算为83.6万元，支出决算为83.6万元，完成年初预算的100%，决算数等于预算数的主要原因在于严格按照预算计划安排支出。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一般公共服务支出（类）财政事务（款）行政运行（项），年初预算为63.3万元。支出决算为63.3万元，完成年初预算的100%，决算数等于预算数的主要原因在于严格按照预算计划安排支出。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一般公共服务支出（类）群众团体事务（款）行政运行（项）。年初预算为42.2万元，支出决算为42.2万元，完成年初预算的100%，决算数等于预算数的主要原因在于严格按照预算计划安排支出。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一般公共服务支出（类）党委办公厅（室）及相关机构事务（款）行政运行（项）。年初预算为211万元，支出决算为211万元，完成年初预算的100%，决算数等于预算数的主要原因在于严格按照预算计划安排支出。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文化旅游体育与传媒支出（类）文化和旅游（款）群众文化（项）。年初预算为146.3万元，支出决算为146.3万元，完成年初预算的100%，决算数等于预算数的主要原因在于严格按照预算计划安排支出。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文化旅游体育与传媒支出（类）文化和旅游（款）其他文化和旅游支出，年初预算为0万元，支出决算为132.47万元，决算数大于预算数的原因在于追加重点专项工作考核奖金。</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人力资源和社会保障管理事务（款）劳动保障监察（项）。年初预算为62.7万元，支出决算为62.7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 xml:space="preserve">社会保障和就业支出（类）民政管理事务（款）其他民政管理事务支出（项）。年初预算为0万元，支出决算为25.88万元，决算数大于预算数的主要原因在于追加家境调查工作经费和村（社区）儿童主任工作补贴。 </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社会保障和就业支出（类）行政事业单位养老支出（款）行政单位离退休（项），年初预算为11.1万元，支出决算为11.1万元，完成年初预算的100%，决算数等于预算数的主要原因在于严格按照预算计划安排支出。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社会保障和就业支出（类）抚恤（款）死亡抚恤（项）。年初预算为0万元，支出决算为21.11万元，决算数大于预算数的主要原因在于年度财政追加预算。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社会保障和就业支出（类）抚恤（款）伤残抚恤（项）。年初预算为0万元，支出决算为81.47万元，决算数大于预算数的主要原因在于年度财政追加预算。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社会保障和就业支出（类）抚恤（款）在乡复员、退伍军人生活补助（项）。年初预算为0万元，支出决算为38.93万元，决算数大于预算数的主要原因在于年度财政追加预算。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社会保障和就业支出（类）抚恤（款）义务兵优待（项）。年初预算为0万元，支出决算为131万元，决算数大于预算数的主要原因在于年度财政追加预算。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社会保障和就业支出（类）抚恤（款）农村籍退役士兵老年生活补助（项）。年初预算为0万元，支出决算为126.23万元，决算数大于预算数的主要原因在于年度财政追加预算。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社会保障和就业支出（类）抚恤（款）其他优抚支出（项）。年初预算为0万元，支出决算为73.68万元，决算数大于预算数的主要原因在于年度财政追加预算。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社会保障和就业支出（类）退役安置（款）退役士兵安置（项）。年初预算为0万元，支出决算为92.6万元，决算数大于预算数的主要原因在于年度财政追加预算。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社会保障和就业支出（类）社会福利（款）儿童福利（项）。年初预算为0万元，支出决算为15.42万元，决算数大于预算数的主要原因在于年度财政追加预算。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社会保障和就业支出（类）社会福利（款）老年福利（项）。年初预算为0万元，支出决算为109万元，决算数大于预算数的主要原因在于年度财政追加预算。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社会保障和就业支出（类）社会福利（款）养老福利事业单位（项）。年初预算为83.6万元，支出决算为83.6万元，完成年初预算的100%，决算数等于预算数的主要原因在于严格按照预算计划安排支出。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社会保障和就业支出（类）社会福利（款）养老服务（项）。年初预算为0万元，支出决算为93.4万元，决算数大于预算数的主要原因在于年度财政追加预算。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 xml:space="preserve">社会保障和就业支出（类）残疾人事业（款）残疾人康复（项）。年初预算为0万元，支出决算为9万元，决算数大于预算数的主要原因在于年度财政追加预算。                                                                                                                                                                                                                                                                                                                                                                                                                                                                                                                                                                                                                                                                                                                                                                                                                                                                                                                                                                                                                                                                                                                                                                                                                                                                                                                                                                                                                                                                                                                                                                                                                                                                                                                                                                                                                                                                                                                                                                                                                                                                                                                                                                                                                                                                                                                                                                                                                                                                                                                                                                                                                                                                                                                                                                                                                                                                                                                                                                                                                                                                                                                                                                                                                                                                                                                                                                                                                                                                                                                                                                                                                                                                                                                                                                                                                                                                                                                                                                                                                                             </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社会保障和就业支出（类）残疾人事业（款）残疾人就业和扶贫（项）。年初预算为0万元，支出决算为25.23万元，决算数大于预算数的主要原因在于年度财政追加预算。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社会保障和就业支出（类）残疾人事业（款）残疾人生活和护理补贴（项）。年初预算为0万元，支出决算为458.61万元，决算数大于预算数的主要原因在于年度财政追加预算。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社会保障和就业支出（类）残疾人事业（款）其他残疾人事业支出（项）。年初预算为0万元，支出决算为37万元，决算数大于预算数的主要原因在于年度财政追加预算。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社会保障和就业支出（类）最低生活保障（款）城市最低生活保障金支出（项）。年初预算为0万元，支出决算为607.48万元，决算数大于预算数的主要原因在于年度财政追加预算。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社会保障和就业支出（类）临时救助（款）临时救助支出（项）。年初预算为0万元，支出决算为180.31万元，决算数大于预算数的主要原因在于年度财政追加预算。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社会保障和就业支出（类）特困人员救助供养（款）城市特困人员救助供养支出（项）。年初预算为0万元，支出决算为9.65万元，决算数大于预算数的主要原因在于年度财政追加预算。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社会保障和就业支出（类）其他生活救助（款）其他城市生活救助（项）。年初预算为0万元，支出决算为27.98万元，决算数大于预算数的主要原因在于年度财政追加预算。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社会保障和就业支出（类）其他生活救助（款）其他农村生活救助（项）。年初预算为0万元，支出决算为18.09万元，决算数大于预算数的主要原因在于年度财政追加预算。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社会保障和就业支出（类）退役军人管理事务（款）拥军优属（项）。年初预算为0万元，支出决算为6.59万元，决算数大于预算数的主要原因在于年度财政追加预算。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社会保障和就业支出（类）社会保障和就业支出（款）其他社会保障和就业支出（项）。年初预算为0万元，支出决算为320.35万元，决算数大于预算数的主要原因在于年度财政追加预算。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卫生健康支出（类）计划生育事务（款）计划生育机构（项）。年初预算为42.2万元，支出决算为42.2万元，完成年初预算的100%，决算数等于预算数的主要原因在于严格按照预算计划安排支出。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卫生健康支出（类）计划生育事务（款）其他计划生育事务支出（项）。年初预算为104.5万元，支出决算为104.5万元，完成年初预算的100%，决算数等于预算数的主要原因在于严格按照预算计划安排支出。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卫生健康支出（类）优抚对象医疗（款）优抚对象医疗补助（项）。年初预算为0万元，支出决算为9.18万元，决算数大于预算数的主要原因在于年度财政追加预算。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节能环保支出（类）环境保护管理事务（款）其他环境保护管理事务支出（项）。年初预算为41.8万元，支出决算为41.8万元，完成年初预算的100%，决算数等于预算数的主要原因在于严格按照预算计划安排支出。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农林水支出（类）农业农村（款）事业运行（项）。年初预算为271.7万元，支出决算为271.7万元，完成年初预算的100%，决算数等于预算数的主要原因在于严格按照预算计划安排支出。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 xml:space="preserve"> </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农林水支出（类）农业农村（款）对高校毕业生到基层任职补助（项）。年初预算为5.57万元，支出决算为4.77万元，完成年初预算的85.64%，决算数小于预算数的主要原因在于人员调出费用支出减少。</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农林水支出（类）农业农村（款）其他农业农村支出（项）。年初预算为0万元，支出决算为55万元，决算数大于预算数的主要原因在于年度财政追加预算。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农林水支出（类）林业和草原（款）事业机构（项）。年初预算为83.6万元，支出决算为83.66万元，完成年初预算的100%，决算数等于预算数的主要原因在于严格按照预算计划安排支出。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农林水支出（类）水利（款）其他水利支出（项）。年初预算为62.7万元，支出决算为62.7万元，完成年初预算的100%，决算数等于预算数的主要原因在于严格按照预算计划安排支出。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农林水支出（类）扶贫（款）农村基础设施建设（项）。年初预算为0万元，支出决算为120万元，决算数大于预算数的主要原因在于年中财政追加预算。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农林水支出（类）农村综合改革（款）对村级一事一议的补助（项）。年初预算为0万元，支出决算为59.39万元，决算数大于预算数的主要原因在于年度财政追加预算。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农林水支出（类）其他农林水支出（款）其他农林水支出（项）。年初预算为0万元，支出决算为52万元，决算数大于预算数的主要原因在于年度财政追加预算。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资源勘探信息等支出（类）支持中小企业发展和管理支出（款）其他支持中小企业发展和管理支出（项）。年初预算为41.8万元，支出决算为41.8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灾害防治及应急管理支出（类）应急管理事务（款）安全监管（项）。年初预算为104.5万元，支出决算为104.5万元，完成年初预算的100%，决算数等于预算数的主要原因在于严格按照预算计划安排支出。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灾害防治及应急管理支出（类）自然灾害救灾及恢复重建支出（款）中央自然灾害生活补助（项）。年初预算为0万元，支出决算为355.99万元，决算数大于预算数的主要原因在于年度财政追加预算。</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其他支出（类）其他支出（款）其他支出（项）。年初预算为0万元，支出决算为121.75万元，决算数大于预算数的主要原因在于年初结余121.75万元。</w:t>
      </w:r>
    </w:p>
    <w:p>
      <w:pPr>
        <w:adjustRightInd w:val="0"/>
        <w:snapToGrid w:val="0"/>
        <w:spacing w:before="240" w:line="540" w:lineRule="exact"/>
        <w:ind w:firstLine="640"/>
        <w:jc w:val="both"/>
        <w:rPr>
          <w:rFonts w:eastAsia="仿宋" w:asciiTheme="minorHAnsi" w:hAnsiTheme="minorHAnsi"/>
        </w:rPr>
      </w:pPr>
      <w:r>
        <w:rPr>
          <w:rStyle w:val="36"/>
          <w:rFonts w:hAnsi="仿宋" w:eastAsia="仿宋" w:cs="Arial" w:asciiTheme="minorHAnsi"/>
          <w:sz w:val="32"/>
          <w:szCs w:val="32"/>
        </w:rPr>
        <w:t>（六）一般公共预算财政拨款基本支出决算情况说明</w:t>
      </w:r>
    </w:p>
    <w:p>
      <w:pPr>
        <w:adjustRightInd w:val="0"/>
        <w:snapToGrid w:val="0"/>
        <w:spacing w:before="240" w:line="540" w:lineRule="exact"/>
        <w:ind w:firstLine="640"/>
        <w:jc w:val="both"/>
        <w:rPr>
          <w:rFonts w:eastAsia="仿宋" w:asciiTheme="minorHAnsi" w:hAnsiTheme="minorHAnsi"/>
        </w:rPr>
      </w:pPr>
      <w:r>
        <w:rPr>
          <w:rFonts w:eastAsia="仿宋" w:cs="Arial" w:asciiTheme="minorHAnsi" w:hAnsiTheme="minorHAnsi"/>
          <w:sz w:val="32"/>
          <w:szCs w:val="32"/>
        </w:rPr>
        <w:t>2020</w:t>
      </w:r>
      <w:r>
        <w:rPr>
          <w:rFonts w:hAnsi="仿宋" w:eastAsia="仿宋" w:cs="Arial" w:asciiTheme="minorHAnsi"/>
          <w:sz w:val="32"/>
          <w:szCs w:val="32"/>
        </w:rPr>
        <w:t>年度一般公共预算财政拨款基本支出</w:t>
      </w:r>
      <w:r>
        <w:rPr>
          <w:rFonts w:eastAsia="仿宋" w:cs="Arial" w:asciiTheme="minorHAnsi" w:hAnsiTheme="minorHAnsi"/>
          <w:sz w:val="32"/>
          <w:szCs w:val="32"/>
        </w:rPr>
        <w:t>2,821.41</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其中：</w:t>
      </w:r>
    </w:p>
    <w:p>
      <w:pPr>
        <w:adjustRightInd w:val="0"/>
        <w:snapToGrid w:val="0"/>
        <w:spacing w:line="540" w:lineRule="exact"/>
        <w:ind w:firstLine="640"/>
        <w:jc w:val="both"/>
        <w:rPr>
          <w:rFonts w:eastAsia="仿宋" w:asciiTheme="minorHAnsi" w:hAnsiTheme="minorHAnsi"/>
        </w:rPr>
      </w:pPr>
      <w:r>
        <w:rPr>
          <w:rFonts w:hAnsi="仿宋" w:eastAsia="仿宋" w:cs="Arial" w:asciiTheme="minorHAnsi"/>
          <w:sz w:val="32"/>
          <w:szCs w:val="32"/>
        </w:rPr>
        <w:t>人员经费</w:t>
      </w:r>
      <w:r>
        <w:rPr>
          <w:rFonts w:eastAsia="仿宋" w:cs="Arial" w:asciiTheme="minorHAnsi" w:hAnsiTheme="minorHAnsi"/>
          <w:sz w:val="32"/>
          <w:szCs w:val="32"/>
        </w:rPr>
        <w:t>2,689.54</w:t>
      </w:r>
      <w:r>
        <w:rPr>
          <w:rFonts w:hAnsi="仿宋" w:eastAsia="仿宋" w:cs="Arial" w:asciiTheme="minorHAnsi"/>
          <w:sz w:val="32"/>
          <w:szCs w:val="32"/>
        </w:rPr>
        <w:t>万元，主要包括：基本工资、津贴补贴、奖金、绩效工资、养老保险、医疗保险、职业年金、住房公积金等。</w:t>
      </w:r>
    </w:p>
    <w:p>
      <w:pPr>
        <w:adjustRightInd w:val="0"/>
        <w:snapToGrid w:val="0"/>
        <w:spacing w:line="540" w:lineRule="exact"/>
        <w:ind w:firstLine="640"/>
        <w:jc w:val="both"/>
        <w:rPr>
          <w:rFonts w:eastAsia="仿宋" w:asciiTheme="minorHAnsi" w:hAnsiTheme="minorHAnsi"/>
        </w:rPr>
      </w:pPr>
      <w:r>
        <w:rPr>
          <w:rFonts w:hAnsi="仿宋" w:eastAsia="仿宋" w:cs="Arial" w:asciiTheme="minorHAnsi"/>
          <w:sz w:val="32"/>
          <w:szCs w:val="32"/>
        </w:rPr>
        <w:t>公用经费</w:t>
      </w:r>
      <w:r>
        <w:rPr>
          <w:rFonts w:eastAsia="仿宋" w:cs="Arial" w:asciiTheme="minorHAnsi" w:hAnsiTheme="minorHAnsi"/>
          <w:sz w:val="32"/>
          <w:szCs w:val="32"/>
        </w:rPr>
        <w:t>131.87</w:t>
      </w:r>
      <w:r>
        <w:rPr>
          <w:rFonts w:hAnsi="仿宋" w:eastAsia="仿宋" w:cs="Arial" w:asciiTheme="minorHAnsi"/>
          <w:sz w:val="32"/>
          <w:szCs w:val="32"/>
        </w:rPr>
        <w:t>万元，主要包括：办公费、印刷费、水电费、邮电费、维修（护）费、劳务费、委托业务费、工会经费、福利费、公务车运行维护费、其他交通费等。</w:t>
      </w:r>
    </w:p>
    <w:p>
      <w:pPr>
        <w:adjustRightInd w:val="0"/>
        <w:snapToGrid w:val="0"/>
        <w:spacing w:line="540" w:lineRule="exact"/>
        <w:ind w:firstLine="640"/>
        <w:jc w:val="both"/>
        <w:rPr>
          <w:rFonts w:eastAsia="仿宋" w:asciiTheme="minorHAnsi" w:hAnsiTheme="minorHAnsi"/>
        </w:rPr>
      </w:pPr>
      <w:r>
        <w:rPr>
          <w:rStyle w:val="36"/>
          <w:rFonts w:hAnsi="仿宋" w:eastAsia="仿宋" w:cs="Arial" w:asciiTheme="minorHAnsi"/>
          <w:sz w:val="32"/>
          <w:szCs w:val="32"/>
        </w:rPr>
        <w:t>（七）政府性基金预算财政拨款支出决算总体情况</w:t>
      </w:r>
    </w:p>
    <w:p>
      <w:pPr>
        <w:adjustRightInd w:val="0"/>
        <w:snapToGrid w:val="0"/>
        <w:spacing w:line="540" w:lineRule="exact"/>
        <w:ind w:firstLine="640"/>
        <w:jc w:val="both"/>
        <w:rPr>
          <w:rFonts w:eastAsia="仿宋" w:asciiTheme="minorHAnsi" w:hAnsiTheme="minorHAnsi"/>
        </w:rPr>
      </w:pPr>
      <w:r>
        <w:rPr>
          <w:rStyle w:val="36"/>
          <w:rFonts w:eastAsia="仿宋" w:cs="Arial" w:asciiTheme="minorHAnsi" w:hAnsiTheme="minorHAnsi"/>
          <w:sz w:val="32"/>
          <w:szCs w:val="32"/>
        </w:rPr>
        <w:t>1.</w:t>
      </w:r>
      <w:r>
        <w:rPr>
          <w:rStyle w:val="36"/>
          <w:rFonts w:hAnsi="仿宋" w:eastAsia="仿宋" w:cs="Arial" w:asciiTheme="minorHAnsi"/>
          <w:sz w:val="32"/>
          <w:szCs w:val="32"/>
        </w:rPr>
        <w:t>政府性基金预算财政拨款支出决算总体情况</w:t>
      </w:r>
    </w:p>
    <w:p>
      <w:pPr>
        <w:adjustRightInd w:val="0"/>
        <w:snapToGrid w:val="0"/>
        <w:spacing w:line="540" w:lineRule="exact"/>
        <w:ind w:firstLine="640"/>
        <w:jc w:val="both"/>
        <w:rPr>
          <w:rFonts w:eastAsia="仿宋" w:asciiTheme="minorHAnsi" w:hAnsiTheme="minorHAnsi"/>
        </w:rPr>
      </w:pPr>
      <w:r>
        <w:rPr>
          <w:rFonts w:eastAsia="仿宋" w:cs="Arial" w:asciiTheme="minorHAnsi" w:hAnsiTheme="minorHAnsi"/>
          <w:sz w:val="32"/>
          <w:szCs w:val="32"/>
        </w:rPr>
        <w:t>2020</w:t>
      </w:r>
      <w:r>
        <w:rPr>
          <w:rFonts w:hAnsi="仿宋" w:eastAsia="仿宋" w:cs="Arial" w:asciiTheme="minorHAnsi"/>
          <w:sz w:val="32"/>
          <w:szCs w:val="32"/>
        </w:rPr>
        <w:t>年度政府性基金预算财政拨款支出</w:t>
      </w:r>
      <w:r>
        <w:rPr>
          <w:rFonts w:eastAsia="仿宋" w:cs="Arial" w:asciiTheme="minorHAnsi" w:hAnsiTheme="minorHAnsi"/>
          <w:sz w:val="32"/>
          <w:szCs w:val="32"/>
        </w:rPr>
        <w:t>4,036.65</w:t>
      </w:r>
      <w:r>
        <w:rPr>
          <w:rFonts w:hAnsi="仿宋" w:eastAsia="仿宋" w:cs="Arial" w:asciiTheme="minorHAnsi"/>
          <w:sz w:val="32"/>
          <w:szCs w:val="32"/>
        </w:rPr>
        <w:t>万元，占本年支出合计的</w:t>
      </w:r>
      <w:r>
        <w:rPr>
          <w:rFonts w:eastAsia="仿宋" w:cs="Arial" w:asciiTheme="minorHAnsi" w:hAnsiTheme="minorHAnsi"/>
          <w:sz w:val="32"/>
          <w:szCs w:val="32"/>
        </w:rPr>
        <w:t>36.18%</w:t>
      </w:r>
      <w:r>
        <w:rPr>
          <w:rFonts w:hAnsi="仿宋" w:eastAsia="仿宋" w:cs="Arial" w:asciiTheme="minorHAnsi"/>
          <w:sz w:val="32"/>
          <w:szCs w:val="32"/>
        </w:rPr>
        <w:t>。与</w:t>
      </w:r>
      <w:r>
        <w:rPr>
          <w:rFonts w:eastAsia="仿宋" w:cs="Arial" w:asciiTheme="minorHAnsi" w:hAnsiTheme="minorHAnsi"/>
          <w:sz w:val="32"/>
          <w:szCs w:val="32"/>
        </w:rPr>
        <w:t>2019</w:t>
      </w:r>
      <w:r>
        <w:rPr>
          <w:rFonts w:hAnsi="仿宋" w:eastAsia="仿宋" w:cs="Arial" w:asciiTheme="minorHAnsi"/>
          <w:sz w:val="32"/>
          <w:szCs w:val="32"/>
        </w:rPr>
        <w:t>年相比，政府性基金预算财政拨款支出减少</w:t>
      </w:r>
      <w:r>
        <w:rPr>
          <w:rFonts w:eastAsia="仿宋" w:cs="Arial" w:asciiTheme="minorHAnsi" w:hAnsiTheme="minorHAnsi"/>
          <w:sz w:val="32"/>
          <w:szCs w:val="32"/>
        </w:rPr>
        <w:t>2,651.19</w:t>
      </w:r>
      <w:r>
        <w:rPr>
          <w:rFonts w:hAnsi="仿宋" w:eastAsia="仿宋" w:cs="Arial" w:asciiTheme="minorHAnsi"/>
          <w:sz w:val="32"/>
          <w:szCs w:val="32"/>
        </w:rPr>
        <w:t>万元，下降</w:t>
      </w:r>
      <w:r>
        <w:rPr>
          <w:rFonts w:eastAsia="仿宋" w:cs="Arial" w:asciiTheme="minorHAnsi" w:hAnsiTheme="minorHAnsi"/>
          <w:sz w:val="32"/>
          <w:szCs w:val="32"/>
        </w:rPr>
        <w:t>39.64%</w:t>
      </w:r>
      <w:r>
        <w:rPr>
          <w:rFonts w:hAnsi="仿宋" w:eastAsia="仿宋" w:cs="Arial" w:asciiTheme="minorHAnsi"/>
          <w:sz w:val="32"/>
          <w:szCs w:val="32"/>
        </w:rPr>
        <w:t>。主要原因是基本建设项目有所减少，政府性基金预算财政拨款收入支出相对减少。</w:t>
      </w:r>
    </w:p>
    <w:p>
      <w:pPr>
        <w:adjustRightInd w:val="0"/>
        <w:snapToGrid w:val="0"/>
        <w:spacing w:line="540" w:lineRule="exact"/>
        <w:ind w:firstLine="640"/>
        <w:jc w:val="both"/>
        <w:rPr>
          <w:rFonts w:eastAsia="仿宋" w:cs="Arial" w:asciiTheme="minorHAnsi" w:hAnsiTheme="minorHAnsi"/>
          <w:sz w:val="32"/>
          <w:szCs w:val="32"/>
        </w:rPr>
      </w:pPr>
      <w:r>
        <w:rPr>
          <w:rStyle w:val="36"/>
          <w:rFonts w:eastAsia="仿宋" w:cs="Arial" w:asciiTheme="minorHAnsi" w:hAnsiTheme="minorHAnsi"/>
          <w:sz w:val="32"/>
          <w:szCs w:val="32"/>
        </w:rPr>
        <w:t>2.</w:t>
      </w:r>
      <w:r>
        <w:rPr>
          <w:rStyle w:val="36"/>
          <w:rFonts w:hAnsi="仿宋" w:eastAsia="仿宋" w:cs="Arial" w:asciiTheme="minorHAnsi"/>
          <w:sz w:val="32"/>
          <w:szCs w:val="32"/>
        </w:rPr>
        <w:t>政府性基金预算财政拨款支出决算结构情况</w:t>
      </w:r>
    </w:p>
    <w:p>
      <w:pPr>
        <w:adjustRightInd w:val="0"/>
        <w:snapToGrid w:val="0"/>
        <w:spacing w:line="540" w:lineRule="exact"/>
        <w:ind w:firstLine="640"/>
        <w:jc w:val="both"/>
        <w:rPr>
          <w:rFonts w:eastAsia="仿宋" w:asciiTheme="minorHAnsi" w:hAnsiTheme="minorHAnsi"/>
        </w:rPr>
      </w:pPr>
      <w:r>
        <w:rPr>
          <w:rFonts w:eastAsia="仿宋" w:cs="Arial" w:asciiTheme="minorHAnsi" w:hAnsiTheme="minorHAnsi"/>
          <w:sz w:val="32"/>
          <w:szCs w:val="32"/>
        </w:rPr>
        <w:t>2020</w:t>
      </w:r>
      <w:r>
        <w:rPr>
          <w:rFonts w:hAnsi="仿宋" w:eastAsia="仿宋" w:cs="Arial" w:asciiTheme="minorHAnsi"/>
          <w:sz w:val="32"/>
          <w:szCs w:val="32"/>
        </w:rPr>
        <w:t>年度政府性基金预算财政拨款支出</w:t>
      </w:r>
      <w:r>
        <w:rPr>
          <w:rFonts w:eastAsia="仿宋" w:cs="Arial" w:asciiTheme="minorHAnsi" w:hAnsiTheme="minorHAnsi"/>
          <w:sz w:val="32"/>
          <w:szCs w:val="32"/>
        </w:rPr>
        <w:t>4,036.65</w:t>
      </w:r>
      <w:r>
        <w:rPr>
          <w:rFonts w:hAnsi="仿宋" w:eastAsia="仿宋" w:cs="Arial" w:asciiTheme="minorHAnsi"/>
          <w:sz w:val="32"/>
          <w:szCs w:val="32"/>
        </w:rPr>
        <w:t>万元，主要用于以下方面：科学技术（类）支出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；文化旅游体育与传媒（类）支出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；社会保障和就业（类）支出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；节能环保（类）支出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；城乡社区（类）支出</w:t>
      </w:r>
      <w:r>
        <w:rPr>
          <w:rFonts w:eastAsia="仿宋" w:cs="Arial" w:asciiTheme="minorHAnsi" w:hAnsiTheme="minorHAnsi"/>
          <w:sz w:val="32"/>
          <w:szCs w:val="32"/>
        </w:rPr>
        <w:t>3,797.21</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94.07%</w:t>
      </w:r>
      <w:r>
        <w:rPr>
          <w:rFonts w:hAnsi="仿宋" w:eastAsia="仿宋" w:cs="Arial" w:asciiTheme="minorHAnsi"/>
          <w:sz w:val="32"/>
          <w:szCs w:val="32"/>
        </w:rPr>
        <w:t>；农林水（类）支出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；交通运输（类）支出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；资源勘探信息等（类）支出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；金融（类）支出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；其他（类）支出</w:t>
      </w:r>
      <w:r>
        <w:rPr>
          <w:rFonts w:eastAsia="仿宋" w:cs="Arial" w:asciiTheme="minorHAnsi" w:hAnsiTheme="minorHAnsi"/>
          <w:sz w:val="32"/>
          <w:szCs w:val="32"/>
        </w:rPr>
        <w:t>239.44</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5.93%</w:t>
      </w:r>
      <w:r>
        <w:rPr>
          <w:rFonts w:hAnsi="仿宋" w:eastAsia="仿宋" w:cs="Arial" w:asciiTheme="minorHAnsi"/>
          <w:sz w:val="32"/>
          <w:szCs w:val="32"/>
        </w:rPr>
        <w:t>；债务付息（类）支出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；抗疫特别国债安排（类）支出</w:t>
      </w:r>
      <w:r>
        <w:rPr>
          <w:rFonts w:eastAsia="仿宋" w:cs="Arial" w:asciiTheme="minorHAnsi" w:hAnsiTheme="minorHAnsi"/>
          <w:sz w:val="32"/>
          <w:szCs w:val="32"/>
        </w:rPr>
        <w:t>0</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占</w:t>
      </w:r>
      <w:r>
        <w:rPr>
          <w:rFonts w:eastAsia="仿宋" w:cs="Arial" w:asciiTheme="minorHAnsi" w:hAnsiTheme="minorHAnsi"/>
          <w:sz w:val="32"/>
          <w:szCs w:val="32"/>
        </w:rPr>
        <w:t>0%</w:t>
      </w:r>
      <w:r>
        <w:rPr>
          <w:rFonts w:hAnsi="仿宋" w:eastAsia="仿宋" w:cs="Arial" w:asciiTheme="minorHAnsi"/>
          <w:sz w:val="32"/>
          <w:szCs w:val="32"/>
        </w:rPr>
        <w:t>。</w:t>
      </w:r>
    </w:p>
    <w:p>
      <w:pPr>
        <w:adjustRightInd w:val="0"/>
        <w:snapToGrid w:val="0"/>
        <w:spacing w:line="540" w:lineRule="exact"/>
        <w:ind w:firstLine="640"/>
        <w:jc w:val="both"/>
        <w:rPr>
          <w:rFonts w:eastAsia="仿宋" w:asciiTheme="minorHAnsi" w:hAnsiTheme="minorHAnsi"/>
        </w:rPr>
      </w:pPr>
      <w:r>
        <w:rPr>
          <w:rStyle w:val="36"/>
          <w:rFonts w:eastAsia="仿宋" w:cs="Arial" w:asciiTheme="minorHAnsi" w:hAnsiTheme="minorHAnsi"/>
          <w:sz w:val="32"/>
          <w:szCs w:val="32"/>
        </w:rPr>
        <w:t>3.</w:t>
      </w:r>
      <w:r>
        <w:rPr>
          <w:rStyle w:val="36"/>
          <w:rFonts w:hAnsi="仿宋" w:eastAsia="仿宋" w:cs="Arial" w:asciiTheme="minorHAnsi"/>
          <w:sz w:val="32"/>
          <w:szCs w:val="32"/>
        </w:rPr>
        <w:t>政府性基金预算财政拨款支出决算具体情况</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2020</w:t>
      </w:r>
      <w:r>
        <w:rPr>
          <w:rFonts w:hAnsi="仿宋" w:eastAsia="仿宋" w:cs="Arial" w:asciiTheme="minorHAnsi"/>
          <w:sz w:val="32"/>
          <w:szCs w:val="32"/>
        </w:rPr>
        <w:t>年度政府性基金预算财政拨款支出年初预算为</w:t>
      </w:r>
      <w:r>
        <w:rPr>
          <w:rFonts w:eastAsia="仿宋" w:cs="Arial" w:asciiTheme="minorHAnsi" w:hAnsiTheme="minorHAnsi"/>
          <w:sz w:val="32"/>
          <w:szCs w:val="32"/>
        </w:rPr>
        <w:t>0</w:t>
      </w:r>
      <w:r>
        <w:rPr>
          <w:rFonts w:hAnsi="仿宋" w:eastAsia="仿宋" w:cs="Arial" w:asciiTheme="minorHAnsi"/>
          <w:sz w:val="32"/>
          <w:szCs w:val="32"/>
        </w:rPr>
        <w:t>万元，支出决算为</w:t>
      </w:r>
      <w:r>
        <w:rPr>
          <w:rFonts w:eastAsia="仿宋" w:cs="Arial" w:asciiTheme="minorHAnsi" w:hAnsiTheme="minorHAnsi"/>
          <w:sz w:val="32"/>
          <w:szCs w:val="32"/>
        </w:rPr>
        <w:t>4,036.65</w:t>
      </w:r>
      <w:r>
        <w:rPr>
          <w:rFonts w:hAnsi="仿宋" w:eastAsia="仿宋" w:cs="Arial" w:asciiTheme="minorHAnsi"/>
          <w:sz w:val="32"/>
          <w:szCs w:val="32"/>
        </w:rPr>
        <w:t>万元</w:t>
      </w:r>
      <w:r>
        <w:rPr>
          <w:rFonts w:eastAsia="仿宋" w:cs="Arial" w:asciiTheme="minorHAnsi" w:hAnsiTheme="minorHAnsi"/>
          <w:sz w:val="32"/>
          <w:szCs w:val="32"/>
        </w:rPr>
        <w:t>,</w:t>
      </w:r>
      <w:r>
        <w:rPr>
          <w:rFonts w:hAnsi="仿宋" w:eastAsia="仿宋" w:cs="Arial" w:asciiTheme="minorHAnsi"/>
          <w:sz w:val="32"/>
          <w:szCs w:val="32"/>
        </w:rPr>
        <w:t>主要原因是</w:t>
      </w:r>
      <w:r>
        <w:rPr>
          <w:rFonts w:hAnsi="仿宋" w:eastAsia="仿宋" w:asciiTheme="minorHAnsi"/>
          <w:sz w:val="32"/>
          <w:szCs w:val="32"/>
        </w:rPr>
        <w:t>年度财政追加预算。其中：</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城乡社区支出（类）国有土地使用权出让收入安排的支出（款）土地开发支出（项）。年初预算为0万元，支出决算为3288.01万元，决算数大于预算数的主要原因在于年度财政追加预算。</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城乡社区支出（类）国有土地使用权出让收入安排的支出（款）其他国有土地使用权出让收入安排的支出（项）。年初预算为0万元，支出决算为494.2万元，决算数大于预算数的主要原因在于年度财政追加预算。</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城乡社区支出（类）城市基础设施配套费安排的支出（款）其他城市基础设施配套费安排的支出（项）。年初预算为0万元，支出决算为15万元，决算数大于预算数的主要原因在于年度财政追加预算。</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其他支出（类）其他政府性基金及对应专项债务收入安排的支出（款）其他政府性基金安排的支出（项）。年初预算为0万元，支出决算为76.81万元，决算数大于预算数的主要原因在于年度财政追加预算。</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其他支出（类）彩票公益金安排的支出（款）用于社会福利的彩票公益金支出（项）。年初预算为0万元，支出决算为162.23万元，决算数大于预算数的主要原因在于年度财政追加预算。</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其他支出（类）彩票公益金安排的支出（款）用于残疾人事业的彩票公益金支出（项）。年初预算为0万元，支出决算为0.39万元，决算数大于预算数的主要原因在于年度财政追加预算。</w:t>
      </w:r>
    </w:p>
    <w:p>
      <w:pPr>
        <w:adjustRightInd w:val="0"/>
        <w:snapToGrid w:val="0"/>
        <w:spacing w:before="240" w:line="540" w:lineRule="exact"/>
        <w:ind w:firstLine="640"/>
        <w:jc w:val="both"/>
        <w:rPr>
          <w:rFonts w:eastAsia="仿宋" w:cs="Arial" w:asciiTheme="minorHAnsi" w:hAnsiTheme="minorHAnsi"/>
          <w:sz w:val="32"/>
          <w:szCs w:val="32"/>
        </w:rPr>
      </w:pPr>
      <w:r>
        <w:rPr>
          <w:rStyle w:val="36"/>
          <w:rFonts w:hAnsi="仿宋" w:eastAsia="仿宋" w:cs="Arial" w:asciiTheme="minorHAnsi"/>
          <w:sz w:val="32"/>
          <w:szCs w:val="32"/>
        </w:rPr>
        <w:t>（八）国有资本经营预算财政拨款支出决算总体情况</w:t>
      </w:r>
    </w:p>
    <w:p>
      <w:pPr>
        <w:adjustRightInd w:val="0"/>
        <w:snapToGrid w:val="0"/>
        <w:spacing w:before="240" w:line="540" w:lineRule="exact"/>
        <w:ind w:firstLine="640"/>
        <w:jc w:val="both"/>
        <w:rPr>
          <w:rFonts w:eastAsia="仿宋" w:asciiTheme="minorHAnsi" w:hAnsiTheme="minorHAnsi"/>
          <w:b/>
          <w:bCs/>
        </w:rPr>
      </w:pPr>
      <w:r>
        <w:rPr>
          <w:rStyle w:val="36"/>
          <w:rFonts w:hAnsi="仿宋" w:eastAsia="仿宋" w:cs="Arial" w:asciiTheme="minorHAnsi"/>
          <w:b w:val="0"/>
          <w:bCs w:val="0"/>
          <w:sz w:val="32"/>
          <w:szCs w:val="32"/>
        </w:rPr>
        <w:t>本部门</w:t>
      </w:r>
      <w:r>
        <w:rPr>
          <w:rStyle w:val="36"/>
          <w:rFonts w:eastAsia="仿宋" w:cs="Arial" w:asciiTheme="minorHAnsi" w:hAnsiTheme="minorHAnsi"/>
          <w:b w:val="0"/>
          <w:bCs w:val="0"/>
          <w:sz w:val="32"/>
          <w:szCs w:val="32"/>
        </w:rPr>
        <w:t>2020</w:t>
      </w:r>
      <w:r>
        <w:rPr>
          <w:rStyle w:val="36"/>
          <w:rFonts w:hAnsi="仿宋" w:eastAsia="仿宋" w:cs="Arial" w:asciiTheme="minorHAnsi"/>
          <w:b w:val="0"/>
          <w:bCs w:val="0"/>
          <w:sz w:val="32"/>
          <w:szCs w:val="32"/>
        </w:rPr>
        <w:t>年度无国有资本经营预算财政拨款收支安排，故无相关数据。</w:t>
      </w:r>
    </w:p>
    <w:p>
      <w:pPr>
        <w:adjustRightInd w:val="0"/>
        <w:snapToGrid w:val="0"/>
        <w:spacing w:before="240" w:line="540" w:lineRule="exact"/>
        <w:ind w:firstLine="640"/>
        <w:jc w:val="both"/>
        <w:rPr>
          <w:rFonts w:eastAsia="仿宋" w:asciiTheme="minorHAnsi" w:hAnsiTheme="minorHAnsi"/>
        </w:rPr>
      </w:pPr>
      <w:r>
        <w:rPr>
          <w:rStyle w:val="36"/>
          <w:rFonts w:hAnsi="仿宋" w:eastAsia="仿宋" w:cs="Arial" w:asciiTheme="minorHAnsi"/>
          <w:sz w:val="32"/>
          <w:szCs w:val="32"/>
        </w:rPr>
        <w:t>（九）一般公共预算财政拨款</w:t>
      </w:r>
      <w:r>
        <w:rPr>
          <w:rStyle w:val="36"/>
          <w:rFonts w:eastAsia="仿宋" w:cs="Arial" w:asciiTheme="minorHAnsi" w:hAnsiTheme="minorHAnsi"/>
          <w:sz w:val="32"/>
          <w:szCs w:val="32"/>
        </w:rPr>
        <w:t>“</w:t>
      </w:r>
      <w:r>
        <w:rPr>
          <w:rStyle w:val="36"/>
          <w:rFonts w:hAnsi="仿宋" w:eastAsia="仿宋" w:cs="Arial" w:asciiTheme="minorHAnsi"/>
          <w:sz w:val="32"/>
          <w:szCs w:val="32"/>
        </w:rPr>
        <w:t>三公</w:t>
      </w:r>
      <w:r>
        <w:rPr>
          <w:rStyle w:val="36"/>
          <w:rFonts w:eastAsia="仿宋" w:cs="Arial" w:asciiTheme="minorHAnsi" w:hAnsiTheme="minorHAnsi"/>
          <w:sz w:val="32"/>
          <w:szCs w:val="32"/>
        </w:rPr>
        <w:t>”</w:t>
      </w:r>
      <w:r>
        <w:rPr>
          <w:rStyle w:val="36"/>
          <w:rFonts w:hAnsi="仿宋" w:eastAsia="仿宋" w:cs="Arial" w:asciiTheme="minorHAnsi"/>
          <w:sz w:val="32"/>
          <w:szCs w:val="32"/>
        </w:rPr>
        <w:t>经费支出决算情况说明</w:t>
      </w:r>
    </w:p>
    <w:p>
      <w:pPr>
        <w:adjustRightInd w:val="0"/>
        <w:snapToGrid w:val="0"/>
        <w:spacing w:line="540" w:lineRule="exact"/>
        <w:ind w:firstLine="640"/>
        <w:jc w:val="both"/>
        <w:rPr>
          <w:rFonts w:eastAsia="仿宋" w:asciiTheme="minorHAnsi" w:hAnsiTheme="minorHAnsi"/>
        </w:rPr>
      </w:pPr>
      <w:r>
        <w:rPr>
          <w:rStyle w:val="36"/>
          <w:rFonts w:eastAsia="仿宋" w:cs="Arial" w:asciiTheme="minorHAnsi" w:hAnsiTheme="minorHAnsi"/>
          <w:sz w:val="32"/>
          <w:szCs w:val="32"/>
        </w:rPr>
        <w:t>1.“</w:t>
      </w:r>
      <w:r>
        <w:rPr>
          <w:rStyle w:val="36"/>
          <w:rFonts w:hAnsi="仿宋" w:eastAsia="仿宋" w:cs="Arial" w:asciiTheme="minorHAnsi"/>
          <w:sz w:val="32"/>
          <w:szCs w:val="32"/>
        </w:rPr>
        <w:t>三公</w:t>
      </w:r>
      <w:r>
        <w:rPr>
          <w:rStyle w:val="36"/>
          <w:rFonts w:eastAsia="仿宋" w:cs="Arial" w:asciiTheme="minorHAnsi" w:hAnsiTheme="minorHAnsi"/>
          <w:sz w:val="32"/>
          <w:szCs w:val="32"/>
        </w:rPr>
        <w:t>”</w:t>
      </w:r>
      <w:r>
        <w:rPr>
          <w:rStyle w:val="36"/>
          <w:rFonts w:hAnsi="仿宋" w:eastAsia="仿宋" w:cs="Arial" w:asciiTheme="minorHAnsi"/>
          <w:sz w:val="32"/>
          <w:szCs w:val="32"/>
        </w:rPr>
        <w:t>经费一般公共预算财政拨款支出决算总体情况说明。</w:t>
      </w:r>
    </w:p>
    <w:p>
      <w:pPr>
        <w:adjustRightInd w:val="0"/>
        <w:snapToGrid w:val="0"/>
        <w:spacing w:line="540" w:lineRule="exact"/>
        <w:ind w:firstLine="640"/>
        <w:jc w:val="both"/>
        <w:rPr>
          <w:rFonts w:eastAsia="仿宋" w:asciiTheme="minorHAnsi" w:hAnsiTheme="minorHAnsi"/>
        </w:rPr>
      </w:pPr>
      <w:r>
        <w:rPr>
          <w:rFonts w:eastAsia="仿宋" w:cs="Arial" w:asciiTheme="minorHAnsi" w:hAnsiTheme="minorHAnsi"/>
          <w:sz w:val="32"/>
          <w:szCs w:val="32"/>
        </w:rPr>
        <w:t>2020</w:t>
      </w:r>
      <w:r>
        <w:rPr>
          <w:rFonts w:hAnsi="仿宋" w:eastAsia="仿宋" w:cs="Arial" w:asciiTheme="minorHAnsi"/>
          <w:sz w:val="32"/>
          <w:szCs w:val="32"/>
        </w:rPr>
        <w:t>年度</w:t>
      </w:r>
      <w:r>
        <w:rPr>
          <w:rFonts w:eastAsia="仿宋" w:cs="Arial" w:asciiTheme="minorHAnsi" w:hAnsiTheme="minorHAnsi"/>
          <w:sz w:val="32"/>
          <w:szCs w:val="32"/>
        </w:rPr>
        <w:t>“</w:t>
      </w:r>
      <w:r>
        <w:rPr>
          <w:rFonts w:hAnsi="仿宋" w:eastAsia="仿宋" w:cs="Arial" w:asciiTheme="minorHAnsi"/>
          <w:sz w:val="32"/>
          <w:szCs w:val="32"/>
        </w:rPr>
        <w:t>三公</w:t>
      </w:r>
      <w:r>
        <w:rPr>
          <w:rFonts w:eastAsia="仿宋" w:cs="Arial" w:asciiTheme="minorHAnsi" w:hAnsiTheme="minorHAnsi"/>
          <w:sz w:val="32"/>
          <w:szCs w:val="32"/>
        </w:rPr>
        <w:t>”</w:t>
      </w:r>
      <w:r>
        <w:rPr>
          <w:rFonts w:hAnsi="仿宋" w:eastAsia="仿宋" w:cs="Arial" w:asciiTheme="minorHAnsi"/>
          <w:sz w:val="32"/>
          <w:szCs w:val="32"/>
        </w:rPr>
        <w:t>经费支出预算为</w:t>
      </w:r>
      <w:r>
        <w:rPr>
          <w:rFonts w:eastAsia="仿宋" w:cs="Arial" w:asciiTheme="minorHAnsi" w:hAnsiTheme="minorHAnsi"/>
          <w:sz w:val="32"/>
          <w:szCs w:val="32"/>
        </w:rPr>
        <w:t>13.25</w:t>
      </w:r>
      <w:r>
        <w:rPr>
          <w:rFonts w:hAnsi="仿宋" w:eastAsia="仿宋" w:cs="Arial" w:asciiTheme="minorHAnsi"/>
          <w:sz w:val="32"/>
          <w:szCs w:val="32"/>
        </w:rPr>
        <w:t>万元，在一般公共预算财政拨款中支出决算为</w:t>
      </w:r>
      <w:r>
        <w:rPr>
          <w:rFonts w:eastAsia="仿宋" w:cs="Arial" w:asciiTheme="minorHAnsi" w:hAnsiTheme="minorHAnsi"/>
          <w:sz w:val="32"/>
          <w:szCs w:val="32"/>
        </w:rPr>
        <w:t>0.88</w:t>
      </w:r>
      <w:r>
        <w:rPr>
          <w:rFonts w:hAnsi="仿宋" w:eastAsia="仿宋" w:cs="Arial" w:asciiTheme="minorHAnsi"/>
          <w:sz w:val="32"/>
          <w:szCs w:val="32"/>
        </w:rPr>
        <w:t>万元，全部支出决算为</w:t>
      </w:r>
      <w:r>
        <w:rPr>
          <w:rFonts w:eastAsia="仿宋" w:cs="Arial" w:asciiTheme="minorHAnsi" w:hAnsiTheme="minorHAnsi"/>
          <w:sz w:val="32"/>
          <w:szCs w:val="32"/>
        </w:rPr>
        <w:t>9.97</w:t>
      </w:r>
      <w:r>
        <w:rPr>
          <w:rFonts w:hAnsi="仿宋" w:eastAsia="仿宋" w:cs="Arial" w:asciiTheme="minorHAnsi"/>
          <w:sz w:val="32"/>
          <w:szCs w:val="32"/>
        </w:rPr>
        <w:t>万元，完成预算的</w:t>
      </w:r>
      <w:r>
        <w:rPr>
          <w:rFonts w:eastAsia="仿宋" w:cs="Arial" w:asciiTheme="minorHAnsi" w:hAnsiTheme="minorHAnsi"/>
          <w:sz w:val="32"/>
          <w:szCs w:val="32"/>
        </w:rPr>
        <w:t>75%</w:t>
      </w:r>
      <w:r>
        <w:rPr>
          <w:rFonts w:hAnsi="仿宋" w:eastAsia="仿宋" w:cs="Arial" w:asciiTheme="minorHAnsi"/>
          <w:sz w:val="32"/>
          <w:szCs w:val="32"/>
        </w:rPr>
        <w:t>。决算数小于预算数的主要原因是</w:t>
      </w:r>
      <w:r>
        <w:rPr>
          <w:rFonts w:hAnsi="仿宋" w:eastAsia="仿宋" w:asciiTheme="minorHAnsi"/>
          <w:sz w:val="32"/>
          <w:szCs w:val="32"/>
          <w:shd w:val="clear" w:color="auto" w:fill="FFFFFF"/>
        </w:rPr>
        <w:t>从严控制和压缩</w:t>
      </w:r>
      <w:r>
        <w:rPr>
          <w:rFonts w:eastAsia="仿宋" w:asciiTheme="minorHAnsi" w:hAnsiTheme="minorHAnsi"/>
          <w:sz w:val="32"/>
          <w:szCs w:val="32"/>
          <w:shd w:val="clear" w:color="auto" w:fill="FFFFFF"/>
        </w:rPr>
        <w:t>“</w:t>
      </w:r>
      <w:r>
        <w:rPr>
          <w:rFonts w:hAnsi="仿宋" w:eastAsia="仿宋" w:asciiTheme="minorHAnsi"/>
          <w:sz w:val="32"/>
          <w:szCs w:val="32"/>
          <w:shd w:val="clear" w:color="auto" w:fill="FFFFFF"/>
        </w:rPr>
        <w:t>三公</w:t>
      </w:r>
      <w:r>
        <w:rPr>
          <w:rFonts w:eastAsia="仿宋" w:asciiTheme="minorHAnsi" w:hAnsiTheme="minorHAnsi"/>
          <w:sz w:val="32"/>
          <w:szCs w:val="32"/>
          <w:shd w:val="clear" w:color="auto" w:fill="FFFFFF"/>
        </w:rPr>
        <w:t>”</w:t>
      </w:r>
      <w:r>
        <w:rPr>
          <w:rFonts w:hAnsi="仿宋" w:eastAsia="仿宋" w:asciiTheme="minorHAnsi"/>
          <w:sz w:val="32"/>
          <w:szCs w:val="32"/>
          <w:shd w:val="clear" w:color="auto" w:fill="FFFFFF"/>
        </w:rPr>
        <w:t>经费支出，以及受公务用车改革等影响，公务用车支出减少。</w:t>
      </w:r>
    </w:p>
    <w:p>
      <w:pPr>
        <w:adjustRightInd w:val="0"/>
        <w:snapToGrid w:val="0"/>
        <w:spacing w:line="540" w:lineRule="exact"/>
        <w:ind w:firstLine="640"/>
        <w:jc w:val="both"/>
        <w:rPr>
          <w:rFonts w:eastAsia="仿宋" w:asciiTheme="minorHAnsi" w:hAnsiTheme="minorHAnsi"/>
        </w:rPr>
      </w:pPr>
      <w:r>
        <w:rPr>
          <w:rStyle w:val="36"/>
          <w:rFonts w:eastAsia="仿宋" w:cs="Arial" w:asciiTheme="minorHAnsi" w:hAnsiTheme="minorHAnsi"/>
          <w:sz w:val="32"/>
          <w:szCs w:val="32"/>
        </w:rPr>
        <w:t>2.“</w:t>
      </w:r>
      <w:r>
        <w:rPr>
          <w:rStyle w:val="36"/>
          <w:rFonts w:hAnsi="仿宋" w:eastAsia="仿宋" w:cs="Arial" w:asciiTheme="minorHAnsi"/>
          <w:sz w:val="32"/>
          <w:szCs w:val="32"/>
        </w:rPr>
        <w:t>三公</w:t>
      </w:r>
      <w:r>
        <w:rPr>
          <w:rStyle w:val="36"/>
          <w:rFonts w:eastAsia="仿宋" w:cs="Arial" w:asciiTheme="minorHAnsi" w:hAnsiTheme="minorHAnsi"/>
          <w:sz w:val="32"/>
          <w:szCs w:val="32"/>
        </w:rPr>
        <w:t>”</w:t>
      </w:r>
      <w:r>
        <w:rPr>
          <w:rStyle w:val="36"/>
          <w:rFonts w:hAnsi="仿宋" w:eastAsia="仿宋" w:cs="Arial" w:asciiTheme="minorHAnsi"/>
          <w:sz w:val="32"/>
          <w:szCs w:val="32"/>
        </w:rPr>
        <w:t>经费一般公共预算财政拨款支出决算具体情况说明。</w:t>
      </w:r>
    </w:p>
    <w:p>
      <w:pPr>
        <w:adjustRightInd w:val="0"/>
        <w:snapToGrid w:val="0"/>
        <w:spacing w:line="540" w:lineRule="exact"/>
        <w:ind w:firstLine="640"/>
        <w:jc w:val="both"/>
        <w:rPr>
          <w:rFonts w:eastAsia="仿宋" w:asciiTheme="minorHAnsi" w:hAnsiTheme="minorHAnsi"/>
        </w:rPr>
      </w:pPr>
      <w:r>
        <w:rPr>
          <w:rFonts w:eastAsia="仿宋" w:cs="Arial" w:asciiTheme="minorHAnsi" w:hAnsiTheme="minorHAnsi"/>
          <w:sz w:val="32"/>
          <w:szCs w:val="32"/>
        </w:rPr>
        <w:t>2020</w:t>
      </w:r>
      <w:r>
        <w:rPr>
          <w:rFonts w:hAnsi="仿宋" w:eastAsia="仿宋" w:cs="Arial" w:asciiTheme="minorHAnsi"/>
          <w:sz w:val="32"/>
          <w:szCs w:val="32"/>
        </w:rPr>
        <w:t>年度</w:t>
      </w:r>
      <w:r>
        <w:rPr>
          <w:rFonts w:eastAsia="仿宋" w:cs="Arial" w:asciiTheme="minorHAnsi" w:hAnsiTheme="minorHAnsi"/>
          <w:sz w:val="32"/>
          <w:szCs w:val="32"/>
        </w:rPr>
        <w:t>“</w:t>
      </w:r>
      <w:r>
        <w:rPr>
          <w:rFonts w:hAnsi="仿宋" w:eastAsia="仿宋" w:cs="Arial" w:asciiTheme="minorHAnsi"/>
          <w:sz w:val="32"/>
          <w:szCs w:val="32"/>
        </w:rPr>
        <w:t>三公</w:t>
      </w:r>
      <w:r>
        <w:rPr>
          <w:rFonts w:eastAsia="仿宋" w:cs="Arial" w:asciiTheme="minorHAnsi" w:hAnsiTheme="minorHAnsi"/>
          <w:sz w:val="32"/>
          <w:szCs w:val="32"/>
        </w:rPr>
        <w:t>”</w:t>
      </w:r>
      <w:r>
        <w:rPr>
          <w:rFonts w:hAnsi="仿宋" w:eastAsia="仿宋" w:cs="Arial" w:asciiTheme="minorHAnsi"/>
          <w:sz w:val="32"/>
          <w:szCs w:val="32"/>
        </w:rPr>
        <w:t>经费在一般公共预算财政拨款支出决算中，因公出国（境）费用支出决算为</w:t>
      </w:r>
      <w:r>
        <w:rPr>
          <w:rFonts w:eastAsia="仿宋" w:cs="Arial" w:asciiTheme="minorHAnsi" w:hAnsiTheme="minorHAnsi"/>
          <w:sz w:val="32"/>
          <w:szCs w:val="32"/>
        </w:rPr>
        <w:t>0</w:t>
      </w:r>
      <w:r>
        <w:rPr>
          <w:rFonts w:hAnsi="仿宋" w:eastAsia="仿宋" w:cs="Arial" w:asciiTheme="minorHAnsi"/>
          <w:sz w:val="32"/>
          <w:szCs w:val="32"/>
        </w:rPr>
        <w:t>万元，占</w:t>
      </w:r>
      <w:r>
        <w:rPr>
          <w:rFonts w:eastAsia="仿宋" w:cs="Arial" w:asciiTheme="minorHAnsi" w:hAnsiTheme="minorHAnsi"/>
          <w:sz w:val="32"/>
          <w:szCs w:val="32"/>
        </w:rPr>
        <w:t>0%</w:t>
      </w:r>
      <w:r>
        <w:rPr>
          <w:rFonts w:hAnsi="仿宋" w:eastAsia="仿宋" w:cs="Arial" w:asciiTheme="minorHAnsi"/>
          <w:sz w:val="32"/>
          <w:szCs w:val="32"/>
        </w:rPr>
        <w:t>，与</w:t>
      </w:r>
      <w:r>
        <w:rPr>
          <w:rFonts w:eastAsia="仿宋" w:cs="Arial" w:asciiTheme="minorHAnsi" w:hAnsiTheme="minorHAnsi"/>
          <w:sz w:val="32"/>
          <w:szCs w:val="32"/>
        </w:rPr>
        <w:t>2019</w:t>
      </w:r>
      <w:r>
        <w:rPr>
          <w:rFonts w:hAnsi="仿宋" w:eastAsia="仿宋" w:cs="Arial" w:asciiTheme="minorHAnsi"/>
          <w:sz w:val="32"/>
          <w:szCs w:val="32"/>
        </w:rPr>
        <w:t>年度相比，增加</w:t>
      </w:r>
      <w:r>
        <w:rPr>
          <w:rFonts w:eastAsia="仿宋" w:cs="Arial" w:asciiTheme="minorHAnsi" w:hAnsiTheme="minorHAnsi"/>
          <w:sz w:val="32"/>
          <w:szCs w:val="32"/>
        </w:rPr>
        <w:t>0</w:t>
      </w:r>
      <w:r>
        <w:rPr>
          <w:rFonts w:hAnsi="仿宋" w:eastAsia="仿宋" w:cs="Arial" w:asciiTheme="minorHAnsi"/>
          <w:sz w:val="32"/>
          <w:szCs w:val="32"/>
        </w:rPr>
        <w:t>万元，增长</w:t>
      </w:r>
      <w:r>
        <w:rPr>
          <w:rFonts w:eastAsia="仿宋" w:cs="Arial" w:asciiTheme="minorHAnsi" w:hAnsiTheme="minorHAnsi"/>
          <w:sz w:val="32"/>
          <w:szCs w:val="32"/>
        </w:rPr>
        <w:t>0%</w:t>
      </w:r>
      <w:r>
        <w:rPr>
          <w:rFonts w:hAnsi="仿宋" w:eastAsia="仿宋" w:cs="Arial" w:asciiTheme="minorHAnsi"/>
          <w:sz w:val="32"/>
          <w:szCs w:val="32"/>
        </w:rPr>
        <w:t>，主要原因是</w:t>
      </w:r>
      <w:r>
        <w:rPr>
          <w:rFonts w:eastAsia="仿宋" w:cs="Arial" w:asciiTheme="minorHAnsi" w:hAnsiTheme="minorHAnsi"/>
          <w:sz w:val="32"/>
          <w:szCs w:val="32"/>
        </w:rPr>
        <w:t>2020</w:t>
      </w:r>
      <w:r>
        <w:rPr>
          <w:rFonts w:hAnsi="仿宋" w:eastAsia="仿宋" w:cs="Arial" w:asciiTheme="minorHAnsi"/>
          <w:sz w:val="32"/>
          <w:szCs w:val="32"/>
        </w:rPr>
        <w:t>年无出国（境）活动安排；公务用车购置及运行维护费支出决算为</w:t>
      </w:r>
      <w:r>
        <w:rPr>
          <w:rFonts w:eastAsia="仿宋" w:cs="Arial" w:asciiTheme="minorHAnsi" w:hAnsiTheme="minorHAnsi"/>
          <w:sz w:val="32"/>
          <w:szCs w:val="32"/>
        </w:rPr>
        <w:t>0.88</w:t>
      </w:r>
      <w:r>
        <w:rPr>
          <w:rFonts w:hAnsi="仿宋" w:eastAsia="仿宋" w:cs="Arial" w:asciiTheme="minorHAnsi"/>
          <w:sz w:val="32"/>
          <w:szCs w:val="32"/>
        </w:rPr>
        <w:t>万元，占</w:t>
      </w:r>
      <w:r>
        <w:rPr>
          <w:rFonts w:eastAsia="仿宋" w:cs="Arial" w:asciiTheme="minorHAnsi" w:hAnsiTheme="minorHAnsi"/>
          <w:sz w:val="32"/>
          <w:szCs w:val="32"/>
        </w:rPr>
        <w:t>100.00%</w:t>
      </w:r>
      <w:r>
        <w:rPr>
          <w:rFonts w:hAnsi="仿宋" w:eastAsia="仿宋" w:cs="Arial" w:asciiTheme="minorHAnsi"/>
          <w:sz w:val="32"/>
          <w:szCs w:val="32"/>
        </w:rPr>
        <w:t>，与</w:t>
      </w:r>
      <w:r>
        <w:rPr>
          <w:rFonts w:eastAsia="仿宋" w:cs="Arial" w:asciiTheme="minorHAnsi" w:hAnsiTheme="minorHAnsi"/>
          <w:sz w:val="32"/>
          <w:szCs w:val="32"/>
        </w:rPr>
        <w:t>2019</w:t>
      </w:r>
      <w:r>
        <w:rPr>
          <w:rFonts w:hAnsi="仿宋" w:eastAsia="仿宋" w:cs="Arial" w:asciiTheme="minorHAnsi"/>
          <w:sz w:val="32"/>
          <w:szCs w:val="32"/>
        </w:rPr>
        <w:t>年度相比，减少</w:t>
      </w:r>
      <w:r>
        <w:rPr>
          <w:rFonts w:eastAsia="仿宋" w:cs="Arial" w:asciiTheme="minorHAnsi" w:hAnsiTheme="minorHAnsi"/>
          <w:sz w:val="32"/>
          <w:szCs w:val="32"/>
        </w:rPr>
        <w:t>14.48</w:t>
      </w:r>
      <w:r>
        <w:rPr>
          <w:rFonts w:hAnsi="仿宋" w:eastAsia="仿宋" w:cs="Arial" w:asciiTheme="minorHAnsi"/>
          <w:sz w:val="32"/>
          <w:szCs w:val="32"/>
        </w:rPr>
        <w:t>万元，下降</w:t>
      </w:r>
      <w:r>
        <w:rPr>
          <w:rFonts w:eastAsia="仿宋" w:cs="Arial" w:asciiTheme="minorHAnsi" w:hAnsiTheme="minorHAnsi"/>
          <w:sz w:val="32"/>
          <w:szCs w:val="32"/>
        </w:rPr>
        <w:t>94.25%</w:t>
      </w:r>
      <w:r>
        <w:rPr>
          <w:rFonts w:hAnsi="仿宋" w:eastAsia="仿宋" w:cs="Arial" w:asciiTheme="minorHAnsi"/>
          <w:sz w:val="32"/>
          <w:szCs w:val="32"/>
        </w:rPr>
        <w:t>，主要原因是</w:t>
      </w:r>
      <w:r>
        <w:rPr>
          <w:rFonts w:eastAsia="仿宋" w:cs="Arial" w:asciiTheme="minorHAnsi" w:hAnsiTheme="minorHAnsi"/>
          <w:sz w:val="32"/>
          <w:szCs w:val="32"/>
        </w:rPr>
        <w:t>20</w:t>
      </w:r>
      <w:r>
        <w:rPr>
          <w:rFonts w:hAnsi="仿宋" w:eastAsia="仿宋" w:cs="Arial" w:asciiTheme="minorHAnsi"/>
          <w:sz w:val="32"/>
          <w:szCs w:val="32"/>
        </w:rPr>
        <w:t>年公务用车购置及运行维护在一般公共预算财政拨款支出比例减少；公务接待费支出决算为</w:t>
      </w:r>
      <w:r>
        <w:rPr>
          <w:rFonts w:eastAsia="仿宋" w:cs="Arial" w:asciiTheme="minorHAnsi" w:hAnsiTheme="minorHAnsi"/>
          <w:sz w:val="32"/>
          <w:szCs w:val="32"/>
        </w:rPr>
        <w:t>0</w:t>
      </w:r>
      <w:r>
        <w:rPr>
          <w:rFonts w:hAnsi="仿宋" w:eastAsia="仿宋" w:cs="Arial" w:asciiTheme="minorHAnsi"/>
          <w:sz w:val="32"/>
          <w:szCs w:val="32"/>
        </w:rPr>
        <w:t>万元，占</w:t>
      </w:r>
      <w:r>
        <w:rPr>
          <w:rFonts w:eastAsia="仿宋" w:cs="Arial" w:asciiTheme="minorHAnsi" w:hAnsiTheme="minorHAnsi"/>
          <w:sz w:val="32"/>
          <w:szCs w:val="32"/>
        </w:rPr>
        <w:t>0%</w:t>
      </w:r>
      <w:r>
        <w:rPr>
          <w:rFonts w:hAnsi="仿宋" w:eastAsia="仿宋" w:cs="Arial" w:asciiTheme="minorHAnsi"/>
          <w:sz w:val="32"/>
          <w:szCs w:val="32"/>
        </w:rPr>
        <w:t>，与</w:t>
      </w:r>
      <w:r>
        <w:rPr>
          <w:rFonts w:eastAsia="仿宋" w:cs="Arial" w:asciiTheme="minorHAnsi" w:hAnsiTheme="minorHAnsi"/>
          <w:sz w:val="32"/>
          <w:szCs w:val="32"/>
        </w:rPr>
        <w:t>2019</w:t>
      </w:r>
      <w:r>
        <w:rPr>
          <w:rFonts w:hAnsi="仿宋" w:eastAsia="仿宋" w:cs="Arial" w:asciiTheme="minorHAnsi"/>
          <w:sz w:val="32"/>
          <w:szCs w:val="32"/>
        </w:rPr>
        <w:t>年度相比，减少</w:t>
      </w:r>
      <w:r>
        <w:rPr>
          <w:rFonts w:eastAsia="仿宋" w:cs="Arial" w:asciiTheme="minorHAnsi" w:hAnsiTheme="minorHAnsi"/>
          <w:sz w:val="32"/>
          <w:szCs w:val="32"/>
        </w:rPr>
        <w:t>4.74</w:t>
      </w:r>
      <w:r>
        <w:rPr>
          <w:rFonts w:hAnsi="仿宋" w:eastAsia="仿宋" w:cs="Arial" w:asciiTheme="minorHAnsi"/>
          <w:sz w:val="32"/>
          <w:szCs w:val="32"/>
        </w:rPr>
        <w:t>万元，下降</w:t>
      </w:r>
      <w:r>
        <w:rPr>
          <w:rFonts w:eastAsia="仿宋" w:cs="Arial" w:asciiTheme="minorHAnsi" w:hAnsiTheme="minorHAnsi"/>
          <w:sz w:val="32"/>
          <w:szCs w:val="32"/>
        </w:rPr>
        <w:t>100.00%</w:t>
      </w:r>
      <w:r>
        <w:rPr>
          <w:rFonts w:hAnsi="仿宋" w:eastAsia="仿宋" w:cs="Arial" w:asciiTheme="minorHAnsi"/>
          <w:sz w:val="32"/>
          <w:szCs w:val="32"/>
        </w:rPr>
        <w:t>，主要原因是公务接待费未在一般公共预算财政拨款中支出。具体情况如下：</w:t>
      </w:r>
    </w:p>
    <w:p>
      <w:pPr>
        <w:adjustRightInd w:val="0"/>
        <w:snapToGrid w:val="0"/>
        <w:spacing w:line="540" w:lineRule="exact"/>
        <w:ind w:firstLine="640"/>
        <w:jc w:val="both"/>
        <w:rPr>
          <w:rFonts w:eastAsia="仿宋" w:asciiTheme="minorHAnsi" w:hAnsiTheme="minorHAnsi"/>
        </w:rPr>
      </w:pPr>
      <w:r>
        <w:rPr>
          <w:rFonts w:hAnsi="仿宋" w:eastAsia="仿宋" w:cs="Arial" w:asciiTheme="minorHAnsi"/>
          <w:sz w:val="32"/>
          <w:szCs w:val="32"/>
        </w:rPr>
        <w:t>（</w:t>
      </w:r>
      <w:r>
        <w:rPr>
          <w:rFonts w:eastAsia="仿宋" w:cs="Arial" w:asciiTheme="minorHAnsi" w:hAnsiTheme="minorHAnsi"/>
          <w:sz w:val="32"/>
          <w:szCs w:val="32"/>
        </w:rPr>
        <w:t>1</w:t>
      </w:r>
      <w:r>
        <w:rPr>
          <w:rFonts w:hAnsi="仿宋" w:eastAsia="仿宋" w:cs="Arial" w:asciiTheme="minorHAnsi"/>
          <w:sz w:val="32"/>
          <w:szCs w:val="32"/>
        </w:rPr>
        <w:t>）因公出国（境）费预算数</w:t>
      </w:r>
      <w:r>
        <w:rPr>
          <w:rFonts w:eastAsia="仿宋" w:cs="Arial" w:asciiTheme="minorHAnsi" w:hAnsiTheme="minorHAnsi"/>
          <w:sz w:val="32"/>
          <w:szCs w:val="32"/>
        </w:rPr>
        <w:t>0</w:t>
      </w:r>
      <w:r>
        <w:rPr>
          <w:rFonts w:hAnsi="仿宋" w:eastAsia="仿宋" w:cs="Arial" w:asciiTheme="minorHAnsi"/>
          <w:sz w:val="32"/>
          <w:szCs w:val="32"/>
        </w:rPr>
        <w:t>万元，支出决算为</w:t>
      </w:r>
      <w:r>
        <w:rPr>
          <w:rFonts w:eastAsia="仿宋" w:cs="Arial" w:asciiTheme="minorHAnsi" w:hAnsiTheme="minorHAnsi"/>
          <w:sz w:val="32"/>
          <w:szCs w:val="32"/>
        </w:rPr>
        <w:t>0</w:t>
      </w:r>
      <w:r>
        <w:rPr>
          <w:rFonts w:hAnsi="仿宋" w:eastAsia="仿宋" w:cs="Arial" w:asciiTheme="minorHAnsi"/>
          <w:sz w:val="32"/>
          <w:szCs w:val="32"/>
        </w:rPr>
        <w:t>万元。完成预算的</w:t>
      </w:r>
      <w:r>
        <w:rPr>
          <w:rFonts w:eastAsia="仿宋" w:cs="Arial" w:asciiTheme="minorHAnsi" w:hAnsiTheme="minorHAnsi"/>
          <w:sz w:val="32"/>
          <w:szCs w:val="32"/>
        </w:rPr>
        <w:t>100%</w:t>
      </w:r>
      <w:r>
        <w:rPr>
          <w:rFonts w:hAnsi="仿宋" w:eastAsia="仿宋" w:cs="Arial" w:asciiTheme="minorHAnsi"/>
          <w:sz w:val="32"/>
          <w:szCs w:val="32"/>
        </w:rPr>
        <w:t>。主要用于机关及下属预算单位人员的公务出国（境）的住宿费、国际旅费、培训费、公杂费等支出。决算数等于预算数的主要原因是严格按照预算计划安排支出。全年使用一般公共预算财政拨款支出涉及因公出国</w:t>
      </w:r>
      <w:r>
        <w:rPr>
          <w:rFonts w:eastAsia="仿宋" w:cs="Arial" w:asciiTheme="minorHAnsi" w:hAnsiTheme="minorHAnsi"/>
          <w:sz w:val="32"/>
          <w:szCs w:val="32"/>
        </w:rPr>
        <w:t>(</w:t>
      </w:r>
      <w:r>
        <w:rPr>
          <w:rFonts w:hAnsi="仿宋" w:eastAsia="仿宋" w:cs="Arial" w:asciiTheme="minorHAnsi"/>
          <w:sz w:val="32"/>
          <w:szCs w:val="32"/>
        </w:rPr>
        <w:t>境</w:t>
      </w:r>
      <w:r>
        <w:rPr>
          <w:rFonts w:eastAsia="仿宋" w:cs="Arial" w:asciiTheme="minorHAnsi" w:hAnsiTheme="minorHAnsi"/>
          <w:sz w:val="32"/>
          <w:szCs w:val="32"/>
        </w:rPr>
        <w:t>)</w:t>
      </w:r>
      <w:r>
        <w:rPr>
          <w:rFonts w:hAnsi="仿宋" w:eastAsia="仿宋" w:cs="Arial" w:asciiTheme="minorHAnsi"/>
          <w:sz w:val="32"/>
          <w:szCs w:val="32"/>
        </w:rPr>
        <w:t>团组</w:t>
      </w:r>
      <w:r>
        <w:rPr>
          <w:rFonts w:eastAsia="仿宋" w:cs="Arial" w:asciiTheme="minorHAnsi" w:hAnsiTheme="minorHAnsi"/>
          <w:sz w:val="32"/>
          <w:szCs w:val="32"/>
        </w:rPr>
        <w:t>0</w:t>
      </w:r>
      <w:r>
        <w:rPr>
          <w:rFonts w:hAnsi="仿宋" w:eastAsia="仿宋" w:cs="Arial" w:asciiTheme="minorHAnsi"/>
          <w:sz w:val="32"/>
          <w:szCs w:val="32"/>
        </w:rPr>
        <w:t>个；累计</w:t>
      </w:r>
      <w:r>
        <w:rPr>
          <w:rFonts w:eastAsia="仿宋" w:cs="Arial" w:asciiTheme="minorHAnsi" w:hAnsiTheme="minorHAnsi"/>
          <w:sz w:val="32"/>
          <w:szCs w:val="32"/>
        </w:rPr>
        <w:t>0</w:t>
      </w:r>
      <w:r>
        <w:rPr>
          <w:rFonts w:hAnsi="仿宋" w:eastAsia="仿宋" w:cs="Arial" w:asciiTheme="minorHAnsi"/>
          <w:sz w:val="32"/>
          <w:szCs w:val="32"/>
        </w:rPr>
        <w:t>人次。本年无开支内容。</w:t>
      </w:r>
    </w:p>
    <w:p>
      <w:pPr>
        <w:adjustRightInd w:val="0"/>
        <w:snapToGrid w:val="0"/>
        <w:spacing w:line="540" w:lineRule="exact"/>
        <w:ind w:firstLine="640"/>
        <w:jc w:val="both"/>
        <w:rPr>
          <w:rFonts w:eastAsia="仿宋" w:cs="Arial" w:asciiTheme="minorHAnsi" w:hAnsiTheme="minorHAnsi"/>
          <w:sz w:val="32"/>
          <w:szCs w:val="32"/>
        </w:rPr>
      </w:pPr>
      <w:r>
        <w:rPr>
          <w:rFonts w:hAnsi="仿宋" w:eastAsia="仿宋" w:cs="Arial" w:asciiTheme="minorHAnsi"/>
          <w:sz w:val="32"/>
          <w:szCs w:val="32"/>
        </w:rPr>
        <w:t>（</w:t>
      </w:r>
      <w:r>
        <w:rPr>
          <w:rFonts w:eastAsia="仿宋" w:cs="Arial" w:asciiTheme="minorHAnsi" w:hAnsiTheme="minorHAnsi"/>
          <w:sz w:val="32"/>
          <w:szCs w:val="32"/>
        </w:rPr>
        <w:t>2</w:t>
      </w:r>
      <w:r>
        <w:rPr>
          <w:rFonts w:hAnsi="仿宋" w:eastAsia="仿宋" w:cs="Arial" w:asciiTheme="minorHAnsi"/>
          <w:sz w:val="32"/>
          <w:szCs w:val="32"/>
        </w:rPr>
        <w:t>）公务用车购置及运行维护费预算数为</w:t>
      </w:r>
      <w:r>
        <w:rPr>
          <w:rFonts w:eastAsia="仿宋" w:cs="Arial" w:asciiTheme="minorHAnsi" w:hAnsiTheme="minorHAnsi"/>
          <w:sz w:val="32"/>
          <w:szCs w:val="32"/>
        </w:rPr>
        <w:t>13.25</w:t>
      </w:r>
      <w:r>
        <w:rPr>
          <w:rFonts w:hAnsi="仿宋" w:eastAsia="仿宋" w:cs="Arial" w:asciiTheme="minorHAnsi"/>
          <w:sz w:val="32"/>
          <w:szCs w:val="32"/>
        </w:rPr>
        <w:t>万元，支出决算为</w:t>
      </w:r>
      <w:r>
        <w:rPr>
          <w:rFonts w:eastAsia="仿宋" w:cs="Arial" w:asciiTheme="minorHAnsi" w:hAnsiTheme="minorHAnsi"/>
          <w:sz w:val="32"/>
          <w:szCs w:val="32"/>
        </w:rPr>
        <w:t>9.97</w:t>
      </w:r>
      <w:r>
        <w:rPr>
          <w:rFonts w:hAnsi="仿宋" w:eastAsia="仿宋" w:cs="Arial" w:asciiTheme="minorHAnsi"/>
          <w:sz w:val="32"/>
          <w:szCs w:val="32"/>
        </w:rPr>
        <w:t>万元，完成预算的</w:t>
      </w:r>
      <w:r>
        <w:rPr>
          <w:rFonts w:eastAsia="仿宋" w:cs="Arial" w:asciiTheme="minorHAnsi" w:hAnsiTheme="minorHAnsi"/>
          <w:sz w:val="32"/>
          <w:szCs w:val="32"/>
        </w:rPr>
        <w:t>75.25%</w:t>
      </w:r>
      <w:r>
        <w:rPr>
          <w:rFonts w:hAnsi="仿宋" w:eastAsia="仿宋" w:cs="Arial" w:asciiTheme="minorHAnsi"/>
          <w:sz w:val="32"/>
          <w:szCs w:val="32"/>
        </w:rPr>
        <w:t>。决算数小于预算数的主要原因是受公务用车改革等影响，从严控制和压缩公务用车支出。</w:t>
      </w:r>
    </w:p>
    <w:p>
      <w:pPr>
        <w:autoSpaceDE w:val="0"/>
        <w:adjustRightInd w:val="0"/>
        <w:snapToGrid w:val="0"/>
        <w:spacing w:line="540" w:lineRule="exact"/>
        <w:ind w:firstLine="640"/>
        <w:jc w:val="both"/>
        <w:rPr>
          <w:rFonts w:eastAsia="仿宋" w:cs="Arial" w:asciiTheme="minorHAnsi" w:hAnsiTheme="minorHAnsi"/>
          <w:sz w:val="32"/>
          <w:szCs w:val="32"/>
        </w:rPr>
      </w:pPr>
      <w:r>
        <w:rPr>
          <w:rFonts w:hAnsi="仿宋" w:eastAsia="仿宋" w:cs="Arial" w:asciiTheme="minorHAnsi"/>
          <w:sz w:val="32"/>
          <w:szCs w:val="32"/>
        </w:rPr>
        <w:t>公务用车购置预算数为</w:t>
      </w:r>
      <w:r>
        <w:rPr>
          <w:rFonts w:eastAsia="仿宋" w:cs="Arial" w:asciiTheme="minorHAnsi" w:hAnsiTheme="minorHAnsi"/>
          <w:sz w:val="32"/>
          <w:szCs w:val="32"/>
        </w:rPr>
        <w:t>0</w:t>
      </w:r>
      <w:r>
        <w:rPr>
          <w:rFonts w:hAnsi="仿宋" w:eastAsia="仿宋" w:cs="Arial" w:asciiTheme="minorHAnsi"/>
          <w:sz w:val="32"/>
          <w:szCs w:val="32"/>
        </w:rPr>
        <w:t>万元，支出决算为</w:t>
      </w:r>
      <w:r>
        <w:rPr>
          <w:rFonts w:eastAsia="仿宋" w:cs="Arial" w:asciiTheme="minorHAnsi" w:hAnsiTheme="minorHAnsi"/>
          <w:sz w:val="32"/>
          <w:szCs w:val="32"/>
        </w:rPr>
        <w:t>0</w:t>
      </w:r>
      <w:r>
        <w:rPr>
          <w:rFonts w:hAnsi="仿宋" w:eastAsia="仿宋" w:cs="Arial" w:asciiTheme="minorHAnsi"/>
          <w:sz w:val="32"/>
          <w:szCs w:val="32"/>
        </w:rPr>
        <w:t>万元（含购置税等附加费用），完成预算的</w:t>
      </w:r>
      <w:r>
        <w:rPr>
          <w:rFonts w:eastAsia="仿宋" w:cs="Arial" w:asciiTheme="minorHAnsi" w:hAnsiTheme="minorHAnsi"/>
          <w:sz w:val="32"/>
          <w:szCs w:val="32"/>
        </w:rPr>
        <w:t>100%</w:t>
      </w:r>
      <w:r>
        <w:rPr>
          <w:rFonts w:hAnsi="仿宋" w:eastAsia="仿宋" w:cs="Arial" w:asciiTheme="minorHAnsi"/>
          <w:sz w:val="32"/>
          <w:szCs w:val="32"/>
        </w:rPr>
        <w:t>。决算数等于预算数的主要原因是严格执行年初预算的计划安排。主要用于经批准购置的</w:t>
      </w:r>
      <w:r>
        <w:rPr>
          <w:rFonts w:eastAsia="仿宋" w:cs="Arial" w:asciiTheme="minorHAnsi" w:hAnsiTheme="minorHAnsi"/>
          <w:sz w:val="32"/>
          <w:szCs w:val="32"/>
        </w:rPr>
        <w:t>0</w:t>
      </w:r>
      <w:r>
        <w:rPr>
          <w:rFonts w:hAnsi="仿宋" w:eastAsia="仿宋" w:cs="Arial" w:asciiTheme="minorHAnsi"/>
          <w:sz w:val="32"/>
          <w:szCs w:val="32"/>
        </w:rPr>
        <w:t>辆公务用车；</w:t>
      </w:r>
    </w:p>
    <w:p>
      <w:pPr>
        <w:adjustRightInd w:val="0"/>
        <w:snapToGrid w:val="0"/>
        <w:spacing w:line="540" w:lineRule="exact"/>
        <w:ind w:firstLine="640"/>
        <w:jc w:val="both"/>
        <w:rPr>
          <w:rFonts w:asciiTheme="minorHAnsi" w:hAnsiTheme="minorHAnsi"/>
        </w:rPr>
      </w:pPr>
      <w:r>
        <w:rPr>
          <w:rFonts w:hAnsi="仿宋" w:eastAsia="仿宋" w:cs="Arial" w:asciiTheme="minorHAnsi"/>
          <w:sz w:val="32"/>
          <w:szCs w:val="32"/>
        </w:rPr>
        <w:t>公务用车运行维护费预算数为</w:t>
      </w:r>
      <w:r>
        <w:rPr>
          <w:rFonts w:eastAsia="仿宋" w:cs="Arial" w:asciiTheme="minorHAnsi" w:hAnsiTheme="minorHAnsi"/>
          <w:sz w:val="32"/>
          <w:szCs w:val="32"/>
        </w:rPr>
        <w:t>13.25</w:t>
      </w:r>
      <w:r>
        <w:rPr>
          <w:rFonts w:hAnsi="仿宋" w:eastAsia="仿宋" w:cs="Arial" w:asciiTheme="minorHAnsi"/>
          <w:sz w:val="32"/>
          <w:szCs w:val="32"/>
        </w:rPr>
        <w:t>万元，支出</w:t>
      </w:r>
      <w:r>
        <w:rPr>
          <w:rFonts w:eastAsia="仿宋" w:cs="Arial" w:asciiTheme="minorHAnsi" w:hAnsiTheme="minorHAnsi"/>
          <w:sz w:val="32"/>
          <w:szCs w:val="32"/>
        </w:rPr>
        <w:t>9.97</w:t>
      </w:r>
      <w:r>
        <w:rPr>
          <w:rFonts w:hAnsi="仿宋" w:eastAsia="仿宋" w:cs="Arial" w:asciiTheme="minorHAnsi"/>
          <w:sz w:val="32"/>
          <w:szCs w:val="32"/>
        </w:rPr>
        <w:t>万元，完成预算的</w:t>
      </w:r>
      <w:r>
        <w:rPr>
          <w:rFonts w:eastAsia="仿宋" w:cs="Arial" w:asciiTheme="minorHAnsi" w:hAnsiTheme="minorHAnsi"/>
          <w:sz w:val="32"/>
          <w:szCs w:val="32"/>
        </w:rPr>
        <w:t>75.25%</w:t>
      </w:r>
      <w:r>
        <w:rPr>
          <w:rFonts w:hAnsi="仿宋" w:eastAsia="仿宋" w:cs="Arial" w:asciiTheme="minorHAnsi"/>
          <w:sz w:val="32"/>
          <w:szCs w:val="32"/>
        </w:rPr>
        <w:t>。决算数小于预算数的主要原因是受公务用车改革等影响，从严控制和压缩公务用车支出。主要用于会议公干等所需的公务用车燃料费、维修费、过路过桥费、保险费、安全奖励费用等支出；</w:t>
      </w:r>
      <w:r>
        <w:rPr>
          <w:rFonts w:eastAsia="仿宋" w:cs="Arial" w:asciiTheme="minorHAnsi" w:hAnsiTheme="minorHAnsi"/>
          <w:sz w:val="32"/>
          <w:szCs w:val="32"/>
        </w:rPr>
        <w:t>2020</w:t>
      </w:r>
      <w:r>
        <w:rPr>
          <w:rFonts w:hAnsi="仿宋" w:eastAsia="仿宋" w:cs="Arial" w:asciiTheme="minorHAnsi"/>
          <w:sz w:val="32"/>
          <w:szCs w:val="32"/>
        </w:rPr>
        <w:t>年度，本级及所属单位开支一般公共预算财政拨款的公务用车保有量为</w:t>
      </w:r>
      <w:r>
        <w:rPr>
          <w:rFonts w:eastAsia="仿宋" w:cs="Arial" w:asciiTheme="minorHAnsi" w:hAnsiTheme="minorHAnsi"/>
          <w:sz w:val="32"/>
          <w:szCs w:val="32"/>
        </w:rPr>
        <w:t>5</w:t>
      </w:r>
      <w:r>
        <w:rPr>
          <w:rFonts w:hAnsi="仿宋" w:eastAsia="仿宋" w:cs="Arial" w:asciiTheme="minorHAnsi"/>
          <w:sz w:val="32"/>
          <w:szCs w:val="32"/>
        </w:rPr>
        <w:t>辆。</w:t>
      </w:r>
    </w:p>
    <w:p>
      <w:pPr>
        <w:pStyle w:val="2"/>
        <w:adjustRightInd w:val="0"/>
        <w:spacing w:line="540" w:lineRule="exact"/>
        <w:rPr>
          <w:rFonts w:asciiTheme="minorHAnsi" w:hAnsiTheme="minorHAnsi"/>
        </w:rPr>
      </w:pPr>
      <w:r>
        <w:rPr>
          <w:rFonts w:asciiTheme="minorHAnsi" w:hAnsiTheme="minorHAnsi"/>
        </w:rPr>
        <w:t xml:space="preserve"> </w:t>
      </w:r>
    </w:p>
    <w:p>
      <w:pPr>
        <w:numPr>
          <w:ilvl w:val="0"/>
          <w:numId w:val="1"/>
        </w:numPr>
        <w:adjustRightInd w:val="0"/>
        <w:snapToGrid w:val="0"/>
        <w:spacing w:line="540" w:lineRule="exact"/>
        <w:ind w:firstLine="640"/>
        <w:jc w:val="both"/>
        <w:rPr>
          <w:rFonts w:eastAsia="仿宋" w:cs="Arial" w:asciiTheme="minorHAnsi" w:hAnsiTheme="minorHAnsi"/>
          <w:sz w:val="32"/>
          <w:szCs w:val="32"/>
        </w:rPr>
      </w:pPr>
      <w:r>
        <w:rPr>
          <w:rFonts w:hAnsi="仿宋" w:eastAsia="仿宋" w:cs="Arial" w:asciiTheme="minorHAnsi"/>
          <w:sz w:val="32"/>
          <w:szCs w:val="32"/>
        </w:rPr>
        <w:t>公务接待费在一般公共预算财政拨款中预算数为</w:t>
      </w:r>
      <w:r>
        <w:rPr>
          <w:rFonts w:eastAsia="仿宋" w:cs="Arial" w:asciiTheme="minorHAnsi" w:hAnsiTheme="minorHAnsi"/>
          <w:sz w:val="32"/>
          <w:szCs w:val="32"/>
        </w:rPr>
        <w:t>0</w:t>
      </w:r>
      <w:r>
        <w:rPr>
          <w:rFonts w:hAnsi="仿宋" w:eastAsia="仿宋" w:cs="Arial" w:asciiTheme="minorHAnsi"/>
          <w:sz w:val="32"/>
          <w:szCs w:val="32"/>
        </w:rPr>
        <w:t>万元，支出决算为</w:t>
      </w:r>
      <w:r>
        <w:rPr>
          <w:rFonts w:eastAsia="仿宋" w:cs="Arial" w:asciiTheme="minorHAnsi" w:hAnsiTheme="minorHAnsi"/>
          <w:sz w:val="32"/>
          <w:szCs w:val="32"/>
        </w:rPr>
        <w:t>0</w:t>
      </w:r>
      <w:r>
        <w:rPr>
          <w:rFonts w:hAnsi="仿宋" w:eastAsia="仿宋" w:cs="Arial" w:asciiTheme="minorHAnsi"/>
          <w:sz w:val="32"/>
          <w:szCs w:val="32"/>
        </w:rPr>
        <w:t>万元，完成预算的</w:t>
      </w:r>
      <w:r>
        <w:rPr>
          <w:rFonts w:eastAsia="仿宋" w:cs="Arial" w:asciiTheme="minorHAnsi" w:hAnsiTheme="minorHAnsi"/>
          <w:sz w:val="32"/>
          <w:szCs w:val="32"/>
        </w:rPr>
        <w:t>100%</w:t>
      </w:r>
      <w:r>
        <w:rPr>
          <w:rFonts w:hAnsi="仿宋" w:eastAsia="仿宋" w:cs="Arial" w:asciiTheme="minorHAnsi"/>
          <w:sz w:val="32"/>
          <w:szCs w:val="32"/>
        </w:rPr>
        <w:t>。主要用于接待</w:t>
      </w:r>
      <w:r>
        <w:rPr>
          <w:rFonts w:hAnsi="仿宋" w:eastAsia="仿宋" w:asciiTheme="minorHAnsi"/>
          <w:sz w:val="32"/>
          <w:szCs w:val="32"/>
        </w:rPr>
        <w:t>各级单位来莅临指导等支出。主要原因是</w:t>
      </w:r>
      <w:r>
        <w:rPr>
          <w:rFonts w:eastAsia="仿宋" w:cs="Arial" w:asciiTheme="minorHAnsi" w:hAnsiTheme="minorHAnsi"/>
          <w:sz w:val="32"/>
          <w:szCs w:val="32"/>
        </w:rPr>
        <w:t>2020</w:t>
      </w:r>
      <w:r>
        <w:rPr>
          <w:rFonts w:hAnsi="仿宋" w:eastAsia="仿宋" w:cs="Arial" w:asciiTheme="minorHAnsi"/>
          <w:sz w:val="32"/>
          <w:szCs w:val="32"/>
        </w:rPr>
        <w:t>年公务接待费</w:t>
      </w:r>
      <w:r>
        <w:rPr>
          <w:rFonts w:eastAsia="仿宋" w:cs="Arial" w:asciiTheme="minorHAnsi" w:hAnsiTheme="minorHAnsi"/>
          <w:sz w:val="32"/>
          <w:szCs w:val="32"/>
        </w:rPr>
        <w:t>6.06</w:t>
      </w:r>
      <w:r>
        <w:rPr>
          <w:rFonts w:hAnsi="仿宋" w:eastAsia="仿宋" w:cs="Arial" w:asciiTheme="minorHAnsi"/>
          <w:sz w:val="32"/>
          <w:szCs w:val="32"/>
        </w:rPr>
        <w:t>万元，全部在非财政拨款的其他预算中支出。全年使用一般公共预算财政拨款国内公务接待</w:t>
      </w:r>
      <w:r>
        <w:rPr>
          <w:rFonts w:eastAsia="仿宋" w:cs="Arial" w:asciiTheme="minorHAnsi" w:hAnsiTheme="minorHAnsi"/>
          <w:sz w:val="32"/>
          <w:szCs w:val="32"/>
        </w:rPr>
        <w:t>0</w:t>
      </w:r>
      <w:r>
        <w:rPr>
          <w:rFonts w:hAnsi="仿宋" w:eastAsia="仿宋" w:cs="Arial" w:asciiTheme="minorHAnsi"/>
          <w:sz w:val="32"/>
          <w:szCs w:val="32"/>
        </w:rPr>
        <w:t>团组，累计</w:t>
      </w:r>
      <w:r>
        <w:rPr>
          <w:rFonts w:eastAsia="仿宋" w:cs="Arial" w:asciiTheme="minorHAnsi" w:hAnsiTheme="minorHAnsi"/>
          <w:sz w:val="32"/>
          <w:szCs w:val="32"/>
        </w:rPr>
        <w:t>0</w:t>
      </w:r>
      <w:r>
        <w:rPr>
          <w:rFonts w:hAnsi="仿宋" w:eastAsia="仿宋" w:cs="Arial" w:asciiTheme="minorHAnsi"/>
          <w:sz w:val="32"/>
          <w:szCs w:val="32"/>
        </w:rPr>
        <w:t>人次。</w:t>
      </w:r>
    </w:p>
    <w:p>
      <w:pPr>
        <w:adjustRightInd w:val="0"/>
        <w:snapToGrid w:val="0"/>
        <w:spacing w:line="540" w:lineRule="exact"/>
        <w:ind w:left="640"/>
        <w:jc w:val="both"/>
        <w:rPr>
          <w:rFonts w:eastAsia="仿宋" w:cs="Arial" w:asciiTheme="minorHAnsi" w:hAnsiTheme="minorHAnsi"/>
          <w:sz w:val="32"/>
          <w:szCs w:val="32"/>
        </w:rPr>
      </w:pPr>
      <w:r>
        <w:rPr>
          <w:rFonts w:hAnsi="仿宋" w:eastAsia="仿宋" w:cs="Arial" w:asciiTheme="minorHAnsi"/>
          <w:sz w:val="32"/>
          <w:szCs w:val="32"/>
        </w:rPr>
        <w:t>外宾接待支出</w:t>
      </w:r>
      <w:r>
        <w:rPr>
          <w:rFonts w:eastAsia="仿宋" w:cs="Arial" w:asciiTheme="minorHAnsi" w:hAnsiTheme="minorHAnsi"/>
          <w:sz w:val="32"/>
          <w:szCs w:val="32"/>
        </w:rPr>
        <w:t>0</w:t>
      </w:r>
      <w:r>
        <w:rPr>
          <w:rFonts w:hAnsi="仿宋" w:eastAsia="仿宋" w:cs="Arial" w:asciiTheme="minorHAnsi"/>
          <w:sz w:val="32"/>
          <w:szCs w:val="32"/>
        </w:rPr>
        <w:t>万元，接待</w:t>
      </w:r>
      <w:r>
        <w:rPr>
          <w:rFonts w:eastAsia="仿宋" w:cs="Arial" w:asciiTheme="minorHAnsi" w:hAnsiTheme="minorHAnsi"/>
          <w:sz w:val="32"/>
          <w:szCs w:val="32"/>
        </w:rPr>
        <w:t>0</w:t>
      </w:r>
      <w:r>
        <w:rPr>
          <w:rFonts w:hAnsi="仿宋" w:eastAsia="仿宋" w:cs="Arial" w:asciiTheme="minorHAnsi"/>
          <w:sz w:val="32"/>
          <w:szCs w:val="32"/>
        </w:rPr>
        <w:t>团组，</w:t>
      </w:r>
      <w:r>
        <w:rPr>
          <w:rFonts w:eastAsia="仿宋" w:cs="Arial" w:asciiTheme="minorHAnsi" w:hAnsiTheme="minorHAnsi"/>
          <w:sz w:val="32"/>
          <w:szCs w:val="32"/>
        </w:rPr>
        <w:t>0</w:t>
      </w:r>
      <w:r>
        <w:rPr>
          <w:rFonts w:hAnsi="仿宋" w:eastAsia="仿宋" w:cs="Arial" w:asciiTheme="minorHAnsi"/>
          <w:sz w:val="32"/>
          <w:szCs w:val="32"/>
        </w:rPr>
        <w:t>人次。</w:t>
      </w:r>
    </w:p>
    <w:p>
      <w:pPr>
        <w:adjustRightInd w:val="0"/>
        <w:snapToGrid w:val="0"/>
        <w:spacing w:line="540" w:lineRule="exact"/>
        <w:ind w:firstLine="640"/>
        <w:jc w:val="both"/>
        <w:rPr>
          <w:rFonts w:eastAsia="仿宋" w:cs="Arial" w:asciiTheme="minorHAnsi" w:hAnsiTheme="minorHAnsi"/>
          <w:sz w:val="32"/>
          <w:szCs w:val="32"/>
        </w:rPr>
      </w:pPr>
      <w:r>
        <w:rPr>
          <w:rFonts w:hAnsi="仿宋" w:eastAsia="仿宋" w:cs="Arial" w:asciiTheme="minorHAnsi"/>
          <w:sz w:val="32"/>
          <w:szCs w:val="32"/>
        </w:rPr>
        <w:t>其他国内公务接待支出</w:t>
      </w:r>
      <w:r>
        <w:rPr>
          <w:rFonts w:eastAsia="仿宋" w:cs="Arial" w:asciiTheme="minorHAnsi" w:hAnsiTheme="minorHAnsi"/>
          <w:sz w:val="32"/>
          <w:szCs w:val="32"/>
        </w:rPr>
        <w:t>6.06</w:t>
      </w:r>
      <w:r>
        <w:rPr>
          <w:rFonts w:hAnsi="仿宋" w:eastAsia="仿宋" w:cs="Arial" w:asciiTheme="minorHAnsi"/>
          <w:sz w:val="32"/>
          <w:szCs w:val="32"/>
        </w:rPr>
        <w:t>万元，主要用于</w:t>
      </w:r>
      <w:r>
        <w:rPr>
          <w:rFonts w:hAnsi="仿宋" w:eastAsia="仿宋" w:asciiTheme="minorHAnsi"/>
          <w:sz w:val="32"/>
          <w:szCs w:val="32"/>
        </w:rPr>
        <w:t>各单位来我镇指导及交流工作。接待</w:t>
      </w:r>
      <w:r>
        <w:rPr>
          <w:rFonts w:eastAsia="仿宋" w:cs="Arial" w:asciiTheme="minorHAnsi" w:hAnsiTheme="minorHAnsi"/>
          <w:sz w:val="32"/>
          <w:szCs w:val="32"/>
        </w:rPr>
        <w:t>36</w:t>
      </w:r>
      <w:r>
        <w:rPr>
          <w:rFonts w:hAnsi="仿宋" w:eastAsia="仿宋" w:cs="Arial" w:asciiTheme="minorHAnsi"/>
          <w:sz w:val="32"/>
          <w:szCs w:val="32"/>
        </w:rPr>
        <w:t>团组，</w:t>
      </w:r>
      <w:r>
        <w:rPr>
          <w:rFonts w:eastAsia="仿宋" w:cs="Arial" w:asciiTheme="minorHAnsi" w:hAnsiTheme="minorHAnsi"/>
          <w:sz w:val="32"/>
          <w:szCs w:val="32"/>
        </w:rPr>
        <w:t>557</w:t>
      </w:r>
      <w:r>
        <w:rPr>
          <w:rFonts w:hAnsi="仿宋" w:eastAsia="仿宋" w:cs="Arial" w:asciiTheme="minorHAnsi"/>
          <w:sz w:val="32"/>
          <w:szCs w:val="32"/>
        </w:rPr>
        <w:t>人次。</w:t>
      </w:r>
    </w:p>
    <w:p>
      <w:pPr>
        <w:adjustRightInd w:val="0"/>
        <w:snapToGrid w:val="0"/>
        <w:spacing w:before="240" w:line="540" w:lineRule="exact"/>
        <w:ind w:firstLine="640"/>
        <w:jc w:val="both"/>
        <w:rPr>
          <w:rFonts w:eastAsia="仿宋" w:cs="Arial" w:asciiTheme="minorHAnsi" w:hAnsiTheme="minorHAnsi"/>
          <w:sz w:val="32"/>
          <w:szCs w:val="32"/>
        </w:rPr>
      </w:pPr>
      <w:r>
        <w:rPr>
          <w:rStyle w:val="36"/>
          <w:rFonts w:hAnsi="仿宋" w:eastAsia="仿宋" w:cs="Arial" w:asciiTheme="minorHAnsi"/>
          <w:sz w:val="32"/>
          <w:szCs w:val="32"/>
        </w:rPr>
        <w:t>（十）机关运行经费支出说明</w:t>
      </w:r>
    </w:p>
    <w:p>
      <w:pPr>
        <w:adjustRightInd w:val="0"/>
        <w:snapToGrid w:val="0"/>
        <w:spacing w:before="240" w:line="540" w:lineRule="exact"/>
        <w:ind w:firstLine="640"/>
        <w:jc w:val="both"/>
        <w:rPr>
          <w:rFonts w:eastAsia="仿宋" w:asciiTheme="minorHAnsi" w:hAnsiTheme="minorHAnsi"/>
        </w:rPr>
      </w:pPr>
      <w:r>
        <w:rPr>
          <w:rFonts w:eastAsia="仿宋" w:cs="Arial" w:asciiTheme="minorHAnsi" w:hAnsiTheme="minorHAnsi"/>
          <w:sz w:val="32"/>
          <w:szCs w:val="32"/>
        </w:rPr>
        <w:t>2020</w:t>
      </w:r>
      <w:r>
        <w:rPr>
          <w:rFonts w:hAnsi="仿宋" w:eastAsia="仿宋" w:cs="Arial" w:asciiTheme="minorHAnsi"/>
          <w:sz w:val="32"/>
          <w:szCs w:val="32"/>
        </w:rPr>
        <w:t>年度机关运行经费年初预算数为</w:t>
      </w:r>
      <w:r>
        <w:rPr>
          <w:rFonts w:eastAsia="仿宋" w:cs="Arial" w:asciiTheme="minorHAnsi" w:hAnsiTheme="minorHAnsi"/>
          <w:sz w:val="32"/>
          <w:szCs w:val="32"/>
        </w:rPr>
        <w:t>189.74</w:t>
      </w:r>
      <w:r>
        <w:rPr>
          <w:rFonts w:hAnsi="仿宋" w:eastAsia="仿宋" w:cs="Arial" w:asciiTheme="minorHAnsi"/>
          <w:sz w:val="32"/>
          <w:szCs w:val="32"/>
        </w:rPr>
        <w:t>万元，支出决算为</w:t>
      </w:r>
      <w:r>
        <w:rPr>
          <w:rFonts w:eastAsia="仿宋" w:cs="Arial" w:asciiTheme="minorHAnsi" w:hAnsiTheme="minorHAnsi"/>
          <w:sz w:val="32"/>
          <w:szCs w:val="32"/>
        </w:rPr>
        <w:t>131.87</w:t>
      </w:r>
      <w:r>
        <w:rPr>
          <w:rFonts w:hAnsi="仿宋" w:eastAsia="仿宋" w:cs="Arial" w:asciiTheme="minorHAnsi"/>
          <w:sz w:val="32"/>
          <w:szCs w:val="32"/>
        </w:rPr>
        <w:t>万元，完成年初预算的</w:t>
      </w:r>
      <w:r>
        <w:rPr>
          <w:rFonts w:eastAsia="仿宋" w:cs="Arial" w:asciiTheme="minorHAnsi" w:hAnsiTheme="minorHAnsi"/>
          <w:sz w:val="32"/>
          <w:szCs w:val="32"/>
        </w:rPr>
        <w:t>69.5%</w:t>
      </w:r>
      <w:r>
        <w:rPr>
          <w:rFonts w:hAnsi="仿宋" w:eastAsia="仿宋" w:cs="Arial" w:asciiTheme="minorHAnsi"/>
          <w:sz w:val="32"/>
          <w:szCs w:val="32"/>
        </w:rPr>
        <w:t>，决算数小于预算数的主要原因机关运行经费在一般公共预算财政拨款中支出</w:t>
      </w:r>
      <w:r>
        <w:rPr>
          <w:rFonts w:eastAsia="仿宋" w:cs="Arial" w:asciiTheme="minorHAnsi" w:hAnsiTheme="minorHAnsi"/>
          <w:sz w:val="32"/>
          <w:szCs w:val="32"/>
        </w:rPr>
        <w:t>131.87</w:t>
      </w:r>
      <w:r>
        <w:rPr>
          <w:rFonts w:hAnsi="仿宋" w:eastAsia="仿宋" w:cs="Arial" w:asciiTheme="minorHAnsi"/>
          <w:sz w:val="32"/>
          <w:szCs w:val="32"/>
        </w:rPr>
        <w:t>万元，在非财政拨款中支出</w:t>
      </w:r>
      <w:r>
        <w:rPr>
          <w:rFonts w:eastAsia="仿宋" w:cs="Arial" w:asciiTheme="minorHAnsi" w:hAnsiTheme="minorHAnsi"/>
          <w:sz w:val="32"/>
          <w:szCs w:val="32"/>
        </w:rPr>
        <w:t>163.15</w:t>
      </w:r>
      <w:r>
        <w:rPr>
          <w:rFonts w:hAnsi="仿宋" w:eastAsia="仿宋" w:cs="Arial" w:asciiTheme="minorHAnsi"/>
          <w:sz w:val="32"/>
          <w:szCs w:val="32"/>
        </w:rPr>
        <w:t>万元；比</w:t>
      </w:r>
      <w:r>
        <w:rPr>
          <w:rFonts w:eastAsia="仿宋" w:cs="Arial" w:asciiTheme="minorHAnsi" w:hAnsiTheme="minorHAnsi"/>
          <w:sz w:val="32"/>
          <w:szCs w:val="32"/>
        </w:rPr>
        <w:t>2019</w:t>
      </w:r>
      <w:r>
        <w:rPr>
          <w:rFonts w:hAnsi="仿宋" w:eastAsia="仿宋" w:cs="Arial" w:asciiTheme="minorHAnsi"/>
          <w:sz w:val="32"/>
          <w:szCs w:val="32"/>
        </w:rPr>
        <w:t>年度</w:t>
      </w:r>
      <w:r>
        <w:rPr>
          <w:rFonts w:eastAsia="仿宋" w:cs="Arial" w:asciiTheme="minorHAnsi" w:hAnsiTheme="minorHAnsi"/>
          <w:sz w:val="32"/>
          <w:szCs w:val="32"/>
        </w:rPr>
        <w:t>85.96</w:t>
      </w:r>
      <w:r>
        <w:rPr>
          <w:rFonts w:hAnsi="仿宋" w:eastAsia="仿宋" w:cs="Arial" w:asciiTheme="minorHAnsi"/>
          <w:sz w:val="32"/>
          <w:szCs w:val="32"/>
        </w:rPr>
        <w:t>万元增加</w:t>
      </w:r>
      <w:r>
        <w:rPr>
          <w:rFonts w:eastAsia="仿宋" w:cs="Arial" w:asciiTheme="minorHAnsi" w:hAnsiTheme="minorHAnsi"/>
          <w:sz w:val="32"/>
          <w:szCs w:val="32"/>
        </w:rPr>
        <w:t>45.91</w:t>
      </w:r>
      <w:r>
        <w:rPr>
          <w:rFonts w:hAnsi="仿宋" w:eastAsia="仿宋" w:cs="Arial" w:asciiTheme="minorHAnsi"/>
          <w:sz w:val="32"/>
          <w:szCs w:val="32"/>
        </w:rPr>
        <w:t>万元，增长</w:t>
      </w:r>
      <w:r>
        <w:rPr>
          <w:rFonts w:eastAsia="仿宋" w:cs="Arial" w:asciiTheme="minorHAnsi" w:hAnsiTheme="minorHAnsi"/>
          <w:sz w:val="32"/>
          <w:szCs w:val="32"/>
        </w:rPr>
        <w:t>153%</w:t>
      </w:r>
      <w:r>
        <w:rPr>
          <w:rFonts w:hAnsi="仿宋" w:eastAsia="仿宋" w:cs="Arial" w:asciiTheme="minorHAnsi"/>
          <w:sz w:val="32"/>
          <w:szCs w:val="32"/>
        </w:rPr>
        <w:t>，主要原因是</w:t>
      </w:r>
      <w:r>
        <w:rPr>
          <w:rFonts w:eastAsia="仿宋" w:cs="Arial" w:asciiTheme="minorHAnsi" w:hAnsiTheme="minorHAnsi"/>
          <w:sz w:val="32"/>
          <w:szCs w:val="32"/>
        </w:rPr>
        <w:t>2019</w:t>
      </w:r>
      <w:r>
        <w:rPr>
          <w:rFonts w:hAnsi="仿宋" w:eastAsia="仿宋" w:cs="Arial" w:asciiTheme="minorHAnsi"/>
          <w:sz w:val="32"/>
          <w:szCs w:val="32"/>
        </w:rPr>
        <w:t>年度机关运行经费在在非财政拨款支出</w:t>
      </w:r>
      <w:r>
        <w:rPr>
          <w:rFonts w:eastAsia="仿宋" w:cs="Arial" w:asciiTheme="minorHAnsi" w:hAnsiTheme="minorHAnsi"/>
          <w:sz w:val="32"/>
          <w:szCs w:val="32"/>
        </w:rPr>
        <w:t>560.99</w:t>
      </w:r>
      <w:r>
        <w:rPr>
          <w:rFonts w:hAnsi="仿宋" w:eastAsia="仿宋" w:cs="Arial" w:asciiTheme="minorHAnsi"/>
          <w:sz w:val="32"/>
          <w:szCs w:val="32"/>
        </w:rPr>
        <w:t>万元。</w:t>
      </w:r>
    </w:p>
    <w:p>
      <w:pPr>
        <w:adjustRightInd w:val="0"/>
        <w:snapToGrid w:val="0"/>
        <w:spacing w:before="240" w:line="540" w:lineRule="exact"/>
        <w:ind w:firstLine="640"/>
        <w:jc w:val="both"/>
        <w:rPr>
          <w:rFonts w:eastAsia="仿宋" w:asciiTheme="minorHAnsi" w:hAnsiTheme="minorHAnsi"/>
        </w:rPr>
      </w:pPr>
      <w:r>
        <w:rPr>
          <w:rStyle w:val="36"/>
          <w:rFonts w:hAnsi="仿宋" w:eastAsia="仿宋" w:cs="Arial" w:asciiTheme="minorHAnsi"/>
          <w:sz w:val="32"/>
          <w:szCs w:val="32"/>
        </w:rPr>
        <w:t>（十一）政府采购支出说明</w:t>
      </w:r>
    </w:p>
    <w:p>
      <w:pPr>
        <w:adjustRightInd w:val="0"/>
        <w:snapToGrid w:val="0"/>
        <w:spacing w:line="540" w:lineRule="exact"/>
        <w:ind w:firstLine="640"/>
        <w:jc w:val="both"/>
        <w:rPr>
          <w:rFonts w:eastAsia="仿宋" w:asciiTheme="minorHAnsi" w:hAnsiTheme="minorHAnsi"/>
        </w:rPr>
      </w:pPr>
      <w:r>
        <w:rPr>
          <w:rFonts w:eastAsia="仿宋" w:cs="Arial" w:asciiTheme="minorHAnsi" w:hAnsiTheme="minorHAnsi"/>
          <w:sz w:val="32"/>
          <w:szCs w:val="32"/>
        </w:rPr>
        <w:t>2020</w:t>
      </w:r>
      <w:r>
        <w:rPr>
          <w:rFonts w:hAnsi="仿宋" w:eastAsia="仿宋" w:cs="Arial" w:asciiTheme="minorHAnsi"/>
          <w:sz w:val="32"/>
          <w:szCs w:val="32"/>
        </w:rPr>
        <w:t>年度政府采购支出总额</w:t>
      </w:r>
      <w:r>
        <w:rPr>
          <w:rFonts w:eastAsia="仿宋" w:cs="Arial" w:asciiTheme="minorHAnsi" w:hAnsiTheme="minorHAnsi"/>
          <w:sz w:val="32"/>
          <w:szCs w:val="32"/>
        </w:rPr>
        <w:t>86.22</w:t>
      </w:r>
      <w:r>
        <w:rPr>
          <w:rFonts w:hAnsi="仿宋" w:eastAsia="仿宋" w:cs="Arial" w:asciiTheme="minorHAnsi"/>
          <w:sz w:val="32"/>
          <w:szCs w:val="32"/>
        </w:rPr>
        <w:t>万元，其中：政府采购货物支出</w:t>
      </w:r>
      <w:r>
        <w:rPr>
          <w:rFonts w:eastAsia="仿宋" w:cs="Arial" w:asciiTheme="minorHAnsi" w:hAnsiTheme="minorHAnsi"/>
          <w:sz w:val="32"/>
          <w:szCs w:val="32"/>
        </w:rPr>
        <w:t>86.22</w:t>
      </w:r>
      <w:r>
        <w:rPr>
          <w:rFonts w:hAnsi="仿宋" w:eastAsia="仿宋" w:cs="Arial" w:asciiTheme="minorHAnsi"/>
          <w:sz w:val="32"/>
          <w:szCs w:val="32"/>
        </w:rPr>
        <w:t>万元、政府采购工程支出</w:t>
      </w:r>
      <w:r>
        <w:rPr>
          <w:rFonts w:eastAsia="仿宋" w:cs="Arial" w:asciiTheme="minorHAnsi" w:hAnsiTheme="minorHAnsi"/>
          <w:sz w:val="32"/>
          <w:szCs w:val="32"/>
        </w:rPr>
        <w:t>0</w:t>
      </w:r>
      <w:r>
        <w:rPr>
          <w:rFonts w:hAnsi="仿宋" w:eastAsia="仿宋" w:cs="Arial" w:asciiTheme="minorHAnsi"/>
          <w:sz w:val="32"/>
          <w:szCs w:val="32"/>
        </w:rPr>
        <w:t>万元、政府采购服务支出</w:t>
      </w:r>
      <w:r>
        <w:rPr>
          <w:rFonts w:eastAsia="仿宋" w:cs="Arial" w:asciiTheme="minorHAnsi" w:hAnsiTheme="minorHAnsi"/>
          <w:sz w:val="32"/>
          <w:szCs w:val="32"/>
        </w:rPr>
        <w:t>0</w:t>
      </w:r>
      <w:r>
        <w:rPr>
          <w:rFonts w:hAnsi="仿宋" w:eastAsia="仿宋" w:cs="Arial" w:asciiTheme="minorHAnsi"/>
          <w:sz w:val="32"/>
          <w:szCs w:val="32"/>
        </w:rPr>
        <w:t>万元。授予中小企业合同金额</w:t>
      </w:r>
      <w:r>
        <w:rPr>
          <w:rFonts w:eastAsia="仿宋" w:cs="Arial" w:asciiTheme="minorHAnsi" w:hAnsiTheme="minorHAnsi"/>
          <w:sz w:val="32"/>
          <w:szCs w:val="32"/>
        </w:rPr>
        <w:t>86.22</w:t>
      </w:r>
      <w:r>
        <w:rPr>
          <w:rFonts w:hAnsi="仿宋" w:eastAsia="仿宋" w:cs="Arial" w:asciiTheme="minorHAnsi"/>
          <w:sz w:val="32"/>
          <w:szCs w:val="32"/>
        </w:rPr>
        <w:t>万元，占政府采购支出总额的</w:t>
      </w:r>
      <w:r>
        <w:rPr>
          <w:rFonts w:eastAsia="仿宋" w:cs="Arial" w:asciiTheme="minorHAnsi" w:hAnsiTheme="minorHAnsi"/>
          <w:sz w:val="32"/>
          <w:szCs w:val="32"/>
        </w:rPr>
        <w:t>100.00%</w:t>
      </w:r>
      <w:r>
        <w:rPr>
          <w:rFonts w:hAnsi="仿宋" w:eastAsia="仿宋" w:cs="Arial" w:asciiTheme="minorHAnsi"/>
          <w:sz w:val="32"/>
          <w:szCs w:val="32"/>
        </w:rPr>
        <w:t>。其中，授予小微企业合同金额</w:t>
      </w:r>
      <w:r>
        <w:rPr>
          <w:rFonts w:eastAsia="仿宋" w:cs="Arial" w:asciiTheme="minorHAnsi" w:hAnsiTheme="minorHAnsi"/>
          <w:sz w:val="32"/>
          <w:szCs w:val="32"/>
        </w:rPr>
        <w:t>0</w:t>
      </w:r>
      <w:r>
        <w:rPr>
          <w:rFonts w:hAnsi="仿宋" w:eastAsia="仿宋" w:cs="Arial" w:asciiTheme="minorHAnsi"/>
          <w:sz w:val="32"/>
          <w:szCs w:val="32"/>
        </w:rPr>
        <w:t>万元，占政府采购支出总额的</w:t>
      </w:r>
      <w:r>
        <w:rPr>
          <w:rFonts w:eastAsia="仿宋" w:cs="Arial" w:asciiTheme="minorHAnsi" w:hAnsiTheme="minorHAnsi"/>
          <w:sz w:val="32"/>
          <w:szCs w:val="32"/>
        </w:rPr>
        <w:t>0%</w:t>
      </w:r>
      <w:r>
        <w:rPr>
          <w:rFonts w:hAnsi="仿宋" w:eastAsia="仿宋" w:cs="Arial" w:asciiTheme="minorHAnsi"/>
          <w:sz w:val="32"/>
          <w:szCs w:val="32"/>
        </w:rPr>
        <w:t>。</w:t>
      </w:r>
    </w:p>
    <w:p>
      <w:pPr>
        <w:adjustRightInd w:val="0"/>
        <w:snapToGrid w:val="0"/>
        <w:spacing w:before="240" w:line="540" w:lineRule="exact"/>
        <w:ind w:firstLine="640"/>
        <w:jc w:val="both"/>
        <w:rPr>
          <w:rFonts w:eastAsia="仿宋" w:asciiTheme="minorHAnsi" w:hAnsiTheme="minorHAnsi"/>
        </w:rPr>
      </w:pPr>
      <w:r>
        <w:rPr>
          <w:rStyle w:val="36"/>
          <w:rFonts w:hAnsi="仿宋" w:eastAsia="仿宋" w:cs="Arial" w:asciiTheme="minorHAnsi"/>
          <w:sz w:val="32"/>
          <w:szCs w:val="32"/>
        </w:rPr>
        <w:t>（十二）国有资产占有情况说明</w:t>
      </w:r>
    </w:p>
    <w:p>
      <w:pPr>
        <w:adjustRightInd w:val="0"/>
        <w:snapToGrid w:val="0"/>
        <w:spacing w:before="240" w:line="540" w:lineRule="exact"/>
        <w:ind w:firstLine="640"/>
        <w:jc w:val="both"/>
        <w:rPr>
          <w:rFonts w:eastAsia="仿宋" w:asciiTheme="minorHAnsi" w:hAnsiTheme="minorHAnsi"/>
        </w:rPr>
      </w:pPr>
      <w:r>
        <w:rPr>
          <w:rFonts w:hAnsi="仿宋" w:eastAsia="仿宋" w:cs="Arial" w:asciiTheme="minorHAnsi"/>
          <w:sz w:val="32"/>
          <w:szCs w:val="32"/>
        </w:rPr>
        <w:t>截至</w:t>
      </w:r>
      <w:r>
        <w:rPr>
          <w:rFonts w:eastAsia="仿宋" w:cs="Arial" w:asciiTheme="minorHAnsi" w:hAnsiTheme="minorHAnsi"/>
          <w:sz w:val="32"/>
          <w:szCs w:val="32"/>
        </w:rPr>
        <w:t>2020</w:t>
      </w:r>
      <w:r>
        <w:rPr>
          <w:rFonts w:hAnsi="仿宋" w:eastAsia="仿宋" w:cs="Arial" w:asciiTheme="minorHAnsi"/>
          <w:sz w:val="32"/>
          <w:szCs w:val="32"/>
        </w:rPr>
        <w:t>年</w:t>
      </w:r>
      <w:r>
        <w:rPr>
          <w:rFonts w:eastAsia="仿宋" w:cs="Arial" w:asciiTheme="minorHAnsi" w:hAnsiTheme="minorHAnsi"/>
          <w:sz w:val="32"/>
          <w:szCs w:val="32"/>
        </w:rPr>
        <w:t>12</w:t>
      </w:r>
      <w:r>
        <w:rPr>
          <w:rFonts w:hAnsi="仿宋" w:eastAsia="仿宋" w:cs="Arial" w:asciiTheme="minorHAnsi"/>
          <w:sz w:val="32"/>
          <w:szCs w:val="32"/>
        </w:rPr>
        <w:t>月</w:t>
      </w:r>
      <w:r>
        <w:rPr>
          <w:rFonts w:eastAsia="仿宋" w:cs="Arial" w:asciiTheme="minorHAnsi" w:hAnsiTheme="minorHAnsi"/>
          <w:sz w:val="32"/>
          <w:szCs w:val="32"/>
        </w:rPr>
        <w:t>31</w:t>
      </w:r>
      <w:r>
        <w:rPr>
          <w:rFonts w:hAnsi="仿宋" w:eastAsia="仿宋" w:cs="Arial" w:asciiTheme="minorHAnsi"/>
          <w:sz w:val="32"/>
          <w:szCs w:val="32"/>
        </w:rPr>
        <w:t>日，城南镇共有车辆</w:t>
      </w:r>
      <w:r>
        <w:rPr>
          <w:rFonts w:eastAsia="仿宋" w:cs="Arial" w:asciiTheme="minorHAnsi" w:hAnsiTheme="minorHAnsi"/>
          <w:sz w:val="32"/>
          <w:szCs w:val="32"/>
        </w:rPr>
        <w:t>5</w:t>
      </w:r>
      <w:r>
        <w:rPr>
          <w:rFonts w:hAnsi="仿宋" w:eastAsia="仿宋" w:cs="Arial" w:asciiTheme="minorHAnsi"/>
          <w:sz w:val="32"/>
          <w:szCs w:val="32"/>
        </w:rPr>
        <w:t>辆，其中，副部（省）级及以上领导用车</w:t>
      </w:r>
      <w:r>
        <w:rPr>
          <w:rFonts w:eastAsia="仿宋" w:cs="Arial" w:asciiTheme="minorHAnsi" w:hAnsiTheme="minorHAnsi"/>
          <w:sz w:val="32"/>
          <w:szCs w:val="32"/>
        </w:rPr>
        <w:t>0</w:t>
      </w:r>
      <w:r>
        <w:rPr>
          <w:rFonts w:hAnsi="仿宋" w:eastAsia="仿宋" w:cs="Arial" w:asciiTheme="minorHAnsi"/>
          <w:sz w:val="32"/>
          <w:szCs w:val="32"/>
        </w:rPr>
        <w:t>辆、主要领导干部用车</w:t>
      </w:r>
      <w:r>
        <w:rPr>
          <w:rFonts w:eastAsia="仿宋" w:cs="Arial" w:asciiTheme="minorHAnsi" w:hAnsiTheme="minorHAnsi"/>
          <w:sz w:val="32"/>
          <w:szCs w:val="32"/>
        </w:rPr>
        <w:t>0</w:t>
      </w:r>
      <w:r>
        <w:rPr>
          <w:rFonts w:hAnsi="仿宋" w:eastAsia="仿宋" w:cs="Arial" w:asciiTheme="minorHAnsi"/>
          <w:sz w:val="32"/>
          <w:szCs w:val="32"/>
        </w:rPr>
        <w:t>辆、机要通信用车</w:t>
      </w:r>
      <w:r>
        <w:rPr>
          <w:rFonts w:eastAsia="仿宋" w:cs="Arial" w:asciiTheme="minorHAnsi" w:hAnsiTheme="minorHAnsi"/>
          <w:sz w:val="32"/>
          <w:szCs w:val="32"/>
        </w:rPr>
        <w:t>0</w:t>
      </w:r>
      <w:r>
        <w:rPr>
          <w:rFonts w:hAnsi="仿宋" w:eastAsia="仿宋" w:cs="Arial" w:asciiTheme="minorHAnsi"/>
          <w:sz w:val="32"/>
          <w:szCs w:val="32"/>
        </w:rPr>
        <w:t>辆、应急保障用车</w:t>
      </w:r>
      <w:r>
        <w:rPr>
          <w:rFonts w:eastAsia="仿宋" w:cs="Arial" w:asciiTheme="minorHAnsi" w:hAnsiTheme="minorHAnsi"/>
          <w:sz w:val="32"/>
          <w:szCs w:val="32"/>
        </w:rPr>
        <w:t>0</w:t>
      </w:r>
      <w:r>
        <w:rPr>
          <w:rFonts w:hAnsi="仿宋" w:eastAsia="仿宋" w:cs="Arial" w:asciiTheme="minorHAnsi"/>
          <w:sz w:val="32"/>
          <w:szCs w:val="32"/>
        </w:rPr>
        <w:t>辆、执法执勤用车</w:t>
      </w:r>
      <w:r>
        <w:rPr>
          <w:rFonts w:eastAsia="仿宋" w:cs="Arial" w:asciiTheme="minorHAnsi" w:hAnsiTheme="minorHAnsi"/>
          <w:sz w:val="32"/>
          <w:szCs w:val="32"/>
        </w:rPr>
        <w:t>0</w:t>
      </w:r>
      <w:r>
        <w:rPr>
          <w:rFonts w:hAnsi="仿宋" w:eastAsia="仿宋" w:cs="Arial" w:asciiTheme="minorHAnsi"/>
          <w:sz w:val="32"/>
          <w:szCs w:val="32"/>
        </w:rPr>
        <w:t>辆、特种专业技术用车</w:t>
      </w:r>
      <w:r>
        <w:rPr>
          <w:rFonts w:eastAsia="仿宋" w:cs="Arial" w:asciiTheme="minorHAnsi" w:hAnsiTheme="minorHAnsi"/>
          <w:sz w:val="32"/>
          <w:szCs w:val="32"/>
        </w:rPr>
        <w:t>0</w:t>
      </w:r>
      <w:r>
        <w:rPr>
          <w:rFonts w:hAnsi="仿宋" w:eastAsia="仿宋" w:cs="Arial" w:asciiTheme="minorHAnsi"/>
          <w:sz w:val="32"/>
          <w:szCs w:val="32"/>
        </w:rPr>
        <w:t>辆、离退休干部用车</w:t>
      </w:r>
      <w:r>
        <w:rPr>
          <w:rFonts w:eastAsia="仿宋" w:cs="Arial" w:asciiTheme="minorHAnsi" w:hAnsiTheme="minorHAnsi"/>
          <w:sz w:val="32"/>
          <w:szCs w:val="32"/>
        </w:rPr>
        <w:t>0</w:t>
      </w:r>
      <w:r>
        <w:rPr>
          <w:rFonts w:hAnsi="仿宋" w:eastAsia="仿宋" w:cs="Arial" w:asciiTheme="minorHAnsi"/>
          <w:sz w:val="32"/>
          <w:szCs w:val="32"/>
        </w:rPr>
        <w:t>辆、其他用车</w:t>
      </w:r>
      <w:r>
        <w:rPr>
          <w:rFonts w:eastAsia="仿宋" w:cs="Arial" w:asciiTheme="minorHAnsi" w:hAnsiTheme="minorHAnsi"/>
          <w:sz w:val="32"/>
          <w:szCs w:val="32"/>
        </w:rPr>
        <w:t>5</w:t>
      </w:r>
      <w:r>
        <w:rPr>
          <w:rFonts w:hAnsi="仿宋" w:eastAsia="仿宋" w:cs="Arial" w:asciiTheme="minorHAnsi"/>
          <w:sz w:val="32"/>
          <w:szCs w:val="32"/>
        </w:rPr>
        <w:t>辆</w:t>
      </w:r>
      <w:r>
        <w:rPr>
          <w:rFonts w:eastAsia="仿宋" w:cs="Arial" w:asciiTheme="minorHAnsi" w:hAnsiTheme="minorHAnsi"/>
          <w:sz w:val="32"/>
          <w:szCs w:val="32"/>
        </w:rPr>
        <w:t>,</w:t>
      </w:r>
      <w:r>
        <w:rPr>
          <w:rFonts w:hAnsi="仿宋" w:eastAsia="仿宋" w:cs="Arial" w:asciiTheme="minorHAnsi"/>
          <w:sz w:val="32"/>
          <w:szCs w:val="32"/>
        </w:rPr>
        <w:t>其他用车主要</w:t>
      </w:r>
      <w:r>
        <w:rPr>
          <w:rFonts w:eastAsia="仿宋" w:cs="Arial" w:asciiTheme="minorHAnsi" w:hAnsiTheme="minorHAnsi"/>
          <w:sz w:val="32"/>
          <w:szCs w:val="32"/>
        </w:rPr>
        <w:t>3</w:t>
      </w:r>
      <w:r>
        <w:rPr>
          <w:rFonts w:hAnsi="仿宋" w:eastAsia="仿宋" w:cs="Arial" w:asciiTheme="minorHAnsi"/>
          <w:sz w:val="32"/>
          <w:szCs w:val="32"/>
        </w:rPr>
        <w:t>辆行政公务用车、</w:t>
      </w:r>
      <w:r>
        <w:rPr>
          <w:rFonts w:eastAsia="仿宋" w:cs="Arial" w:asciiTheme="minorHAnsi" w:hAnsiTheme="minorHAnsi"/>
          <w:sz w:val="32"/>
          <w:szCs w:val="32"/>
        </w:rPr>
        <w:t>2</w:t>
      </w:r>
      <w:r>
        <w:rPr>
          <w:rFonts w:hAnsi="仿宋" w:eastAsia="仿宋" w:cs="Arial" w:asciiTheme="minorHAnsi"/>
          <w:sz w:val="32"/>
          <w:szCs w:val="32"/>
        </w:rPr>
        <w:t>辆事业公务用车；单价</w:t>
      </w:r>
      <w:r>
        <w:rPr>
          <w:rFonts w:eastAsia="仿宋" w:cs="Arial" w:asciiTheme="minorHAnsi" w:hAnsiTheme="minorHAnsi"/>
          <w:sz w:val="32"/>
          <w:szCs w:val="32"/>
        </w:rPr>
        <w:t>50</w:t>
      </w:r>
      <w:r>
        <w:rPr>
          <w:rFonts w:hAnsi="仿宋" w:eastAsia="仿宋" w:cs="Arial" w:asciiTheme="minorHAnsi"/>
          <w:sz w:val="32"/>
          <w:szCs w:val="32"/>
        </w:rPr>
        <w:t>万元以上通用设备</w:t>
      </w:r>
      <w:r>
        <w:rPr>
          <w:rFonts w:eastAsia="仿宋" w:cs="Arial" w:asciiTheme="minorHAnsi" w:hAnsiTheme="minorHAnsi"/>
          <w:sz w:val="32"/>
          <w:szCs w:val="32"/>
        </w:rPr>
        <w:t>0</w:t>
      </w:r>
      <w:r>
        <w:rPr>
          <w:rFonts w:hAnsi="仿宋" w:eastAsia="仿宋" w:cs="Arial" w:asciiTheme="minorHAnsi"/>
          <w:sz w:val="32"/>
          <w:szCs w:val="32"/>
        </w:rPr>
        <w:t>台（套），单价</w:t>
      </w:r>
      <w:r>
        <w:rPr>
          <w:rFonts w:eastAsia="仿宋" w:cs="Arial" w:asciiTheme="minorHAnsi" w:hAnsiTheme="minorHAnsi"/>
          <w:sz w:val="32"/>
          <w:szCs w:val="32"/>
        </w:rPr>
        <w:t>100</w:t>
      </w:r>
      <w:r>
        <w:rPr>
          <w:rFonts w:hAnsi="仿宋" w:eastAsia="仿宋" w:cs="Arial" w:asciiTheme="minorHAnsi"/>
          <w:sz w:val="32"/>
          <w:szCs w:val="32"/>
        </w:rPr>
        <w:t>万元以上专用设备</w:t>
      </w:r>
      <w:r>
        <w:rPr>
          <w:rFonts w:eastAsia="仿宋" w:cs="Arial" w:asciiTheme="minorHAnsi" w:hAnsiTheme="minorHAnsi"/>
          <w:sz w:val="32"/>
          <w:szCs w:val="32"/>
        </w:rPr>
        <w:t>0</w:t>
      </w:r>
      <w:r>
        <w:rPr>
          <w:rFonts w:hAnsi="仿宋" w:eastAsia="仿宋" w:cs="Arial" w:asciiTheme="minorHAnsi"/>
          <w:sz w:val="32"/>
          <w:szCs w:val="32"/>
        </w:rPr>
        <w:t>台（套）。</w:t>
      </w:r>
      <w:r>
        <w:rPr>
          <w:rFonts w:eastAsia="仿宋" w:cs="Arial" w:asciiTheme="minorHAnsi" w:hAnsiTheme="minorHAnsi"/>
          <w:sz w:val="32"/>
          <w:szCs w:val="32"/>
        </w:rPr>
        <w:t xml:space="preserve"> </w:t>
      </w:r>
    </w:p>
    <w:p>
      <w:pPr>
        <w:adjustRightInd w:val="0"/>
        <w:snapToGrid w:val="0"/>
        <w:spacing w:before="240" w:line="540" w:lineRule="exact"/>
        <w:ind w:firstLine="640"/>
        <w:jc w:val="both"/>
        <w:rPr>
          <w:rFonts w:eastAsia="仿宋" w:asciiTheme="minorHAnsi" w:hAnsiTheme="minorHAnsi"/>
        </w:rPr>
      </w:pPr>
      <w:r>
        <w:rPr>
          <w:rStyle w:val="36"/>
          <w:rFonts w:hAnsi="仿宋" w:eastAsia="仿宋" w:cs="Arial" w:asciiTheme="minorHAnsi"/>
          <w:sz w:val="32"/>
          <w:szCs w:val="32"/>
        </w:rPr>
        <w:t>（十三）预算绩效情况说明</w:t>
      </w:r>
    </w:p>
    <w:p>
      <w:pPr>
        <w:adjustRightInd w:val="0"/>
        <w:snapToGrid w:val="0"/>
        <w:spacing w:before="240" w:line="540" w:lineRule="exact"/>
        <w:ind w:firstLine="640"/>
        <w:jc w:val="both"/>
        <w:rPr>
          <w:rFonts w:eastAsia="仿宋" w:cs="Arial" w:asciiTheme="minorHAnsi" w:hAnsiTheme="minorHAnsi"/>
          <w:sz w:val="32"/>
          <w:szCs w:val="32"/>
        </w:rPr>
      </w:pPr>
      <w:r>
        <w:rPr>
          <w:rStyle w:val="36"/>
          <w:rFonts w:eastAsia="仿宋" w:cs="Arial" w:asciiTheme="minorHAnsi" w:hAnsiTheme="minorHAnsi"/>
          <w:sz w:val="32"/>
          <w:szCs w:val="32"/>
        </w:rPr>
        <w:t>1.</w:t>
      </w:r>
      <w:r>
        <w:rPr>
          <w:rStyle w:val="36"/>
          <w:rFonts w:hAnsi="仿宋" w:eastAsia="仿宋" w:cs="Arial" w:asciiTheme="minorHAnsi"/>
          <w:sz w:val="32"/>
          <w:szCs w:val="32"/>
        </w:rPr>
        <w:t>预算绩效管理工作开展情况。</w:t>
      </w:r>
    </w:p>
    <w:p>
      <w:pPr>
        <w:adjustRightInd w:val="0"/>
        <w:snapToGrid w:val="0"/>
        <w:spacing w:line="540" w:lineRule="exact"/>
        <w:ind w:firstLine="640"/>
        <w:jc w:val="both"/>
        <w:rPr>
          <w:rFonts w:asciiTheme="minorHAnsi" w:hAnsiTheme="minorHAnsi"/>
        </w:rPr>
      </w:pPr>
      <w:r>
        <w:rPr>
          <w:rFonts w:hAnsi="仿宋" w:eastAsia="仿宋" w:cs="Arial" w:asciiTheme="minorHAnsi"/>
          <w:sz w:val="32"/>
          <w:szCs w:val="32"/>
        </w:rPr>
        <w:t>根据预算绩效管理要求，城南镇人民政府组织对</w:t>
      </w:r>
      <w:r>
        <w:rPr>
          <w:rFonts w:eastAsia="仿宋" w:cs="Arial" w:asciiTheme="minorHAnsi" w:hAnsiTheme="minorHAnsi"/>
          <w:sz w:val="32"/>
          <w:szCs w:val="32"/>
        </w:rPr>
        <w:t>2020</w:t>
      </w:r>
      <w:r>
        <w:rPr>
          <w:rFonts w:hAnsi="仿宋" w:eastAsia="仿宋" w:cs="Arial" w:asciiTheme="minorHAnsi"/>
          <w:sz w:val="32"/>
          <w:szCs w:val="32"/>
        </w:rPr>
        <w:t>年度一般公共预算项目支出全面开展绩效自评，涉及项目</w:t>
      </w:r>
      <w:r>
        <w:rPr>
          <w:rFonts w:eastAsia="仿宋" w:cs="Arial" w:asciiTheme="minorHAnsi" w:hAnsiTheme="minorHAnsi"/>
          <w:sz w:val="32"/>
          <w:szCs w:val="32"/>
        </w:rPr>
        <w:t>10</w:t>
      </w:r>
      <w:r>
        <w:rPr>
          <w:rFonts w:hAnsi="仿宋" w:eastAsia="仿宋" w:cs="Arial" w:asciiTheme="minorHAnsi"/>
          <w:sz w:val="32"/>
          <w:szCs w:val="32"/>
        </w:rPr>
        <w:t>个，共涉及资金</w:t>
      </w:r>
      <w:r>
        <w:rPr>
          <w:rFonts w:eastAsia="仿宋" w:cs="Arial" w:asciiTheme="minorHAnsi" w:hAnsiTheme="minorHAnsi"/>
          <w:sz w:val="32"/>
          <w:szCs w:val="32"/>
        </w:rPr>
        <w:t>1050.03</w:t>
      </w:r>
      <w:r>
        <w:rPr>
          <w:rFonts w:hAnsi="仿宋" w:eastAsia="仿宋" w:cs="Arial" w:asciiTheme="minorHAnsi"/>
          <w:sz w:val="32"/>
          <w:szCs w:val="32"/>
        </w:rPr>
        <w:t>万元，占一般公共预算项目支出总额的</w:t>
      </w:r>
      <w:r>
        <w:rPr>
          <w:rFonts w:eastAsia="仿宋" w:cs="Arial" w:asciiTheme="minorHAnsi" w:hAnsiTheme="minorHAnsi"/>
          <w:sz w:val="32"/>
          <w:szCs w:val="32"/>
        </w:rPr>
        <w:t>0.32%</w:t>
      </w:r>
      <w:r>
        <w:rPr>
          <w:rFonts w:hAnsi="仿宋" w:eastAsia="仿宋" w:cs="Arial" w:asciiTheme="minorHAnsi"/>
          <w:sz w:val="32"/>
          <w:szCs w:val="32"/>
        </w:rPr>
        <w:t>。组织对</w:t>
      </w:r>
      <w:r>
        <w:rPr>
          <w:rFonts w:eastAsia="仿宋" w:cs="Arial" w:asciiTheme="minorHAnsi" w:hAnsiTheme="minorHAnsi"/>
          <w:sz w:val="32"/>
          <w:szCs w:val="32"/>
        </w:rPr>
        <w:t>2020</w:t>
      </w:r>
      <w:r>
        <w:rPr>
          <w:rFonts w:hAnsi="仿宋" w:eastAsia="仿宋" w:cs="Arial" w:asciiTheme="minorHAnsi"/>
          <w:sz w:val="32"/>
          <w:szCs w:val="32"/>
        </w:rPr>
        <w:t>年度困境儿童基本生活费、特困供养金</w:t>
      </w:r>
      <w:r>
        <w:rPr>
          <w:rFonts w:eastAsia="仿宋" w:cs="Arial" w:asciiTheme="minorHAnsi" w:hAnsiTheme="minorHAnsi"/>
          <w:sz w:val="32"/>
          <w:szCs w:val="32"/>
        </w:rPr>
        <w:t>2</w:t>
      </w:r>
      <w:r>
        <w:rPr>
          <w:rFonts w:hAnsi="仿宋" w:eastAsia="仿宋" w:cs="Arial" w:asciiTheme="minorHAnsi"/>
          <w:sz w:val="32"/>
          <w:szCs w:val="32"/>
        </w:rPr>
        <w:t>个政府性基金预算项目支出开展绩效自评，共涉及资金</w:t>
      </w:r>
      <w:r>
        <w:rPr>
          <w:rFonts w:eastAsia="仿宋" w:cs="Arial" w:asciiTheme="minorHAnsi" w:hAnsiTheme="minorHAnsi"/>
          <w:sz w:val="32"/>
          <w:szCs w:val="32"/>
        </w:rPr>
        <w:t>74.38</w:t>
      </w:r>
      <w:r>
        <w:rPr>
          <w:rFonts w:hAnsi="仿宋" w:eastAsia="仿宋" w:cs="Arial" w:asciiTheme="minorHAnsi"/>
          <w:sz w:val="32"/>
          <w:szCs w:val="32"/>
        </w:rPr>
        <w:t>万元，占政府性基金预算项目支出总额的</w:t>
      </w:r>
      <w:r>
        <w:rPr>
          <w:rFonts w:eastAsia="仿宋" w:cs="Arial" w:asciiTheme="minorHAnsi" w:hAnsiTheme="minorHAnsi"/>
          <w:sz w:val="32"/>
          <w:szCs w:val="32"/>
        </w:rPr>
        <w:t>20%</w:t>
      </w:r>
      <w:r>
        <w:rPr>
          <w:rFonts w:hAnsi="仿宋" w:eastAsia="仿宋" w:cs="Arial" w:asciiTheme="minorHAnsi"/>
          <w:sz w:val="32"/>
          <w:szCs w:val="32"/>
        </w:rPr>
        <w:t>。</w:t>
      </w:r>
      <w:r>
        <w:rPr>
          <w:rFonts w:eastAsia="仿宋" w:cs="Arial" w:asciiTheme="minorHAnsi" w:hAnsiTheme="minorHAnsi"/>
          <w:sz w:val="32"/>
          <w:szCs w:val="32"/>
        </w:rPr>
        <w:t xml:space="preserve"> </w:t>
      </w:r>
    </w:p>
    <w:p>
      <w:pPr>
        <w:adjustRightInd w:val="0"/>
        <w:snapToGrid w:val="0"/>
        <w:spacing w:line="540" w:lineRule="exact"/>
        <w:ind w:firstLine="640"/>
        <w:jc w:val="both"/>
        <w:rPr>
          <w:rFonts w:asciiTheme="minorHAnsi" w:hAnsiTheme="minorHAnsi"/>
        </w:rPr>
      </w:pPr>
      <w:r>
        <w:rPr>
          <w:rFonts w:hAnsi="仿宋" w:eastAsia="仿宋" w:cs="Arial" w:asciiTheme="minorHAnsi"/>
          <w:sz w:val="32"/>
          <w:szCs w:val="32"/>
        </w:rPr>
        <w:t>本年无部门评价。</w:t>
      </w:r>
    </w:p>
    <w:p>
      <w:pPr>
        <w:adjustRightInd w:val="0"/>
        <w:snapToGrid w:val="0"/>
        <w:spacing w:line="540" w:lineRule="exact"/>
        <w:ind w:firstLine="640"/>
        <w:jc w:val="both"/>
        <w:rPr>
          <w:rFonts w:hAnsi="仿宋" w:eastAsia="仿宋" w:cs="Arial" w:asciiTheme="minorHAnsi"/>
          <w:sz w:val="32"/>
          <w:szCs w:val="32"/>
        </w:rPr>
      </w:pPr>
      <w:r>
        <w:rPr>
          <w:rFonts w:hAnsi="仿宋" w:eastAsia="仿宋" w:cs="Arial" w:asciiTheme="minorHAnsi"/>
          <w:sz w:val="32"/>
          <w:szCs w:val="32"/>
        </w:rPr>
        <w:t>组织对本单位开展整体支出绩效评</w:t>
      </w:r>
      <w:r>
        <w:rPr>
          <w:rFonts w:hAnsi="仿宋" w:eastAsia="仿宋" w:cs="Arial" w:asciiTheme="minorHAnsi"/>
          <w:sz w:val="32"/>
          <w:szCs w:val="32"/>
        </w:rPr>
        <w:t>价，对照评价指标和标准进行评议与打分，2020年城南镇整体支出绩效评价得为82.7分。评价等级为一般。</w:t>
      </w:r>
    </w:p>
    <w:p>
      <w:pPr>
        <w:adjustRightInd w:val="0"/>
        <w:snapToGrid w:val="0"/>
        <w:spacing w:line="540" w:lineRule="exact"/>
        <w:ind w:firstLine="640"/>
        <w:jc w:val="both"/>
        <w:rPr>
          <w:rFonts w:eastAsia="仿宋" w:cs="Arial" w:asciiTheme="minorHAnsi" w:hAnsiTheme="minorHAnsi"/>
          <w:sz w:val="32"/>
          <w:szCs w:val="32"/>
        </w:rPr>
      </w:pPr>
      <w:r>
        <w:rPr>
          <w:rFonts w:hAnsi="仿宋" w:eastAsia="仿宋" w:cs="Arial" w:asciiTheme="minorHAnsi"/>
          <w:sz w:val="32"/>
          <w:szCs w:val="32"/>
        </w:rPr>
        <w:t>本年无下属部门或单位整体支出绩效评价。</w:t>
      </w:r>
    </w:p>
    <w:p>
      <w:pPr>
        <w:adjustRightInd w:val="0"/>
        <w:snapToGrid w:val="0"/>
        <w:spacing w:line="540" w:lineRule="exact"/>
        <w:ind w:firstLine="640" w:firstLineChars="200"/>
        <w:rPr>
          <w:rFonts w:eastAsia="仿宋" w:cs="Arial" w:asciiTheme="minorHAnsi" w:hAnsiTheme="minorHAnsi"/>
          <w:sz w:val="32"/>
          <w:szCs w:val="32"/>
        </w:rPr>
      </w:pPr>
      <w:r>
        <w:rPr>
          <w:rStyle w:val="36"/>
          <w:rFonts w:eastAsia="仿宋" w:cs="Arial" w:asciiTheme="minorHAnsi" w:hAnsiTheme="minorHAnsi"/>
          <w:sz w:val="32"/>
          <w:szCs w:val="32"/>
        </w:rPr>
        <w:t>2.</w:t>
      </w:r>
      <w:r>
        <w:rPr>
          <w:rStyle w:val="36"/>
          <w:rFonts w:hAnsi="仿宋" w:eastAsia="仿宋" w:cs="Arial" w:asciiTheme="minorHAnsi"/>
          <w:sz w:val="32"/>
          <w:szCs w:val="32"/>
        </w:rPr>
        <w:t>部门决算中项目绩效自评结果</w:t>
      </w:r>
      <w:r>
        <w:rPr>
          <w:rFonts w:hAnsi="仿宋" w:eastAsia="仿宋" w:cs="Arial" w:asciiTheme="minorHAnsi"/>
          <w:sz w:val="32"/>
          <w:szCs w:val="32"/>
        </w:rPr>
        <w:t>。</w:t>
      </w:r>
    </w:p>
    <w:p>
      <w:pPr>
        <w:adjustRightInd w:val="0"/>
        <w:snapToGrid w:val="0"/>
        <w:spacing w:line="540" w:lineRule="exact"/>
        <w:ind w:firstLine="640"/>
        <w:jc w:val="both"/>
        <w:rPr>
          <w:rFonts w:eastAsia="仿宋" w:cs="Arial" w:asciiTheme="minorHAnsi" w:hAnsiTheme="minorHAnsi"/>
          <w:sz w:val="32"/>
          <w:szCs w:val="32"/>
        </w:rPr>
      </w:pPr>
      <w:r>
        <w:rPr>
          <w:rFonts w:hAnsi="仿宋" w:eastAsia="仿宋" w:cs="Arial" w:asciiTheme="minorHAnsi"/>
          <w:sz w:val="32"/>
          <w:szCs w:val="32"/>
        </w:rPr>
        <w:t>城南镇人民政府在</w:t>
      </w:r>
      <w:r>
        <w:rPr>
          <w:rFonts w:eastAsia="仿宋" w:cs="Arial" w:asciiTheme="minorHAnsi" w:hAnsiTheme="minorHAnsi"/>
          <w:sz w:val="32"/>
          <w:szCs w:val="32"/>
        </w:rPr>
        <w:t>2020</w:t>
      </w:r>
      <w:r>
        <w:rPr>
          <w:rFonts w:hAnsi="仿宋" w:eastAsia="仿宋" w:cs="Arial" w:asciiTheme="minorHAnsi"/>
          <w:sz w:val="32"/>
          <w:szCs w:val="32"/>
        </w:rPr>
        <w:t>年度部门决算中反映困难群众物价补贴、困境儿童基本生活费</w:t>
      </w:r>
      <w:r>
        <w:rPr>
          <w:rFonts w:eastAsia="仿宋" w:cs="Arial" w:asciiTheme="minorHAnsi" w:hAnsiTheme="minorHAnsi"/>
          <w:sz w:val="32"/>
          <w:szCs w:val="32"/>
        </w:rPr>
        <w:t>2</w:t>
      </w:r>
      <w:r>
        <w:rPr>
          <w:rFonts w:hAnsi="仿宋" w:eastAsia="仿宋" w:cs="Arial" w:asciiTheme="minorHAnsi"/>
          <w:sz w:val="32"/>
          <w:szCs w:val="32"/>
        </w:rPr>
        <w:t>个项目绩效自评结果。</w:t>
      </w:r>
    </w:p>
    <w:p>
      <w:pPr>
        <w:adjustRightInd w:val="0"/>
        <w:snapToGrid w:val="0"/>
        <w:spacing w:line="540" w:lineRule="exact"/>
        <w:ind w:firstLine="640"/>
        <w:jc w:val="both"/>
        <w:rPr>
          <w:rFonts w:eastAsia="仿宋" w:cs="Arial" w:asciiTheme="minorHAnsi" w:hAnsiTheme="minorHAnsi"/>
          <w:sz w:val="32"/>
          <w:szCs w:val="32"/>
        </w:rPr>
      </w:pPr>
      <w:r>
        <w:rPr>
          <w:rFonts w:hAnsi="仿宋" w:eastAsia="仿宋" w:cs="Arial" w:asciiTheme="minorHAnsi"/>
          <w:sz w:val="32"/>
          <w:szCs w:val="32"/>
        </w:rPr>
        <w:t>困难群众物价补贴项目绩效自评综述：根据年初设定的绩效目标，项目自评得分</w:t>
      </w:r>
      <w:r>
        <w:rPr>
          <w:rFonts w:eastAsia="仿宋" w:cs="Arial" w:asciiTheme="minorHAnsi" w:hAnsiTheme="minorHAnsi"/>
          <w:sz w:val="32"/>
          <w:szCs w:val="32"/>
        </w:rPr>
        <w:t>96</w:t>
      </w:r>
      <w:r>
        <w:rPr>
          <w:rFonts w:hAnsi="仿宋" w:eastAsia="仿宋" w:cs="Arial" w:asciiTheme="minorHAnsi"/>
          <w:sz w:val="32"/>
          <w:szCs w:val="32"/>
        </w:rPr>
        <w:t>分，自评结论为优。项目全年预算数为</w:t>
      </w:r>
      <w:r>
        <w:rPr>
          <w:rFonts w:eastAsia="仿宋" w:cs="Arial" w:asciiTheme="minorHAnsi" w:hAnsiTheme="minorHAnsi"/>
          <w:sz w:val="32"/>
          <w:szCs w:val="32"/>
        </w:rPr>
        <w:t>157.82</w:t>
      </w:r>
      <w:r>
        <w:rPr>
          <w:rFonts w:hAnsi="仿宋" w:eastAsia="仿宋" w:cs="Arial" w:asciiTheme="minorHAnsi"/>
          <w:sz w:val="32"/>
          <w:szCs w:val="32"/>
        </w:rPr>
        <w:t>万元，执行数为</w:t>
      </w:r>
      <w:r>
        <w:rPr>
          <w:rFonts w:eastAsia="仿宋" w:cs="Arial" w:asciiTheme="minorHAnsi" w:hAnsiTheme="minorHAnsi"/>
          <w:sz w:val="32"/>
          <w:szCs w:val="32"/>
        </w:rPr>
        <w:t>157.82</w:t>
      </w:r>
      <w:r>
        <w:rPr>
          <w:rFonts w:hAnsi="仿宋" w:eastAsia="仿宋" w:cs="Arial" w:asciiTheme="minorHAnsi"/>
          <w:sz w:val="32"/>
          <w:szCs w:val="32"/>
        </w:rPr>
        <w:t>万元，完成预算的</w:t>
      </w:r>
      <w:r>
        <w:rPr>
          <w:rFonts w:eastAsia="仿宋" w:cs="Arial" w:asciiTheme="minorHAnsi" w:hAnsiTheme="minorHAnsi"/>
          <w:sz w:val="32"/>
          <w:szCs w:val="32"/>
        </w:rPr>
        <w:t>100%</w:t>
      </w:r>
      <w:r>
        <w:rPr>
          <w:rFonts w:hAnsi="仿宋" w:eastAsia="仿宋" w:cs="Arial" w:asciiTheme="minorHAnsi"/>
          <w:sz w:val="32"/>
          <w:szCs w:val="32"/>
        </w:rPr>
        <w:t>。项目绩效目标完成情况：完成</w:t>
      </w:r>
      <w:r>
        <w:rPr>
          <w:rFonts w:eastAsia="仿宋" w:cs="Arial" w:asciiTheme="minorHAnsi" w:hAnsiTheme="minorHAnsi"/>
          <w:sz w:val="32"/>
          <w:szCs w:val="32"/>
        </w:rPr>
        <w:t>212</w:t>
      </w:r>
      <w:r>
        <w:rPr>
          <w:rFonts w:hAnsi="仿宋" w:eastAsia="仿宋" w:cs="Arial" w:asciiTheme="minorHAnsi"/>
          <w:sz w:val="32"/>
          <w:szCs w:val="32"/>
        </w:rPr>
        <w:t>名低保、特困人员救助供养（月平均数）、物价补贴发放（人均补差</w:t>
      </w:r>
      <w:r>
        <w:rPr>
          <w:rFonts w:eastAsia="仿宋" w:cs="Arial" w:asciiTheme="minorHAnsi" w:hAnsiTheme="minorHAnsi"/>
          <w:sz w:val="32"/>
          <w:szCs w:val="32"/>
        </w:rPr>
        <w:t>620</w:t>
      </w:r>
      <w:r>
        <w:rPr>
          <w:rFonts w:hAnsi="仿宋" w:eastAsia="仿宋" w:cs="Arial" w:asciiTheme="minorHAnsi"/>
          <w:sz w:val="32"/>
          <w:szCs w:val="32"/>
        </w:rPr>
        <w:t>元</w:t>
      </w:r>
      <w:r>
        <w:rPr>
          <w:rFonts w:eastAsia="仿宋" w:cs="Arial" w:asciiTheme="minorHAnsi" w:hAnsiTheme="minorHAnsi"/>
          <w:sz w:val="32"/>
          <w:szCs w:val="32"/>
        </w:rPr>
        <w:t>/</w:t>
      </w:r>
      <w:r>
        <w:rPr>
          <w:rFonts w:hAnsi="仿宋" w:eastAsia="仿宋" w:cs="Arial" w:asciiTheme="minorHAnsi"/>
          <w:sz w:val="32"/>
          <w:szCs w:val="32"/>
        </w:rPr>
        <w:t>月），保障困难群众基本生活权益，促进社会公平、维护社会稳定。发现的问题及原因：发放对象覆盖率</w:t>
      </w:r>
      <w:r>
        <w:rPr>
          <w:rFonts w:eastAsia="仿宋" w:cs="Arial" w:asciiTheme="minorHAnsi" w:hAnsiTheme="minorHAnsi"/>
          <w:sz w:val="32"/>
          <w:szCs w:val="32"/>
        </w:rPr>
        <w:t>90%</w:t>
      </w:r>
      <w:r>
        <w:rPr>
          <w:rFonts w:hAnsi="仿宋" w:eastAsia="仿宋" w:cs="Arial" w:asciiTheme="minorHAnsi"/>
          <w:sz w:val="32"/>
          <w:szCs w:val="32"/>
        </w:rPr>
        <w:t>。下一步改进措施：全面发放。</w:t>
      </w:r>
    </w:p>
    <w:tbl>
      <w:tblPr>
        <w:tblStyle w:val="13"/>
        <w:tblW w:w="0" w:type="auto"/>
        <w:jc w:val="center"/>
        <w:tblLayout w:type="autofit"/>
        <w:tblCellMar>
          <w:top w:w="0" w:type="dxa"/>
          <w:left w:w="108" w:type="dxa"/>
          <w:bottom w:w="0" w:type="dxa"/>
          <w:right w:w="108" w:type="dxa"/>
        </w:tblCellMar>
      </w:tblPr>
      <w:tblGrid>
        <w:gridCol w:w="675"/>
        <w:gridCol w:w="1628"/>
        <w:gridCol w:w="1628"/>
        <w:gridCol w:w="2487"/>
        <w:gridCol w:w="1260"/>
        <w:gridCol w:w="807"/>
        <w:gridCol w:w="810"/>
      </w:tblGrid>
      <w:tr>
        <w:tblPrEx>
          <w:tblCellMar>
            <w:top w:w="0" w:type="dxa"/>
            <w:left w:w="108" w:type="dxa"/>
            <w:bottom w:w="0" w:type="dxa"/>
            <w:right w:w="108" w:type="dxa"/>
          </w:tblCellMar>
        </w:tblPrEx>
        <w:trPr>
          <w:trHeight w:val="582"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项目名称</w:t>
            </w:r>
          </w:p>
        </w:tc>
        <w:tc>
          <w:tcPr>
            <w:tcW w:w="8620" w:type="dxa"/>
            <w:gridSpan w:val="6"/>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城南镇困难群众物价补贴</w:t>
            </w:r>
          </w:p>
        </w:tc>
      </w:tr>
      <w:tr>
        <w:tblPrEx>
          <w:tblCellMar>
            <w:top w:w="0" w:type="dxa"/>
            <w:left w:w="108" w:type="dxa"/>
            <w:bottom w:w="0" w:type="dxa"/>
            <w:right w:w="108" w:type="dxa"/>
          </w:tblCellMar>
        </w:tblPrEx>
        <w:trPr>
          <w:trHeight w:val="275" w:hRule="atLeast"/>
          <w:jc w:val="center"/>
        </w:trPr>
        <w:tc>
          <w:tcPr>
            <w:tcW w:w="67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主管单位</w:t>
            </w: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城南镇人民政府</w:t>
            </w:r>
          </w:p>
        </w:tc>
        <w:tc>
          <w:tcPr>
            <w:tcW w:w="24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实施单位</w:t>
            </w:r>
          </w:p>
        </w:tc>
        <w:tc>
          <w:tcPr>
            <w:tcW w:w="2877" w:type="dxa"/>
            <w:gridSpan w:val="3"/>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城南镇人民政府</w:t>
            </w:r>
          </w:p>
        </w:tc>
      </w:tr>
      <w:tr>
        <w:tblPrEx>
          <w:tblCellMar>
            <w:top w:w="0" w:type="dxa"/>
            <w:left w:w="108" w:type="dxa"/>
            <w:bottom w:w="0" w:type="dxa"/>
            <w:right w:w="108" w:type="dxa"/>
          </w:tblCellMar>
        </w:tblPrEx>
        <w:trPr>
          <w:trHeight w:val="471" w:hRule="atLeast"/>
          <w:jc w:val="center"/>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资金情况</w:t>
            </w:r>
            <w:r>
              <w:rPr>
                <w:rFonts w:asciiTheme="minorHAnsi" w:hAnsiTheme="minorHAnsi"/>
                <w:sz w:val="20"/>
                <w:szCs w:val="20"/>
              </w:rPr>
              <w:br w:type="textWrapping"/>
            </w:r>
            <w:r>
              <w:rPr>
                <w:rFonts w:asciiTheme="minorHAnsi"/>
                <w:sz w:val="20"/>
                <w:szCs w:val="20"/>
              </w:rPr>
              <w:t>（万元）</w:t>
            </w:r>
          </w:p>
        </w:tc>
        <w:tc>
          <w:tcPr>
            <w:tcW w:w="1628"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atLeast"/>
              <w:rPr>
                <w:rFonts w:asciiTheme="minorHAnsi" w:hAnsiTheme="minorHAnsi"/>
                <w:color w:val="000000"/>
                <w:sz w:val="20"/>
                <w:szCs w:val="20"/>
              </w:rPr>
            </w:pPr>
            <w:r>
              <w:rPr>
                <w:rFonts w:asciiTheme="minorHAnsi"/>
                <w:color w:val="000000"/>
                <w:sz w:val="20"/>
                <w:szCs w:val="20"/>
              </w:rPr>
              <w:t>　</w:t>
            </w:r>
          </w:p>
        </w:tc>
        <w:tc>
          <w:tcPr>
            <w:tcW w:w="1628"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年初预算数</w:t>
            </w:r>
          </w:p>
        </w:tc>
        <w:tc>
          <w:tcPr>
            <w:tcW w:w="2487" w:type="dxa"/>
            <w:tcBorders>
              <w:top w:val="nil"/>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全年预算数</w:t>
            </w:r>
          </w:p>
        </w:tc>
        <w:tc>
          <w:tcPr>
            <w:tcW w:w="1260" w:type="dxa"/>
            <w:tcBorders>
              <w:top w:val="nil"/>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全年执行数</w:t>
            </w:r>
          </w:p>
        </w:tc>
        <w:tc>
          <w:tcPr>
            <w:tcW w:w="1617" w:type="dxa"/>
            <w:gridSpan w:val="2"/>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执行率</w:t>
            </w:r>
          </w:p>
        </w:tc>
      </w:tr>
      <w:tr>
        <w:tblPrEx>
          <w:tblCellMar>
            <w:top w:w="0" w:type="dxa"/>
            <w:left w:w="108" w:type="dxa"/>
            <w:bottom w:w="0" w:type="dxa"/>
            <w:right w:w="108" w:type="dxa"/>
          </w:tblCellMar>
        </w:tblPrEx>
        <w:trPr>
          <w:trHeight w:val="191"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年度资金总额</w:t>
            </w:r>
          </w:p>
        </w:tc>
        <w:tc>
          <w:tcPr>
            <w:tcW w:w="1628"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0</w:t>
            </w:r>
          </w:p>
        </w:tc>
        <w:tc>
          <w:tcPr>
            <w:tcW w:w="24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157.82</w:t>
            </w:r>
          </w:p>
        </w:tc>
        <w:tc>
          <w:tcPr>
            <w:tcW w:w="12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157.82</w:t>
            </w:r>
          </w:p>
        </w:tc>
        <w:tc>
          <w:tcPr>
            <w:tcW w:w="1617" w:type="dxa"/>
            <w:gridSpan w:val="2"/>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hAnsiTheme="minorHAnsi"/>
                <w:color w:val="000000"/>
                <w:sz w:val="20"/>
                <w:szCs w:val="20"/>
              </w:rPr>
              <w:t>100%</w:t>
            </w:r>
          </w:p>
        </w:tc>
      </w:tr>
      <w:tr>
        <w:tblPrEx>
          <w:tblCellMar>
            <w:top w:w="0" w:type="dxa"/>
            <w:left w:w="108" w:type="dxa"/>
            <w:bottom w:w="0" w:type="dxa"/>
            <w:right w:w="108" w:type="dxa"/>
          </w:tblCellMar>
        </w:tblPrEx>
        <w:trPr>
          <w:trHeight w:val="191"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其中当年财政拨款</w:t>
            </w:r>
          </w:p>
        </w:tc>
        <w:tc>
          <w:tcPr>
            <w:tcW w:w="1628"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0</w:t>
            </w:r>
          </w:p>
        </w:tc>
        <w:tc>
          <w:tcPr>
            <w:tcW w:w="24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157.82</w:t>
            </w:r>
          </w:p>
        </w:tc>
        <w:tc>
          <w:tcPr>
            <w:tcW w:w="12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157.82</w:t>
            </w:r>
          </w:p>
        </w:tc>
        <w:tc>
          <w:tcPr>
            <w:tcW w:w="1617" w:type="dxa"/>
            <w:gridSpan w:val="2"/>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hAnsiTheme="minorHAnsi"/>
                <w:color w:val="000000"/>
                <w:sz w:val="20"/>
                <w:szCs w:val="20"/>
              </w:rPr>
              <w:t>100%</w:t>
            </w:r>
          </w:p>
        </w:tc>
      </w:tr>
      <w:tr>
        <w:tblPrEx>
          <w:tblCellMar>
            <w:top w:w="0" w:type="dxa"/>
            <w:left w:w="108" w:type="dxa"/>
            <w:bottom w:w="0" w:type="dxa"/>
            <w:right w:w="108" w:type="dxa"/>
          </w:tblCellMar>
        </w:tblPrEx>
        <w:trPr>
          <w:trHeight w:val="387"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上年结转资金</w:t>
            </w:r>
          </w:p>
        </w:tc>
        <w:tc>
          <w:tcPr>
            <w:tcW w:w="1628"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　</w:t>
            </w:r>
          </w:p>
        </w:tc>
        <w:tc>
          <w:tcPr>
            <w:tcW w:w="24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　</w:t>
            </w:r>
          </w:p>
        </w:tc>
        <w:tc>
          <w:tcPr>
            <w:tcW w:w="1260" w:type="dxa"/>
            <w:tcBorders>
              <w:top w:val="nil"/>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　</w:t>
            </w:r>
          </w:p>
        </w:tc>
        <w:tc>
          <w:tcPr>
            <w:tcW w:w="1617" w:type="dxa"/>
            <w:gridSpan w:val="2"/>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　</w:t>
            </w:r>
          </w:p>
        </w:tc>
      </w:tr>
      <w:tr>
        <w:tblPrEx>
          <w:tblCellMar>
            <w:top w:w="0" w:type="dxa"/>
            <w:left w:w="108" w:type="dxa"/>
            <w:bottom w:w="0" w:type="dxa"/>
            <w:right w:w="108" w:type="dxa"/>
          </w:tblCellMar>
        </w:tblPrEx>
        <w:trPr>
          <w:trHeight w:val="407"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其他资金</w:t>
            </w:r>
          </w:p>
        </w:tc>
        <w:tc>
          <w:tcPr>
            <w:tcW w:w="1628"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　</w:t>
            </w:r>
          </w:p>
        </w:tc>
        <w:tc>
          <w:tcPr>
            <w:tcW w:w="24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0</w:t>
            </w:r>
          </w:p>
        </w:tc>
        <w:tc>
          <w:tcPr>
            <w:tcW w:w="1260" w:type="dxa"/>
            <w:tcBorders>
              <w:top w:val="nil"/>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　</w:t>
            </w:r>
          </w:p>
        </w:tc>
        <w:tc>
          <w:tcPr>
            <w:tcW w:w="1617" w:type="dxa"/>
            <w:gridSpan w:val="2"/>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　</w:t>
            </w:r>
          </w:p>
        </w:tc>
      </w:tr>
      <w:tr>
        <w:tblPrEx>
          <w:tblCellMar>
            <w:top w:w="0" w:type="dxa"/>
            <w:left w:w="108" w:type="dxa"/>
            <w:bottom w:w="0" w:type="dxa"/>
            <w:right w:w="108" w:type="dxa"/>
          </w:tblCellMar>
        </w:tblPrEx>
        <w:trPr>
          <w:trHeight w:val="424" w:hRule="atLeast"/>
          <w:jc w:val="center"/>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总体目标</w:t>
            </w:r>
          </w:p>
        </w:tc>
        <w:tc>
          <w:tcPr>
            <w:tcW w:w="5743" w:type="dxa"/>
            <w:gridSpan w:val="3"/>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年度目标</w:t>
            </w:r>
          </w:p>
        </w:tc>
        <w:tc>
          <w:tcPr>
            <w:tcW w:w="2877" w:type="dxa"/>
            <w:gridSpan w:val="3"/>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年度总体目标完成情况</w:t>
            </w:r>
          </w:p>
        </w:tc>
      </w:tr>
      <w:tr>
        <w:tblPrEx>
          <w:tblCellMar>
            <w:top w:w="0" w:type="dxa"/>
            <w:left w:w="108" w:type="dxa"/>
            <w:bottom w:w="0" w:type="dxa"/>
            <w:right w:w="108" w:type="dxa"/>
          </w:tblCellMar>
        </w:tblPrEx>
        <w:trPr>
          <w:trHeight w:val="979"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5743" w:type="dxa"/>
            <w:gridSpan w:val="3"/>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为保障困难群众基本生活权益，促进社会公平、维护社会稳定，预计我镇</w:t>
            </w:r>
            <w:r>
              <w:rPr>
                <w:rFonts w:asciiTheme="minorHAnsi" w:hAnsiTheme="minorHAnsi"/>
                <w:sz w:val="20"/>
                <w:szCs w:val="20"/>
              </w:rPr>
              <w:t>2020</w:t>
            </w:r>
            <w:r>
              <w:rPr>
                <w:rFonts w:asciiTheme="minorHAnsi"/>
                <w:sz w:val="20"/>
                <w:szCs w:val="20"/>
              </w:rPr>
              <w:t>年城乡低保对象约</w:t>
            </w:r>
            <w:r>
              <w:rPr>
                <w:rFonts w:asciiTheme="minorHAnsi" w:hAnsiTheme="minorHAnsi"/>
                <w:sz w:val="20"/>
                <w:szCs w:val="20"/>
              </w:rPr>
              <w:t>212</w:t>
            </w:r>
            <w:r>
              <w:rPr>
                <w:rFonts w:asciiTheme="minorHAnsi"/>
                <w:sz w:val="20"/>
                <w:szCs w:val="20"/>
              </w:rPr>
              <w:t>人，人均补差</w:t>
            </w:r>
            <w:r>
              <w:rPr>
                <w:rFonts w:asciiTheme="minorHAnsi" w:hAnsiTheme="minorHAnsi"/>
                <w:sz w:val="20"/>
                <w:szCs w:val="20"/>
              </w:rPr>
              <w:t>620</w:t>
            </w:r>
            <w:r>
              <w:rPr>
                <w:rFonts w:asciiTheme="minorHAnsi"/>
                <w:sz w:val="20"/>
                <w:szCs w:val="20"/>
              </w:rPr>
              <w:t>元</w:t>
            </w:r>
            <w:r>
              <w:rPr>
                <w:rFonts w:asciiTheme="minorHAnsi" w:hAnsiTheme="minorHAnsi"/>
                <w:sz w:val="20"/>
                <w:szCs w:val="20"/>
              </w:rPr>
              <w:t>/</w:t>
            </w:r>
            <w:r>
              <w:rPr>
                <w:rFonts w:asciiTheme="minorHAnsi"/>
                <w:sz w:val="20"/>
                <w:szCs w:val="20"/>
              </w:rPr>
              <w:t>，需安排预算</w:t>
            </w:r>
            <w:r>
              <w:rPr>
                <w:rFonts w:asciiTheme="minorHAnsi" w:hAnsiTheme="minorHAnsi"/>
                <w:sz w:val="20"/>
                <w:szCs w:val="20"/>
              </w:rPr>
              <w:t>157.82</w:t>
            </w:r>
            <w:r>
              <w:rPr>
                <w:rFonts w:asciiTheme="minorHAnsi"/>
                <w:sz w:val="20"/>
                <w:szCs w:val="20"/>
              </w:rPr>
              <w:t>万元，用于困难群众物价补贴的发放。</w:t>
            </w:r>
          </w:p>
        </w:tc>
        <w:tc>
          <w:tcPr>
            <w:tcW w:w="2877" w:type="dxa"/>
            <w:gridSpan w:val="3"/>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已完成</w:t>
            </w:r>
          </w:p>
        </w:tc>
      </w:tr>
      <w:tr>
        <w:tblPrEx>
          <w:tblCellMar>
            <w:top w:w="0" w:type="dxa"/>
            <w:left w:w="108" w:type="dxa"/>
            <w:bottom w:w="0" w:type="dxa"/>
            <w:right w:w="108" w:type="dxa"/>
          </w:tblCellMar>
        </w:tblPrEx>
        <w:trPr>
          <w:trHeight w:val="133" w:hRule="atLeast"/>
          <w:jc w:val="center"/>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绩效指标</w:t>
            </w:r>
          </w:p>
        </w:tc>
        <w:tc>
          <w:tcPr>
            <w:tcW w:w="1628"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一级指标</w:t>
            </w:r>
          </w:p>
        </w:tc>
        <w:tc>
          <w:tcPr>
            <w:tcW w:w="1628"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二级指标</w:t>
            </w:r>
          </w:p>
        </w:tc>
        <w:tc>
          <w:tcPr>
            <w:tcW w:w="2487"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三级指标</w:t>
            </w:r>
          </w:p>
        </w:tc>
        <w:tc>
          <w:tcPr>
            <w:tcW w:w="1260"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指标值</w:t>
            </w:r>
          </w:p>
        </w:tc>
        <w:tc>
          <w:tcPr>
            <w:tcW w:w="1617"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实际完成值</w:t>
            </w:r>
          </w:p>
        </w:tc>
      </w:tr>
      <w:tr>
        <w:tblPrEx>
          <w:tblCellMar>
            <w:top w:w="0" w:type="dxa"/>
            <w:left w:w="108" w:type="dxa"/>
            <w:bottom w:w="0" w:type="dxa"/>
            <w:right w:w="108" w:type="dxa"/>
          </w:tblCellMar>
        </w:tblPrEx>
        <w:trPr>
          <w:trHeight w:val="133"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2487"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26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80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全年值</w:t>
            </w:r>
          </w:p>
        </w:tc>
        <w:tc>
          <w:tcPr>
            <w:tcW w:w="81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得分</w:t>
            </w:r>
          </w:p>
        </w:tc>
      </w:tr>
      <w:tr>
        <w:tblPrEx>
          <w:tblCellMar>
            <w:top w:w="0" w:type="dxa"/>
            <w:left w:w="108" w:type="dxa"/>
            <w:bottom w:w="0" w:type="dxa"/>
            <w:right w:w="108" w:type="dxa"/>
          </w:tblCellMar>
        </w:tblPrEx>
        <w:trPr>
          <w:trHeight w:val="267"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产出指标</w:t>
            </w:r>
          </w:p>
        </w:tc>
        <w:tc>
          <w:tcPr>
            <w:tcW w:w="1628" w:type="dxa"/>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数量指标</w:t>
            </w:r>
          </w:p>
        </w:tc>
        <w:tc>
          <w:tcPr>
            <w:tcW w:w="24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农村低保发放人数（按月平均）（</w:t>
            </w:r>
            <w:r>
              <w:rPr>
                <w:rFonts w:asciiTheme="minorHAnsi" w:hAnsiTheme="minorHAnsi"/>
                <w:sz w:val="20"/>
                <w:szCs w:val="20"/>
              </w:rPr>
              <w:t>≥**</w:t>
            </w:r>
            <w:r>
              <w:rPr>
                <w:rFonts w:asciiTheme="minorHAnsi"/>
                <w:sz w:val="20"/>
                <w:szCs w:val="20"/>
              </w:rPr>
              <w:t>人）</w:t>
            </w:r>
          </w:p>
        </w:tc>
        <w:tc>
          <w:tcPr>
            <w:tcW w:w="12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&gt;=182</w:t>
            </w:r>
            <w:r>
              <w:rPr>
                <w:rFonts w:asciiTheme="minorHAnsi"/>
                <w:sz w:val="20"/>
                <w:szCs w:val="20"/>
              </w:rPr>
              <w:t>人</w:t>
            </w:r>
          </w:p>
        </w:tc>
        <w:tc>
          <w:tcPr>
            <w:tcW w:w="80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182</w:t>
            </w:r>
            <w:r>
              <w:rPr>
                <w:rFonts w:asciiTheme="minorHAnsi"/>
                <w:sz w:val="20"/>
                <w:szCs w:val="20"/>
              </w:rPr>
              <w:t>人</w:t>
            </w:r>
          </w:p>
        </w:tc>
        <w:tc>
          <w:tcPr>
            <w:tcW w:w="810"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100</w:t>
            </w:r>
          </w:p>
        </w:tc>
      </w:tr>
      <w:tr>
        <w:tblPrEx>
          <w:tblCellMar>
            <w:top w:w="0" w:type="dxa"/>
            <w:left w:w="108" w:type="dxa"/>
            <w:bottom w:w="0" w:type="dxa"/>
            <w:right w:w="108" w:type="dxa"/>
          </w:tblCellMar>
        </w:tblPrEx>
        <w:trPr>
          <w:trHeight w:val="399"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continue"/>
            <w:tcBorders>
              <w:top w:val="nil"/>
              <w:left w:val="single" w:color="auto" w:sz="4" w:space="0"/>
              <w:bottom w:val="single" w:color="000000"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24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其中：农村低保对象中建档立卡贫困人口数量（按月平均）（</w:t>
            </w:r>
            <w:r>
              <w:rPr>
                <w:rFonts w:asciiTheme="minorHAnsi" w:hAnsiTheme="minorHAnsi"/>
                <w:sz w:val="20"/>
                <w:szCs w:val="20"/>
              </w:rPr>
              <w:t>≥**</w:t>
            </w:r>
            <w:r>
              <w:rPr>
                <w:rFonts w:asciiTheme="minorHAnsi"/>
                <w:sz w:val="20"/>
                <w:szCs w:val="20"/>
              </w:rPr>
              <w:t>人）</w:t>
            </w:r>
          </w:p>
        </w:tc>
        <w:tc>
          <w:tcPr>
            <w:tcW w:w="12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&gt;=0</w:t>
            </w:r>
            <w:r>
              <w:rPr>
                <w:rFonts w:asciiTheme="minorHAnsi"/>
                <w:sz w:val="20"/>
                <w:szCs w:val="20"/>
              </w:rPr>
              <w:t>人</w:t>
            </w:r>
          </w:p>
        </w:tc>
        <w:tc>
          <w:tcPr>
            <w:tcW w:w="80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0</w:t>
            </w:r>
            <w:r>
              <w:rPr>
                <w:rFonts w:asciiTheme="minorHAnsi"/>
                <w:sz w:val="20"/>
                <w:szCs w:val="20"/>
              </w:rPr>
              <w:t>人</w:t>
            </w:r>
          </w:p>
        </w:tc>
        <w:tc>
          <w:tcPr>
            <w:tcW w:w="81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r>
      <w:tr>
        <w:tblPrEx>
          <w:tblCellMar>
            <w:top w:w="0" w:type="dxa"/>
            <w:left w:w="108" w:type="dxa"/>
            <w:bottom w:w="0" w:type="dxa"/>
            <w:right w:w="108" w:type="dxa"/>
          </w:tblCellMar>
        </w:tblPrEx>
        <w:trPr>
          <w:trHeight w:val="399"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continue"/>
            <w:tcBorders>
              <w:top w:val="nil"/>
              <w:left w:val="single" w:color="auto" w:sz="4" w:space="0"/>
              <w:bottom w:val="single" w:color="000000"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24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建档立卡贫困人口中接受临时救助的人次数（</w:t>
            </w:r>
            <w:r>
              <w:rPr>
                <w:rFonts w:asciiTheme="minorHAnsi" w:hAnsiTheme="minorHAnsi"/>
                <w:sz w:val="20"/>
                <w:szCs w:val="20"/>
              </w:rPr>
              <w:t>≥**</w:t>
            </w:r>
            <w:r>
              <w:rPr>
                <w:rFonts w:asciiTheme="minorHAnsi"/>
                <w:sz w:val="20"/>
                <w:szCs w:val="20"/>
              </w:rPr>
              <w:t>人次）</w:t>
            </w:r>
          </w:p>
        </w:tc>
        <w:tc>
          <w:tcPr>
            <w:tcW w:w="12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&gt;=0</w:t>
            </w:r>
            <w:r>
              <w:rPr>
                <w:rFonts w:asciiTheme="minorHAnsi"/>
                <w:sz w:val="20"/>
                <w:szCs w:val="20"/>
              </w:rPr>
              <w:t>人次</w:t>
            </w:r>
          </w:p>
        </w:tc>
        <w:tc>
          <w:tcPr>
            <w:tcW w:w="80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0</w:t>
            </w:r>
            <w:r>
              <w:rPr>
                <w:rFonts w:asciiTheme="minorHAnsi"/>
                <w:sz w:val="20"/>
                <w:szCs w:val="20"/>
              </w:rPr>
              <w:t>人次</w:t>
            </w:r>
          </w:p>
        </w:tc>
        <w:tc>
          <w:tcPr>
            <w:tcW w:w="81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r>
      <w:tr>
        <w:tblPrEx>
          <w:tblCellMar>
            <w:top w:w="0" w:type="dxa"/>
            <w:left w:w="108" w:type="dxa"/>
            <w:bottom w:w="0" w:type="dxa"/>
            <w:right w:w="108" w:type="dxa"/>
          </w:tblCellMar>
        </w:tblPrEx>
        <w:trPr>
          <w:trHeight w:val="267"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continue"/>
            <w:tcBorders>
              <w:top w:val="nil"/>
              <w:left w:val="single" w:color="auto" w:sz="4" w:space="0"/>
              <w:bottom w:val="single" w:color="000000"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24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特困人员救助供养人数（按月平均）（</w:t>
            </w:r>
            <w:r>
              <w:rPr>
                <w:rFonts w:asciiTheme="minorHAnsi" w:hAnsiTheme="minorHAnsi"/>
                <w:sz w:val="20"/>
                <w:szCs w:val="20"/>
              </w:rPr>
              <w:t>≥**</w:t>
            </w:r>
            <w:r>
              <w:rPr>
                <w:rFonts w:asciiTheme="minorHAnsi"/>
                <w:sz w:val="20"/>
                <w:szCs w:val="20"/>
              </w:rPr>
              <w:t>人）</w:t>
            </w:r>
          </w:p>
        </w:tc>
        <w:tc>
          <w:tcPr>
            <w:tcW w:w="12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&gt;=30</w:t>
            </w:r>
            <w:r>
              <w:rPr>
                <w:rFonts w:asciiTheme="minorHAnsi"/>
                <w:sz w:val="20"/>
                <w:szCs w:val="20"/>
              </w:rPr>
              <w:t>人</w:t>
            </w:r>
          </w:p>
        </w:tc>
        <w:tc>
          <w:tcPr>
            <w:tcW w:w="80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30</w:t>
            </w:r>
            <w:r>
              <w:rPr>
                <w:rFonts w:asciiTheme="minorHAnsi"/>
                <w:sz w:val="20"/>
                <w:szCs w:val="20"/>
              </w:rPr>
              <w:t>人</w:t>
            </w:r>
          </w:p>
        </w:tc>
        <w:tc>
          <w:tcPr>
            <w:tcW w:w="81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r>
      <w:tr>
        <w:tblPrEx>
          <w:tblCellMar>
            <w:top w:w="0" w:type="dxa"/>
            <w:left w:w="108" w:type="dxa"/>
            <w:bottom w:w="0" w:type="dxa"/>
            <w:right w:w="108" w:type="dxa"/>
          </w:tblCellMar>
        </w:tblPrEx>
        <w:trPr>
          <w:trHeight w:val="399"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质量指标</w:t>
            </w:r>
          </w:p>
        </w:tc>
        <w:tc>
          <w:tcPr>
            <w:tcW w:w="24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建档立卡贫困人口中接受临时救助的人次数（</w:t>
            </w:r>
            <w:r>
              <w:rPr>
                <w:rFonts w:asciiTheme="minorHAnsi" w:hAnsiTheme="minorHAnsi"/>
                <w:sz w:val="20"/>
                <w:szCs w:val="20"/>
              </w:rPr>
              <w:t>≥**</w:t>
            </w:r>
            <w:r>
              <w:rPr>
                <w:rFonts w:asciiTheme="minorHAnsi"/>
                <w:sz w:val="20"/>
                <w:szCs w:val="20"/>
              </w:rPr>
              <w:t>人次）</w:t>
            </w:r>
          </w:p>
        </w:tc>
        <w:tc>
          <w:tcPr>
            <w:tcW w:w="12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&gt;=620</w:t>
            </w:r>
            <w:r>
              <w:rPr>
                <w:rFonts w:asciiTheme="minorHAnsi"/>
                <w:sz w:val="20"/>
                <w:szCs w:val="20"/>
              </w:rPr>
              <w:t>元</w:t>
            </w:r>
            <w:r>
              <w:rPr>
                <w:rFonts w:asciiTheme="minorHAnsi" w:hAnsiTheme="minorHAnsi"/>
                <w:sz w:val="20"/>
                <w:szCs w:val="20"/>
              </w:rPr>
              <w:t>/</w:t>
            </w:r>
            <w:r>
              <w:rPr>
                <w:rFonts w:asciiTheme="minorHAnsi"/>
                <w:sz w:val="20"/>
                <w:szCs w:val="20"/>
              </w:rPr>
              <w:t>人</w:t>
            </w:r>
            <w:r>
              <w:rPr>
                <w:rFonts w:asciiTheme="minorHAnsi" w:hAnsiTheme="minorHAnsi"/>
                <w:sz w:val="20"/>
                <w:szCs w:val="20"/>
              </w:rPr>
              <w:t>*</w:t>
            </w:r>
            <w:r>
              <w:rPr>
                <w:rFonts w:asciiTheme="minorHAnsi"/>
                <w:sz w:val="20"/>
                <w:szCs w:val="20"/>
              </w:rPr>
              <w:t>月</w:t>
            </w:r>
          </w:p>
        </w:tc>
        <w:tc>
          <w:tcPr>
            <w:tcW w:w="80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620</w:t>
            </w:r>
            <w:r>
              <w:rPr>
                <w:rFonts w:asciiTheme="minorHAnsi"/>
                <w:sz w:val="20"/>
                <w:szCs w:val="20"/>
              </w:rPr>
              <w:t>元</w:t>
            </w:r>
            <w:r>
              <w:rPr>
                <w:rFonts w:asciiTheme="minorHAnsi" w:hAnsiTheme="minorHAnsi"/>
                <w:sz w:val="20"/>
                <w:szCs w:val="20"/>
              </w:rPr>
              <w:t>/</w:t>
            </w:r>
            <w:r>
              <w:rPr>
                <w:rFonts w:asciiTheme="minorHAnsi"/>
                <w:sz w:val="20"/>
                <w:szCs w:val="20"/>
              </w:rPr>
              <w:t>人</w:t>
            </w:r>
            <w:r>
              <w:rPr>
                <w:rFonts w:asciiTheme="minorHAnsi" w:hAnsiTheme="minorHAnsi"/>
                <w:sz w:val="20"/>
                <w:szCs w:val="20"/>
              </w:rPr>
              <w:t>*</w:t>
            </w:r>
            <w:r>
              <w:rPr>
                <w:rFonts w:asciiTheme="minorHAnsi"/>
                <w:sz w:val="20"/>
                <w:szCs w:val="20"/>
              </w:rPr>
              <w:t>月</w:t>
            </w:r>
          </w:p>
        </w:tc>
        <w:tc>
          <w:tcPr>
            <w:tcW w:w="81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100</w:t>
            </w:r>
          </w:p>
        </w:tc>
      </w:tr>
      <w:tr>
        <w:tblPrEx>
          <w:tblCellMar>
            <w:top w:w="0" w:type="dxa"/>
            <w:left w:w="108" w:type="dxa"/>
            <w:bottom w:w="0" w:type="dxa"/>
            <w:right w:w="108" w:type="dxa"/>
          </w:tblCellMar>
        </w:tblPrEx>
        <w:trPr>
          <w:trHeight w:val="267"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时效指标</w:t>
            </w:r>
          </w:p>
        </w:tc>
        <w:tc>
          <w:tcPr>
            <w:tcW w:w="24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特困人员救助供养人数（按月平均）（</w:t>
            </w:r>
            <w:r>
              <w:rPr>
                <w:rFonts w:asciiTheme="minorHAnsi" w:hAnsiTheme="minorHAnsi"/>
                <w:sz w:val="20"/>
                <w:szCs w:val="20"/>
              </w:rPr>
              <w:t>≥**</w:t>
            </w:r>
            <w:r>
              <w:rPr>
                <w:rFonts w:asciiTheme="minorHAnsi"/>
                <w:sz w:val="20"/>
                <w:szCs w:val="20"/>
              </w:rPr>
              <w:t>人）</w:t>
            </w:r>
          </w:p>
        </w:tc>
        <w:tc>
          <w:tcPr>
            <w:tcW w:w="12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&gt;=90%</w:t>
            </w:r>
          </w:p>
        </w:tc>
        <w:tc>
          <w:tcPr>
            <w:tcW w:w="80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90%</w:t>
            </w:r>
          </w:p>
        </w:tc>
        <w:tc>
          <w:tcPr>
            <w:tcW w:w="81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90</w:t>
            </w:r>
          </w:p>
        </w:tc>
      </w:tr>
      <w:tr>
        <w:tblPrEx>
          <w:tblCellMar>
            <w:top w:w="0" w:type="dxa"/>
            <w:left w:w="108" w:type="dxa"/>
            <w:bottom w:w="0" w:type="dxa"/>
            <w:right w:w="108" w:type="dxa"/>
          </w:tblCellMar>
        </w:tblPrEx>
        <w:trPr>
          <w:trHeight w:val="133"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效益指标</w:t>
            </w:r>
          </w:p>
        </w:tc>
        <w:tc>
          <w:tcPr>
            <w:tcW w:w="1628"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社会效益指标</w:t>
            </w:r>
          </w:p>
        </w:tc>
        <w:tc>
          <w:tcPr>
            <w:tcW w:w="24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政策知晓率（</w:t>
            </w:r>
            <w:r>
              <w:rPr>
                <w:rFonts w:asciiTheme="minorHAnsi" w:hAnsiTheme="minorHAnsi"/>
                <w:sz w:val="20"/>
                <w:szCs w:val="20"/>
              </w:rPr>
              <w:t>≥**%</w:t>
            </w:r>
            <w:r>
              <w:rPr>
                <w:rFonts w:asciiTheme="minorHAnsi"/>
                <w:sz w:val="20"/>
                <w:szCs w:val="20"/>
              </w:rPr>
              <w:t>）</w:t>
            </w:r>
          </w:p>
        </w:tc>
        <w:tc>
          <w:tcPr>
            <w:tcW w:w="12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&gt;=95%</w:t>
            </w:r>
          </w:p>
        </w:tc>
        <w:tc>
          <w:tcPr>
            <w:tcW w:w="80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95%</w:t>
            </w:r>
          </w:p>
        </w:tc>
        <w:tc>
          <w:tcPr>
            <w:tcW w:w="810"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95</w:t>
            </w:r>
          </w:p>
        </w:tc>
      </w:tr>
      <w:tr>
        <w:tblPrEx>
          <w:tblCellMar>
            <w:top w:w="0" w:type="dxa"/>
            <w:left w:w="108" w:type="dxa"/>
            <w:bottom w:w="0" w:type="dxa"/>
            <w:right w:w="108" w:type="dxa"/>
          </w:tblCellMar>
        </w:tblPrEx>
        <w:trPr>
          <w:trHeight w:val="267"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24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受益建档立卡贫困人口数</w:t>
            </w:r>
            <w:r>
              <w:rPr>
                <w:rFonts w:asciiTheme="minorHAnsi" w:hAnsiTheme="minorHAnsi"/>
                <w:sz w:val="20"/>
                <w:szCs w:val="20"/>
              </w:rPr>
              <w:t>≥**</w:t>
            </w:r>
            <w:r>
              <w:rPr>
                <w:rFonts w:asciiTheme="minorHAnsi"/>
                <w:sz w:val="20"/>
                <w:szCs w:val="20"/>
              </w:rPr>
              <w:t>人</w:t>
            </w:r>
          </w:p>
        </w:tc>
        <w:tc>
          <w:tcPr>
            <w:tcW w:w="12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&gt;=0</w:t>
            </w:r>
            <w:r>
              <w:rPr>
                <w:rFonts w:asciiTheme="minorHAnsi"/>
                <w:sz w:val="20"/>
                <w:szCs w:val="20"/>
              </w:rPr>
              <w:t>人</w:t>
            </w:r>
          </w:p>
        </w:tc>
        <w:tc>
          <w:tcPr>
            <w:tcW w:w="80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0</w:t>
            </w:r>
            <w:r>
              <w:rPr>
                <w:rFonts w:asciiTheme="minorHAnsi"/>
                <w:sz w:val="20"/>
                <w:szCs w:val="20"/>
              </w:rPr>
              <w:t>人</w:t>
            </w:r>
          </w:p>
        </w:tc>
        <w:tc>
          <w:tcPr>
            <w:tcW w:w="81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r>
      <w:tr>
        <w:tblPrEx>
          <w:tblCellMar>
            <w:top w:w="0" w:type="dxa"/>
            <w:left w:w="108" w:type="dxa"/>
            <w:bottom w:w="0" w:type="dxa"/>
            <w:right w:w="108" w:type="dxa"/>
          </w:tblCellMar>
        </w:tblPrEx>
        <w:trPr>
          <w:trHeight w:val="267"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满意度指标</w:t>
            </w:r>
          </w:p>
        </w:tc>
        <w:tc>
          <w:tcPr>
            <w:tcW w:w="1628"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服务对象满意度指标</w:t>
            </w:r>
          </w:p>
        </w:tc>
        <w:tc>
          <w:tcPr>
            <w:tcW w:w="24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农村低保对象满意度（</w:t>
            </w:r>
            <w:r>
              <w:rPr>
                <w:rFonts w:asciiTheme="minorHAnsi" w:hAnsiTheme="minorHAnsi"/>
                <w:sz w:val="20"/>
                <w:szCs w:val="20"/>
              </w:rPr>
              <w:t>≥**%</w:t>
            </w:r>
            <w:r>
              <w:rPr>
                <w:rFonts w:asciiTheme="minorHAnsi"/>
                <w:sz w:val="20"/>
                <w:szCs w:val="20"/>
              </w:rPr>
              <w:t>）</w:t>
            </w:r>
          </w:p>
        </w:tc>
        <w:tc>
          <w:tcPr>
            <w:tcW w:w="12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&gt;=95%</w:t>
            </w:r>
          </w:p>
        </w:tc>
        <w:tc>
          <w:tcPr>
            <w:tcW w:w="80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95%</w:t>
            </w:r>
          </w:p>
        </w:tc>
        <w:tc>
          <w:tcPr>
            <w:tcW w:w="810"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95</w:t>
            </w:r>
          </w:p>
        </w:tc>
      </w:tr>
      <w:tr>
        <w:tblPrEx>
          <w:tblCellMar>
            <w:top w:w="0" w:type="dxa"/>
            <w:left w:w="108" w:type="dxa"/>
            <w:bottom w:w="0" w:type="dxa"/>
            <w:right w:w="108" w:type="dxa"/>
          </w:tblCellMar>
        </w:tblPrEx>
        <w:trPr>
          <w:trHeight w:val="133"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62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248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受助对象满意度（</w:t>
            </w:r>
            <w:r>
              <w:rPr>
                <w:rFonts w:asciiTheme="minorHAnsi" w:hAnsiTheme="minorHAnsi"/>
                <w:sz w:val="20"/>
                <w:szCs w:val="20"/>
              </w:rPr>
              <w:t>≥**%</w:t>
            </w:r>
            <w:r>
              <w:rPr>
                <w:rFonts w:asciiTheme="minorHAnsi"/>
                <w:sz w:val="20"/>
                <w:szCs w:val="20"/>
              </w:rPr>
              <w:t>）</w:t>
            </w:r>
          </w:p>
        </w:tc>
        <w:tc>
          <w:tcPr>
            <w:tcW w:w="12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&gt;=95%</w:t>
            </w:r>
          </w:p>
        </w:tc>
        <w:tc>
          <w:tcPr>
            <w:tcW w:w="807"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95%</w:t>
            </w:r>
          </w:p>
        </w:tc>
        <w:tc>
          <w:tcPr>
            <w:tcW w:w="81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r>
      <w:tr>
        <w:tblPrEx>
          <w:tblCellMar>
            <w:top w:w="0" w:type="dxa"/>
            <w:left w:w="108" w:type="dxa"/>
            <w:bottom w:w="0" w:type="dxa"/>
            <w:right w:w="108" w:type="dxa"/>
          </w:tblCellMar>
        </w:tblPrEx>
        <w:trPr>
          <w:trHeight w:val="133"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5743" w:type="dxa"/>
            <w:gridSpan w:val="3"/>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总分</w:t>
            </w:r>
          </w:p>
        </w:tc>
        <w:tc>
          <w:tcPr>
            <w:tcW w:w="126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100</w:t>
            </w:r>
          </w:p>
        </w:tc>
        <w:tc>
          <w:tcPr>
            <w:tcW w:w="1617"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96</w:t>
            </w:r>
          </w:p>
        </w:tc>
      </w:tr>
      <w:tr>
        <w:tblPrEx>
          <w:tblCellMar>
            <w:top w:w="0" w:type="dxa"/>
            <w:left w:w="108" w:type="dxa"/>
            <w:bottom w:w="0" w:type="dxa"/>
            <w:right w:w="108" w:type="dxa"/>
          </w:tblCellMar>
        </w:tblPrEx>
        <w:trPr>
          <w:trHeight w:val="415" w:hRule="atLeast"/>
          <w:jc w:val="center"/>
        </w:trPr>
        <w:tc>
          <w:tcPr>
            <w:tcW w:w="67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自评</w:t>
            </w:r>
            <w:r>
              <w:rPr>
                <w:rFonts w:asciiTheme="minorHAnsi" w:hAnsiTheme="minorHAnsi"/>
                <w:color w:val="000000"/>
                <w:sz w:val="20"/>
                <w:szCs w:val="20"/>
              </w:rPr>
              <w:br w:type="textWrapping"/>
            </w:r>
            <w:r>
              <w:rPr>
                <w:rFonts w:asciiTheme="minorHAnsi"/>
                <w:color w:val="000000"/>
                <w:sz w:val="20"/>
                <w:szCs w:val="20"/>
              </w:rPr>
              <w:t>结论</w:t>
            </w:r>
          </w:p>
        </w:tc>
        <w:tc>
          <w:tcPr>
            <w:tcW w:w="5743" w:type="dxa"/>
            <w:gridSpan w:val="3"/>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优■</w:t>
            </w:r>
            <w:r>
              <w:rPr>
                <w:rFonts w:asciiTheme="minorHAnsi" w:hAnsiTheme="minorHAnsi"/>
                <w:color w:val="000000"/>
                <w:sz w:val="20"/>
                <w:szCs w:val="20"/>
              </w:rPr>
              <w:t xml:space="preserve">      </w:t>
            </w:r>
            <w:r>
              <w:rPr>
                <w:rFonts w:asciiTheme="minorHAnsi"/>
                <w:color w:val="000000"/>
                <w:sz w:val="20"/>
                <w:szCs w:val="20"/>
              </w:rPr>
              <w:t>良</w:t>
            </w:r>
            <w:r>
              <w:rPr>
                <w:rFonts w:asciiTheme="minorHAnsi" w:hAnsiTheme="minorHAnsi"/>
                <w:color w:val="000000"/>
                <w:sz w:val="20"/>
                <w:szCs w:val="20"/>
              </w:rPr>
              <w:t xml:space="preserve">R      </w:t>
            </w:r>
            <w:r>
              <w:rPr>
                <w:rFonts w:asciiTheme="minorHAnsi"/>
                <w:color w:val="000000"/>
                <w:sz w:val="20"/>
                <w:szCs w:val="20"/>
              </w:rPr>
              <w:t>中</w:t>
            </w:r>
            <w:r>
              <w:rPr>
                <w:rFonts w:asciiTheme="minorHAnsi" w:hAnsiTheme="minorHAnsi"/>
                <w:color w:val="000000"/>
                <w:sz w:val="20"/>
                <w:szCs w:val="20"/>
              </w:rPr>
              <w:t xml:space="preserve">□    </w:t>
            </w:r>
            <w:r>
              <w:rPr>
                <w:rFonts w:asciiTheme="minorHAnsi"/>
                <w:color w:val="000000"/>
                <w:sz w:val="20"/>
                <w:szCs w:val="20"/>
              </w:rPr>
              <w:t>差</w:t>
            </w:r>
            <w:r>
              <w:rPr>
                <w:rFonts w:asciiTheme="minorHAnsi" w:hAnsiTheme="minorHAnsi"/>
                <w:color w:val="000000"/>
                <w:sz w:val="20"/>
                <w:szCs w:val="20"/>
              </w:rPr>
              <w:t>□</w:t>
            </w:r>
          </w:p>
        </w:tc>
        <w:tc>
          <w:tcPr>
            <w:tcW w:w="2877" w:type="dxa"/>
            <w:gridSpan w:val="3"/>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总分高于</w:t>
            </w:r>
            <w:r>
              <w:rPr>
                <w:rFonts w:asciiTheme="minorHAnsi" w:hAnsiTheme="minorHAnsi"/>
                <w:sz w:val="20"/>
                <w:szCs w:val="20"/>
              </w:rPr>
              <w:t>90</w:t>
            </w:r>
            <w:r>
              <w:rPr>
                <w:rFonts w:asciiTheme="minorHAnsi"/>
                <w:sz w:val="20"/>
                <w:szCs w:val="20"/>
              </w:rPr>
              <w:t>分（含）的结论为</w:t>
            </w:r>
            <w:r>
              <w:rPr>
                <w:rFonts w:asciiTheme="minorHAnsi" w:hAnsiTheme="minorHAnsi"/>
                <w:sz w:val="20"/>
                <w:szCs w:val="20"/>
              </w:rPr>
              <w:t>“</w:t>
            </w:r>
            <w:r>
              <w:rPr>
                <w:rFonts w:asciiTheme="minorHAnsi"/>
                <w:sz w:val="20"/>
                <w:szCs w:val="20"/>
              </w:rPr>
              <w:t>优</w:t>
            </w:r>
            <w:r>
              <w:rPr>
                <w:rFonts w:asciiTheme="minorHAnsi" w:hAnsiTheme="minorHAnsi"/>
                <w:sz w:val="20"/>
                <w:szCs w:val="20"/>
              </w:rPr>
              <w:t>”</w:t>
            </w:r>
            <w:r>
              <w:rPr>
                <w:rFonts w:asciiTheme="minorHAnsi"/>
                <w:sz w:val="20"/>
                <w:szCs w:val="20"/>
              </w:rPr>
              <w:t>，</w:t>
            </w:r>
            <w:r>
              <w:rPr>
                <w:rFonts w:asciiTheme="minorHAnsi" w:hAnsiTheme="minorHAnsi"/>
                <w:sz w:val="20"/>
                <w:szCs w:val="20"/>
              </w:rPr>
              <w:t>90</w:t>
            </w:r>
            <w:r>
              <w:rPr>
                <w:rFonts w:asciiTheme="minorHAnsi"/>
                <w:sz w:val="20"/>
                <w:szCs w:val="20"/>
              </w:rPr>
              <w:t>～</w:t>
            </w:r>
            <w:r>
              <w:rPr>
                <w:rFonts w:asciiTheme="minorHAnsi" w:hAnsiTheme="minorHAnsi"/>
                <w:sz w:val="20"/>
                <w:szCs w:val="20"/>
              </w:rPr>
              <w:t>80</w:t>
            </w:r>
            <w:r>
              <w:rPr>
                <w:rFonts w:asciiTheme="minorHAnsi"/>
                <w:sz w:val="20"/>
                <w:szCs w:val="20"/>
              </w:rPr>
              <w:t>分（含）为</w:t>
            </w:r>
            <w:r>
              <w:rPr>
                <w:rFonts w:asciiTheme="minorHAnsi" w:hAnsiTheme="minorHAnsi"/>
                <w:sz w:val="20"/>
                <w:szCs w:val="20"/>
              </w:rPr>
              <w:t>“</w:t>
            </w:r>
            <w:r>
              <w:rPr>
                <w:rFonts w:asciiTheme="minorHAnsi"/>
                <w:sz w:val="20"/>
                <w:szCs w:val="20"/>
              </w:rPr>
              <w:t>良</w:t>
            </w:r>
            <w:r>
              <w:rPr>
                <w:rFonts w:asciiTheme="minorHAnsi" w:hAnsiTheme="minorHAnsi"/>
                <w:sz w:val="20"/>
                <w:szCs w:val="20"/>
              </w:rPr>
              <w:t>”</w:t>
            </w:r>
            <w:r>
              <w:rPr>
                <w:rFonts w:asciiTheme="minorHAnsi"/>
                <w:sz w:val="20"/>
                <w:szCs w:val="20"/>
              </w:rPr>
              <w:t>，</w:t>
            </w:r>
            <w:r>
              <w:rPr>
                <w:rFonts w:asciiTheme="minorHAnsi" w:hAnsiTheme="minorHAnsi"/>
                <w:sz w:val="20"/>
                <w:szCs w:val="20"/>
              </w:rPr>
              <w:t>80</w:t>
            </w:r>
            <w:r>
              <w:rPr>
                <w:rFonts w:asciiTheme="minorHAnsi"/>
                <w:sz w:val="20"/>
                <w:szCs w:val="20"/>
              </w:rPr>
              <w:t>～</w:t>
            </w:r>
            <w:r>
              <w:rPr>
                <w:rFonts w:asciiTheme="minorHAnsi" w:hAnsiTheme="minorHAnsi"/>
                <w:sz w:val="20"/>
                <w:szCs w:val="20"/>
              </w:rPr>
              <w:t>60</w:t>
            </w:r>
            <w:r>
              <w:rPr>
                <w:rFonts w:asciiTheme="minorHAnsi"/>
                <w:sz w:val="20"/>
                <w:szCs w:val="20"/>
              </w:rPr>
              <w:t>分（含）为</w:t>
            </w:r>
            <w:r>
              <w:rPr>
                <w:rFonts w:asciiTheme="minorHAnsi" w:hAnsiTheme="minorHAnsi"/>
                <w:sz w:val="20"/>
                <w:szCs w:val="20"/>
              </w:rPr>
              <w:t>“</w:t>
            </w:r>
            <w:r>
              <w:rPr>
                <w:rFonts w:asciiTheme="minorHAnsi"/>
                <w:sz w:val="20"/>
                <w:szCs w:val="20"/>
              </w:rPr>
              <w:t>中</w:t>
            </w:r>
            <w:r>
              <w:rPr>
                <w:rFonts w:asciiTheme="minorHAnsi" w:hAnsiTheme="minorHAnsi"/>
                <w:sz w:val="20"/>
                <w:szCs w:val="20"/>
              </w:rPr>
              <w:t>”</w:t>
            </w:r>
            <w:r>
              <w:rPr>
                <w:rFonts w:asciiTheme="minorHAnsi"/>
                <w:sz w:val="20"/>
                <w:szCs w:val="20"/>
              </w:rPr>
              <w:t>，低于</w:t>
            </w:r>
            <w:r>
              <w:rPr>
                <w:rFonts w:asciiTheme="minorHAnsi" w:hAnsiTheme="minorHAnsi"/>
                <w:sz w:val="20"/>
                <w:szCs w:val="20"/>
              </w:rPr>
              <w:t>60</w:t>
            </w:r>
            <w:r>
              <w:rPr>
                <w:rFonts w:asciiTheme="minorHAnsi"/>
                <w:sz w:val="20"/>
                <w:szCs w:val="20"/>
              </w:rPr>
              <w:t>分为</w:t>
            </w:r>
            <w:r>
              <w:rPr>
                <w:rFonts w:asciiTheme="minorHAnsi" w:hAnsiTheme="minorHAnsi"/>
                <w:sz w:val="20"/>
                <w:szCs w:val="20"/>
              </w:rPr>
              <w:t>“</w:t>
            </w:r>
            <w:r>
              <w:rPr>
                <w:rFonts w:asciiTheme="minorHAnsi"/>
                <w:sz w:val="20"/>
                <w:szCs w:val="20"/>
              </w:rPr>
              <w:t>差</w:t>
            </w:r>
            <w:r>
              <w:rPr>
                <w:rFonts w:asciiTheme="minorHAnsi" w:hAnsiTheme="minorHAnsi"/>
                <w:sz w:val="20"/>
                <w:szCs w:val="20"/>
              </w:rPr>
              <w:t>”</w:t>
            </w:r>
            <w:r>
              <w:rPr>
                <w:rFonts w:asciiTheme="minorHAnsi"/>
                <w:sz w:val="20"/>
                <w:szCs w:val="20"/>
              </w:rPr>
              <w:t>。</w:t>
            </w:r>
          </w:p>
        </w:tc>
      </w:tr>
    </w:tbl>
    <w:p>
      <w:pPr>
        <w:pStyle w:val="2"/>
        <w:adjustRightInd w:val="0"/>
        <w:spacing w:line="540" w:lineRule="exact"/>
        <w:rPr>
          <w:rFonts w:hint="eastAsia" w:asciiTheme="minorHAnsi" w:hAnsiTheme="minorHAnsi"/>
        </w:rPr>
      </w:pPr>
    </w:p>
    <w:p>
      <w:pPr>
        <w:pStyle w:val="2"/>
        <w:adjustRightInd w:val="0"/>
        <w:spacing w:line="540" w:lineRule="exact"/>
        <w:rPr>
          <w:rFonts w:asciiTheme="minorHAnsi" w:hAnsiTheme="minorHAnsi"/>
        </w:rPr>
      </w:pPr>
    </w:p>
    <w:p>
      <w:pPr>
        <w:adjustRightInd w:val="0"/>
        <w:snapToGrid w:val="0"/>
        <w:spacing w:line="540" w:lineRule="exact"/>
        <w:ind w:firstLine="640"/>
        <w:jc w:val="both"/>
        <w:rPr>
          <w:rFonts w:eastAsia="仿宋" w:cs="Arial" w:asciiTheme="minorHAnsi" w:hAnsiTheme="minorHAnsi"/>
          <w:sz w:val="32"/>
          <w:szCs w:val="32"/>
        </w:rPr>
      </w:pPr>
      <w:r>
        <w:rPr>
          <w:rFonts w:hAnsi="仿宋" w:eastAsia="仿宋" w:cs="Arial" w:asciiTheme="minorHAnsi"/>
          <w:sz w:val="32"/>
          <w:szCs w:val="32"/>
        </w:rPr>
        <w:t>困境儿童基本生活费项目绩效自评综述：根据年初设定的绩效目标，项目自评得分</w:t>
      </w:r>
      <w:r>
        <w:rPr>
          <w:rFonts w:eastAsia="仿宋" w:cs="Arial" w:asciiTheme="minorHAnsi" w:hAnsiTheme="minorHAnsi"/>
          <w:sz w:val="32"/>
          <w:szCs w:val="32"/>
        </w:rPr>
        <w:t>94</w:t>
      </w:r>
      <w:r>
        <w:rPr>
          <w:rFonts w:hAnsi="仿宋" w:eastAsia="仿宋" w:cs="Arial" w:asciiTheme="minorHAnsi"/>
          <w:sz w:val="32"/>
          <w:szCs w:val="32"/>
        </w:rPr>
        <w:t>分，自评结论为优。项目全年预算数为</w:t>
      </w:r>
      <w:r>
        <w:rPr>
          <w:rFonts w:eastAsia="仿宋" w:cs="Arial" w:asciiTheme="minorHAnsi" w:hAnsiTheme="minorHAnsi"/>
          <w:sz w:val="32"/>
          <w:szCs w:val="32"/>
        </w:rPr>
        <w:t>41.37</w:t>
      </w:r>
      <w:r>
        <w:rPr>
          <w:rFonts w:hAnsi="仿宋" w:eastAsia="仿宋" w:cs="Arial" w:asciiTheme="minorHAnsi"/>
          <w:sz w:val="32"/>
          <w:szCs w:val="32"/>
        </w:rPr>
        <w:t>万元，执行数为</w:t>
      </w:r>
      <w:r>
        <w:rPr>
          <w:rFonts w:eastAsia="仿宋" w:cs="Arial" w:asciiTheme="minorHAnsi" w:hAnsiTheme="minorHAnsi"/>
          <w:sz w:val="32"/>
          <w:szCs w:val="32"/>
        </w:rPr>
        <w:t>41.37</w:t>
      </w:r>
      <w:r>
        <w:rPr>
          <w:rFonts w:hAnsi="仿宋" w:eastAsia="仿宋" w:cs="Arial" w:asciiTheme="minorHAnsi"/>
          <w:sz w:val="32"/>
          <w:szCs w:val="32"/>
        </w:rPr>
        <w:t>万元，完成预算的</w:t>
      </w:r>
      <w:r>
        <w:rPr>
          <w:rFonts w:eastAsia="仿宋" w:cs="Arial" w:asciiTheme="minorHAnsi" w:hAnsiTheme="minorHAnsi"/>
          <w:sz w:val="32"/>
          <w:szCs w:val="32"/>
        </w:rPr>
        <w:t>100%</w:t>
      </w:r>
      <w:r>
        <w:rPr>
          <w:rFonts w:hAnsi="仿宋" w:eastAsia="仿宋" w:cs="Arial" w:asciiTheme="minorHAnsi"/>
          <w:sz w:val="32"/>
          <w:szCs w:val="32"/>
        </w:rPr>
        <w:t>。项目绩效目标完成情况：完成</w:t>
      </w:r>
      <w:r>
        <w:rPr>
          <w:rFonts w:eastAsia="仿宋" w:cs="Arial" w:asciiTheme="minorHAnsi" w:hAnsiTheme="minorHAnsi"/>
          <w:sz w:val="32"/>
          <w:szCs w:val="32"/>
        </w:rPr>
        <w:t>19</w:t>
      </w:r>
      <w:r>
        <w:rPr>
          <w:rFonts w:hAnsi="仿宋" w:eastAsia="仿宋" w:cs="Arial" w:asciiTheme="minorHAnsi"/>
          <w:sz w:val="32"/>
          <w:szCs w:val="32"/>
        </w:rPr>
        <w:t>名（月平均数）困境儿童基本生活补助费的发放（</w:t>
      </w:r>
      <w:r>
        <w:rPr>
          <w:rFonts w:eastAsia="仿宋" w:cs="Arial" w:asciiTheme="minorHAnsi" w:hAnsiTheme="minorHAnsi"/>
          <w:sz w:val="32"/>
          <w:szCs w:val="32"/>
        </w:rPr>
        <w:t>1836</w:t>
      </w:r>
      <w:r>
        <w:rPr>
          <w:rFonts w:hAnsi="仿宋" w:eastAsia="仿宋" w:cs="Arial" w:asciiTheme="minorHAnsi"/>
          <w:sz w:val="32"/>
          <w:szCs w:val="32"/>
        </w:rPr>
        <w:t>元</w:t>
      </w:r>
      <w:r>
        <w:rPr>
          <w:rFonts w:eastAsia="仿宋" w:cs="Arial" w:asciiTheme="minorHAnsi" w:hAnsiTheme="minorHAnsi"/>
          <w:sz w:val="32"/>
          <w:szCs w:val="32"/>
        </w:rPr>
        <w:t>/</w:t>
      </w:r>
      <w:r>
        <w:rPr>
          <w:rFonts w:hAnsi="仿宋" w:eastAsia="仿宋" w:cs="Arial" w:asciiTheme="minorHAnsi"/>
          <w:sz w:val="32"/>
          <w:szCs w:val="32"/>
        </w:rPr>
        <w:t>人</w:t>
      </w:r>
      <w:r>
        <w:rPr>
          <w:rFonts w:eastAsia="仿宋" w:cs="Arial" w:asciiTheme="minorHAnsi" w:hAnsiTheme="minorHAnsi"/>
          <w:sz w:val="32"/>
          <w:szCs w:val="32"/>
        </w:rPr>
        <w:t>·</w:t>
      </w:r>
      <w:r>
        <w:rPr>
          <w:rFonts w:hAnsi="仿宋" w:eastAsia="仿宋" w:cs="Arial" w:asciiTheme="minorHAnsi"/>
          <w:sz w:val="32"/>
          <w:szCs w:val="32"/>
        </w:rPr>
        <w:t>月），维护了困境儿童基本权益。发现的问题及原因：发放时效未达</w:t>
      </w:r>
      <w:r>
        <w:rPr>
          <w:rFonts w:eastAsia="仿宋" w:cs="Arial" w:asciiTheme="minorHAnsi" w:hAnsiTheme="minorHAnsi"/>
          <w:sz w:val="32"/>
          <w:szCs w:val="32"/>
        </w:rPr>
        <w:t>100%</w:t>
      </w:r>
      <w:r>
        <w:rPr>
          <w:rFonts w:hAnsi="仿宋" w:eastAsia="仿宋" w:cs="Arial" w:asciiTheme="minorHAnsi"/>
          <w:sz w:val="32"/>
          <w:szCs w:val="32"/>
        </w:rPr>
        <w:t>。下一步改进措施：按时发放。</w:t>
      </w:r>
    </w:p>
    <w:tbl>
      <w:tblPr>
        <w:tblStyle w:val="13"/>
        <w:tblW w:w="0" w:type="auto"/>
        <w:jc w:val="center"/>
        <w:tblLayout w:type="autofit"/>
        <w:tblCellMar>
          <w:top w:w="0" w:type="dxa"/>
          <w:left w:w="108" w:type="dxa"/>
          <w:bottom w:w="0" w:type="dxa"/>
          <w:right w:w="108" w:type="dxa"/>
        </w:tblCellMar>
      </w:tblPr>
      <w:tblGrid>
        <w:gridCol w:w="675"/>
        <w:gridCol w:w="1843"/>
        <w:gridCol w:w="1276"/>
        <w:gridCol w:w="2551"/>
        <w:gridCol w:w="1134"/>
        <w:gridCol w:w="1016"/>
        <w:gridCol w:w="800"/>
      </w:tblGrid>
      <w:tr>
        <w:tblPrEx>
          <w:tblCellMar>
            <w:top w:w="0" w:type="dxa"/>
            <w:left w:w="108" w:type="dxa"/>
            <w:bottom w:w="0" w:type="dxa"/>
            <w:right w:w="108" w:type="dxa"/>
          </w:tblCellMar>
        </w:tblPrEx>
        <w:trPr>
          <w:trHeight w:val="495"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项目名称</w:t>
            </w:r>
          </w:p>
        </w:tc>
        <w:tc>
          <w:tcPr>
            <w:tcW w:w="8620" w:type="dxa"/>
            <w:gridSpan w:val="6"/>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城南镇孤儿及困境儿童专项</w:t>
            </w:r>
          </w:p>
        </w:tc>
      </w:tr>
      <w:tr>
        <w:tblPrEx>
          <w:tblCellMar>
            <w:top w:w="0" w:type="dxa"/>
            <w:left w:w="108" w:type="dxa"/>
            <w:bottom w:w="0" w:type="dxa"/>
            <w:right w:w="108" w:type="dxa"/>
          </w:tblCellMar>
        </w:tblPrEx>
        <w:trPr>
          <w:trHeight w:val="495" w:hRule="atLeast"/>
          <w:jc w:val="center"/>
        </w:trPr>
        <w:tc>
          <w:tcPr>
            <w:tcW w:w="67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主管单位</w:t>
            </w:r>
          </w:p>
        </w:tc>
        <w:tc>
          <w:tcPr>
            <w:tcW w:w="3119"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城南镇人民政府</w:t>
            </w:r>
          </w:p>
        </w:tc>
        <w:tc>
          <w:tcPr>
            <w:tcW w:w="2551"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实施单位</w:t>
            </w:r>
          </w:p>
        </w:tc>
        <w:tc>
          <w:tcPr>
            <w:tcW w:w="2950" w:type="dxa"/>
            <w:gridSpan w:val="3"/>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城南镇人民政府</w:t>
            </w:r>
          </w:p>
        </w:tc>
      </w:tr>
      <w:tr>
        <w:tblPrEx>
          <w:tblCellMar>
            <w:top w:w="0" w:type="dxa"/>
            <w:left w:w="108" w:type="dxa"/>
            <w:bottom w:w="0" w:type="dxa"/>
            <w:right w:w="108" w:type="dxa"/>
          </w:tblCellMar>
        </w:tblPrEx>
        <w:trPr>
          <w:trHeight w:val="345" w:hRule="atLeast"/>
          <w:jc w:val="center"/>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资金情况</w:t>
            </w:r>
            <w:r>
              <w:rPr>
                <w:rFonts w:asciiTheme="minorHAnsi" w:hAnsiTheme="minorHAnsi"/>
                <w:sz w:val="20"/>
                <w:szCs w:val="20"/>
              </w:rPr>
              <w:br w:type="textWrapping"/>
            </w:r>
            <w:r>
              <w:rPr>
                <w:rFonts w:asciiTheme="minorHAnsi"/>
                <w:sz w:val="20"/>
                <w:szCs w:val="20"/>
              </w:rPr>
              <w:t>（万元）</w:t>
            </w:r>
          </w:p>
        </w:tc>
        <w:tc>
          <w:tcPr>
            <w:tcW w:w="1843"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atLeast"/>
              <w:rPr>
                <w:rFonts w:asciiTheme="minorHAnsi" w:hAnsiTheme="minorHAnsi"/>
                <w:color w:val="000000"/>
                <w:sz w:val="20"/>
                <w:szCs w:val="20"/>
              </w:rPr>
            </w:pPr>
            <w:r>
              <w:rPr>
                <w:rFonts w:asciiTheme="minorHAnsi"/>
                <w:color w:val="000000"/>
                <w:sz w:val="20"/>
                <w:szCs w:val="20"/>
              </w:rPr>
              <w:t>　</w:t>
            </w:r>
          </w:p>
        </w:tc>
        <w:tc>
          <w:tcPr>
            <w:tcW w:w="127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年初预算数</w:t>
            </w:r>
          </w:p>
        </w:tc>
        <w:tc>
          <w:tcPr>
            <w:tcW w:w="2551" w:type="dxa"/>
            <w:tcBorders>
              <w:top w:val="nil"/>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全年预算数</w:t>
            </w:r>
          </w:p>
        </w:tc>
        <w:tc>
          <w:tcPr>
            <w:tcW w:w="1134" w:type="dxa"/>
            <w:tcBorders>
              <w:top w:val="nil"/>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全年执行数</w:t>
            </w:r>
          </w:p>
        </w:tc>
        <w:tc>
          <w:tcPr>
            <w:tcW w:w="1816" w:type="dxa"/>
            <w:gridSpan w:val="2"/>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执行率</w:t>
            </w:r>
          </w:p>
        </w:tc>
      </w:tr>
      <w:tr>
        <w:tblPrEx>
          <w:tblCellMar>
            <w:top w:w="0" w:type="dxa"/>
            <w:left w:w="108" w:type="dxa"/>
            <w:bottom w:w="0" w:type="dxa"/>
            <w:right w:w="108" w:type="dxa"/>
          </w:tblCellMar>
        </w:tblPrEx>
        <w:trPr>
          <w:trHeight w:val="345"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年度资金总额</w:t>
            </w:r>
          </w:p>
        </w:tc>
        <w:tc>
          <w:tcPr>
            <w:tcW w:w="127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0</w:t>
            </w:r>
          </w:p>
        </w:tc>
        <w:tc>
          <w:tcPr>
            <w:tcW w:w="2551"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41.37</w:t>
            </w:r>
          </w:p>
        </w:tc>
        <w:tc>
          <w:tcPr>
            <w:tcW w:w="1134" w:type="dxa"/>
            <w:tcBorders>
              <w:top w:val="nil"/>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hAnsiTheme="minorHAnsi"/>
                <w:color w:val="000000"/>
                <w:sz w:val="20"/>
                <w:szCs w:val="20"/>
              </w:rPr>
              <w:t>41.37</w:t>
            </w:r>
          </w:p>
        </w:tc>
        <w:tc>
          <w:tcPr>
            <w:tcW w:w="1816" w:type="dxa"/>
            <w:gridSpan w:val="2"/>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hAnsiTheme="minorHAnsi"/>
                <w:color w:val="000000"/>
                <w:sz w:val="20"/>
                <w:szCs w:val="20"/>
              </w:rPr>
              <w:t>100%</w:t>
            </w:r>
          </w:p>
        </w:tc>
      </w:tr>
      <w:tr>
        <w:tblPrEx>
          <w:tblCellMar>
            <w:top w:w="0" w:type="dxa"/>
            <w:left w:w="108" w:type="dxa"/>
            <w:bottom w:w="0" w:type="dxa"/>
            <w:right w:w="108" w:type="dxa"/>
          </w:tblCellMar>
        </w:tblPrEx>
        <w:trPr>
          <w:trHeight w:val="345"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其中当年财政拨款</w:t>
            </w:r>
          </w:p>
        </w:tc>
        <w:tc>
          <w:tcPr>
            <w:tcW w:w="127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0</w:t>
            </w:r>
          </w:p>
        </w:tc>
        <w:tc>
          <w:tcPr>
            <w:tcW w:w="2551"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41.37</w:t>
            </w:r>
          </w:p>
        </w:tc>
        <w:tc>
          <w:tcPr>
            <w:tcW w:w="1134" w:type="dxa"/>
            <w:tcBorders>
              <w:top w:val="nil"/>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hAnsiTheme="minorHAnsi"/>
                <w:color w:val="000000"/>
                <w:sz w:val="20"/>
                <w:szCs w:val="20"/>
              </w:rPr>
              <w:t>41.37</w:t>
            </w:r>
          </w:p>
        </w:tc>
        <w:tc>
          <w:tcPr>
            <w:tcW w:w="1816" w:type="dxa"/>
            <w:gridSpan w:val="2"/>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hAnsiTheme="minorHAnsi"/>
                <w:color w:val="000000"/>
                <w:sz w:val="20"/>
                <w:szCs w:val="20"/>
              </w:rPr>
              <w:t>100%</w:t>
            </w:r>
          </w:p>
        </w:tc>
      </w:tr>
      <w:tr>
        <w:tblPrEx>
          <w:tblCellMar>
            <w:top w:w="0" w:type="dxa"/>
            <w:left w:w="108" w:type="dxa"/>
            <w:bottom w:w="0" w:type="dxa"/>
            <w:right w:w="108" w:type="dxa"/>
          </w:tblCellMar>
        </w:tblPrEx>
        <w:trPr>
          <w:trHeight w:val="345"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843" w:type="dxa"/>
            <w:tcBorders>
              <w:top w:val="nil"/>
              <w:left w:val="nil"/>
              <w:bottom w:val="single" w:color="auto" w:sz="4" w:space="0"/>
              <w:right w:val="single" w:color="auto" w:sz="4" w:space="0"/>
            </w:tcBorders>
            <w:shd w:val="clear" w:color="auto" w:fill="auto"/>
            <w:noWrap/>
            <w:vAlign w:val="center"/>
          </w:tcPr>
          <w:p>
            <w:pPr>
              <w:adjustRightInd w:val="0"/>
              <w:snapToGrid w:val="0"/>
              <w:spacing w:line="240" w:lineRule="atLeast"/>
              <w:jc w:val="center"/>
              <w:rPr>
                <w:rFonts w:asciiTheme="minorHAnsi" w:hAnsiTheme="minorHAnsi"/>
                <w:color w:val="000000"/>
                <w:sz w:val="20"/>
                <w:szCs w:val="20"/>
              </w:rPr>
            </w:pPr>
            <w:r>
              <w:rPr>
                <w:rFonts w:asciiTheme="minorHAnsi" w:hAnsiTheme="minorHAnsi"/>
                <w:color w:val="000000"/>
                <w:sz w:val="20"/>
                <w:szCs w:val="20"/>
              </w:rPr>
              <w:t xml:space="preserve">  </w:t>
            </w:r>
            <w:r>
              <w:rPr>
                <w:rFonts w:asciiTheme="minorHAnsi"/>
                <w:color w:val="000000"/>
                <w:sz w:val="20"/>
                <w:szCs w:val="20"/>
              </w:rPr>
              <w:t>上年结转资金</w:t>
            </w:r>
          </w:p>
        </w:tc>
        <w:tc>
          <w:tcPr>
            <w:tcW w:w="127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　</w:t>
            </w:r>
          </w:p>
        </w:tc>
        <w:tc>
          <w:tcPr>
            <w:tcW w:w="2551"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p>
        </w:tc>
        <w:tc>
          <w:tcPr>
            <w:tcW w:w="1134" w:type="dxa"/>
            <w:tcBorders>
              <w:top w:val="nil"/>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　</w:t>
            </w:r>
          </w:p>
        </w:tc>
        <w:tc>
          <w:tcPr>
            <w:tcW w:w="1816" w:type="dxa"/>
            <w:gridSpan w:val="2"/>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　</w:t>
            </w:r>
          </w:p>
        </w:tc>
      </w:tr>
      <w:tr>
        <w:tblPrEx>
          <w:tblCellMar>
            <w:top w:w="0" w:type="dxa"/>
            <w:left w:w="108" w:type="dxa"/>
            <w:bottom w:w="0" w:type="dxa"/>
            <w:right w:w="108" w:type="dxa"/>
          </w:tblCellMar>
        </w:tblPrEx>
        <w:trPr>
          <w:trHeight w:val="345"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ind w:firstLine="400" w:firstLineChars="200"/>
              <w:rPr>
                <w:rFonts w:asciiTheme="minorHAnsi" w:hAnsiTheme="minorHAnsi"/>
                <w:sz w:val="20"/>
                <w:szCs w:val="20"/>
              </w:rPr>
            </w:pPr>
            <w:r>
              <w:rPr>
                <w:rFonts w:asciiTheme="minorHAnsi"/>
                <w:sz w:val="20"/>
                <w:szCs w:val="20"/>
              </w:rPr>
              <w:t>其他资金</w:t>
            </w:r>
            <w:r>
              <w:rPr>
                <w:rFonts w:asciiTheme="minorHAnsi" w:hAnsiTheme="minorHAnsi"/>
                <w:sz w:val="20"/>
                <w:szCs w:val="20"/>
              </w:rPr>
              <w:t xml:space="preserve"> </w:t>
            </w:r>
          </w:p>
        </w:tc>
        <w:tc>
          <w:tcPr>
            <w:tcW w:w="127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　</w:t>
            </w:r>
          </w:p>
        </w:tc>
        <w:tc>
          <w:tcPr>
            <w:tcW w:w="2551"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0</w:t>
            </w:r>
          </w:p>
        </w:tc>
        <w:tc>
          <w:tcPr>
            <w:tcW w:w="1134" w:type="dxa"/>
            <w:tcBorders>
              <w:top w:val="nil"/>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　</w:t>
            </w:r>
          </w:p>
        </w:tc>
        <w:tc>
          <w:tcPr>
            <w:tcW w:w="1816" w:type="dxa"/>
            <w:gridSpan w:val="2"/>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　</w:t>
            </w:r>
          </w:p>
        </w:tc>
      </w:tr>
      <w:tr>
        <w:tblPrEx>
          <w:tblCellMar>
            <w:top w:w="0" w:type="dxa"/>
            <w:left w:w="108" w:type="dxa"/>
            <w:bottom w:w="0" w:type="dxa"/>
            <w:right w:w="108" w:type="dxa"/>
          </w:tblCellMar>
        </w:tblPrEx>
        <w:trPr>
          <w:trHeight w:val="495" w:hRule="atLeast"/>
          <w:jc w:val="center"/>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总体目标</w:t>
            </w:r>
          </w:p>
        </w:tc>
        <w:tc>
          <w:tcPr>
            <w:tcW w:w="5670" w:type="dxa"/>
            <w:gridSpan w:val="3"/>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年度目标</w:t>
            </w:r>
          </w:p>
        </w:tc>
        <w:tc>
          <w:tcPr>
            <w:tcW w:w="2950" w:type="dxa"/>
            <w:gridSpan w:val="3"/>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年度总体目标完成情况</w:t>
            </w:r>
          </w:p>
        </w:tc>
      </w:tr>
      <w:tr>
        <w:tblPrEx>
          <w:tblCellMar>
            <w:top w:w="0" w:type="dxa"/>
            <w:left w:w="108" w:type="dxa"/>
            <w:bottom w:w="0" w:type="dxa"/>
            <w:right w:w="108" w:type="dxa"/>
          </w:tblCellMar>
        </w:tblPrEx>
        <w:trPr>
          <w:trHeight w:val="720"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5670" w:type="dxa"/>
            <w:gridSpan w:val="3"/>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为维护困境儿童基本权益，加大关爱保护力度，需安排预算</w:t>
            </w:r>
            <w:r>
              <w:rPr>
                <w:rFonts w:asciiTheme="minorHAnsi" w:hAnsiTheme="minorHAnsi"/>
                <w:sz w:val="20"/>
                <w:szCs w:val="20"/>
              </w:rPr>
              <w:t>41.37</w:t>
            </w:r>
            <w:r>
              <w:rPr>
                <w:rFonts w:asciiTheme="minorHAnsi"/>
                <w:sz w:val="20"/>
                <w:szCs w:val="20"/>
              </w:rPr>
              <w:t>万元，用于</w:t>
            </w:r>
            <w:r>
              <w:rPr>
                <w:rFonts w:asciiTheme="minorHAnsi" w:hAnsiTheme="minorHAnsi"/>
                <w:sz w:val="20"/>
                <w:szCs w:val="20"/>
              </w:rPr>
              <w:t>19</w:t>
            </w:r>
            <w:r>
              <w:rPr>
                <w:rFonts w:asciiTheme="minorHAnsi"/>
                <w:sz w:val="20"/>
                <w:szCs w:val="20"/>
              </w:rPr>
              <w:t>名困境儿童对象基本生活补助费的发放（</w:t>
            </w:r>
            <w:r>
              <w:rPr>
                <w:rFonts w:asciiTheme="minorHAnsi" w:hAnsiTheme="minorHAnsi"/>
                <w:sz w:val="20"/>
                <w:szCs w:val="20"/>
              </w:rPr>
              <w:t>1836</w:t>
            </w:r>
            <w:r>
              <w:rPr>
                <w:rFonts w:asciiTheme="minorHAnsi"/>
                <w:sz w:val="20"/>
                <w:szCs w:val="20"/>
              </w:rPr>
              <w:t>元</w:t>
            </w:r>
            <w:r>
              <w:rPr>
                <w:rFonts w:asciiTheme="minorHAnsi" w:hAnsiTheme="minorHAnsi"/>
                <w:sz w:val="20"/>
                <w:szCs w:val="20"/>
              </w:rPr>
              <w:t>/</w:t>
            </w:r>
            <w:r>
              <w:rPr>
                <w:rFonts w:asciiTheme="minorHAnsi"/>
                <w:sz w:val="20"/>
                <w:szCs w:val="20"/>
              </w:rPr>
              <w:t>人</w:t>
            </w:r>
            <w:r>
              <w:rPr>
                <w:rFonts w:asciiTheme="minorHAnsi" w:hAnsiTheme="minorHAnsi"/>
                <w:sz w:val="20"/>
                <w:szCs w:val="20"/>
              </w:rPr>
              <w:t>·</w:t>
            </w:r>
            <w:r>
              <w:rPr>
                <w:rFonts w:asciiTheme="minorHAnsi"/>
                <w:sz w:val="20"/>
                <w:szCs w:val="20"/>
              </w:rPr>
              <w:t>月）。</w:t>
            </w:r>
          </w:p>
        </w:tc>
        <w:tc>
          <w:tcPr>
            <w:tcW w:w="2950" w:type="dxa"/>
            <w:gridSpan w:val="3"/>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已完成</w:t>
            </w:r>
          </w:p>
        </w:tc>
      </w:tr>
      <w:tr>
        <w:tblPrEx>
          <w:tblCellMar>
            <w:top w:w="0" w:type="dxa"/>
            <w:left w:w="108" w:type="dxa"/>
            <w:bottom w:w="0" w:type="dxa"/>
            <w:right w:w="108" w:type="dxa"/>
          </w:tblCellMar>
        </w:tblPrEx>
        <w:trPr>
          <w:trHeight w:val="240" w:hRule="atLeast"/>
          <w:jc w:val="center"/>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绩效指标</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一级指标</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二级指标</w:t>
            </w:r>
          </w:p>
        </w:tc>
        <w:tc>
          <w:tcPr>
            <w:tcW w:w="2551"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三级指标</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指标值</w:t>
            </w:r>
          </w:p>
        </w:tc>
        <w:tc>
          <w:tcPr>
            <w:tcW w:w="1816"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实际完成值</w:t>
            </w:r>
          </w:p>
        </w:tc>
      </w:tr>
      <w:tr>
        <w:tblPrEx>
          <w:tblCellMar>
            <w:top w:w="0" w:type="dxa"/>
            <w:left w:w="108" w:type="dxa"/>
            <w:bottom w:w="0" w:type="dxa"/>
            <w:right w:w="108" w:type="dxa"/>
          </w:tblCellMar>
        </w:tblPrEx>
        <w:trPr>
          <w:trHeight w:val="240"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2551"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01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全年值</w:t>
            </w:r>
          </w:p>
        </w:tc>
        <w:tc>
          <w:tcPr>
            <w:tcW w:w="80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得分</w:t>
            </w:r>
          </w:p>
        </w:tc>
      </w:tr>
      <w:tr>
        <w:tblPrEx>
          <w:tblCellMar>
            <w:top w:w="0" w:type="dxa"/>
            <w:left w:w="108" w:type="dxa"/>
            <w:bottom w:w="0" w:type="dxa"/>
            <w:right w:w="108" w:type="dxa"/>
          </w:tblCellMar>
        </w:tblPrEx>
        <w:trPr>
          <w:trHeight w:val="480"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产出指标</w:t>
            </w:r>
          </w:p>
        </w:tc>
        <w:tc>
          <w:tcPr>
            <w:tcW w:w="127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质量指标</w:t>
            </w:r>
          </w:p>
        </w:tc>
        <w:tc>
          <w:tcPr>
            <w:tcW w:w="2551"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孤儿基本生活保障标准（</w:t>
            </w:r>
            <w:r>
              <w:rPr>
                <w:rFonts w:asciiTheme="minorHAnsi" w:hAnsiTheme="minorHAnsi"/>
                <w:sz w:val="20"/>
                <w:szCs w:val="20"/>
              </w:rPr>
              <w:t>≥**</w:t>
            </w:r>
            <w:r>
              <w:rPr>
                <w:rFonts w:asciiTheme="minorHAnsi"/>
                <w:sz w:val="20"/>
                <w:szCs w:val="20"/>
              </w:rPr>
              <w:t>元</w:t>
            </w:r>
            <w:r>
              <w:rPr>
                <w:rFonts w:asciiTheme="minorHAnsi" w:hAnsiTheme="minorHAnsi"/>
                <w:sz w:val="20"/>
                <w:szCs w:val="20"/>
              </w:rPr>
              <w:t>/</w:t>
            </w:r>
            <w:r>
              <w:rPr>
                <w:rFonts w:asciiTheme="minorHAnsi"/>
                <w:sz w:val="20"/>
                <w:szCs w:val="20"/>
              </w:rPr>
              <w:t>人</w:t>
            </w:r>
            <w:r>
              <w:rPr>
                <w:rFonts w:asciiTheme="minorHAnsi" w:hAnsiTheme="minorHAnsi"/>
                <w:sz w:val="20"/>
                <w:szCs w:val="20"/>
              </w:rPr>
              <w:t>·</w:t>
            </w:r>
            <w:r>
              <w:rPr>
                <w:rFonts w:asciiTheme="minorHAnsi"/>
                <w:sz w:val="20"/>
                <w:szCs w:val="20"/>
              </w:rPr>
              <w:t>月）</w:t>
            </w:r>
          </w:p>
        </w:tc>
        <w:tc>
          <w:tcPr>
            <w:tcW w:w="113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&gt;=1836</w:t>
            </w:r>
            <w:r>
              <w:rPr>
                <w:rFonts w:asciiTheme="minorHAnsi"/>
                <w:sz w:val="20"/>
                <w:szCs w:val="20"/>
              </w:rPr>
              <w:t>元</w:t>
            </w:r>
            <w:r>
              <w:rPr>
                <w:rFonts w:asciiTheme="minorHAnsi" w:hAnsiTheme="minorHAnsi"/>
                <w:sz w:val="20"/>
                <w:szCs w:val="20"/>
              </w:rPr>
              <w:t xml:space="preserve"> </w:t>
            </w:r>
          </w:p>
          <w:p>
            <w:pPr>
              <w:adjustRightInd w:val="0"/>
              <w:snapToGrid w:val="0"/>
              <w:spacing w:line="240" w:lineRule="atLeast"/>
              <w:rPr>
                <w:rFonts w:asciiTheme="minorHAnsi" w:hAnsiTheme="minorHAnsi"/>
                <w:sz w:val="20"/>
                <w:szCs w:val="20"/>
              </w:rPr>
            </w:pPr>
            <w:r>
              <w:rPr>
                <w:rFonts w:asciiTheme="minorHAnsi" w:hAnsiTheme="minorHAnsi"/>
                <w:sz w:val="20"/>
                <w:szCs w:val="20"/>
              </w:rPr>
              <w:t>/</w:t>
            </w:r>
            <w:r>
              <w:rPr>
                <w:rFonts w:asciiTheme="minorHAnsi"/>
                <w:sz w:val="20"/>
                <w:szCs w:val="20"/>
              </w:rPr>
              <w:t>人</w:t>
            </w:r>
            <w:r>
              <w:rPr>
                <w:rFonts w:asciiTheme="minorHAnsi" w:hAnsiTheme="minorHAnsi"/>
                <w:sz w:val="20"/>
                <w:szCs w:val="20"/>
              </w:rPr>
              <w:t>*</w:t>
            </w:r>
            <w:r>
              <w:rPr>
                <w:rFonts w:asciiTheme="minorHAnsi"/>
                <w:sz w:val="20"/>
                <w:szCs w:val="20"/>
              </w:rPr>
              <w:t>月</w:t>
            </w:r>
          </w:p>
        </w:tc>
        <w:tc>
          <w:tcPr>
            <w:tcW w:w="101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1836</w:t>
            </w:r>
            <w:r>
              <w:rPr>
                <w:rFonts w:asciiTheme="minorHAnsi"/>
                <w:sz w:val="20"/>
                <w:szCs w:val="20"/>
              </w:rPr>
              <w:t>元</w:t>
            </w:r>
            <w:r>
              <w:rPr>
                <w:rFonts w:asciiTheme="minorHAnsi" w:hAnsiTheme="minorHAnsi"/>
                <w:sz w:val="20"/>
                <w:szCs w:val="20"/>
              </w:rPr>
              <w:br w:type="textWrapping"/>
            </w:r>
            <w:r>
              <w:rPr>
                <w:rFonts w:asciiTheme="minorHAnsi" w:hAnsiTheme="minorHAnsi"/>
                <w:sz w:val="20"/>
                <w:szCs w:val="20"/>
              </w:rPr>
              <w:t>/</w:t>
            </w:r>
            <w:r>
              <w:rPr>
                <w:rFonts w:asciiTheme="minorHAnsi"/>
                <w:sz w:val="20"/>
                <w:szCs w:val="20"/>
              </w:rPr>
              <w:t>人</w:t>
            </w:r>
            <w:r>
              <w:rPr>
                <w:rFonts w:asciiTheme="minorHAnsi" w:hAnsiTheme="minorHAnsi"/>
                <w:sz w:val="20"/>
                <w:szCs w:val="20"/>
              </w:rPr>
              <w:t>*</w:t>
            </w:r>
            <w:r>
              <w:rPr>
                <w:rFonts w:asciiTheme="minorHAnsi"/>
                <w:sz w:val="20"/>
                <w:szCs w:val="20"/>
              </w:rPr>
              <w:t>月</w:t>
            </w:r>
          </w:p>
        </w:tc>
        <w:tc>
          <w:tcPr>
            <w:tcW w:w="80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100</w:t>
            </w:r>
          </w:p>
        </w:tc>
      </w:tr>
      <w:tr>
        <w:tblPrEx>
          <w:tblCellMar>
            <w:top w:w="0" w:type="dxa"/>
            <w:left w:w="108" w:type="dxa"/>
            <w:bottom w:w="0" w:type="dxa"/>
            <w:right w:w="108" w:type="dxa"/>
          </w:tblCellMar>
        </w:tblPrEx>
        <w:trPr>
          <w:trHeight w:val="480"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27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时效指标</w:t>
            </w:r>
          </w:p>
        </w:tc>
        <w:tc>
          <w:tcPr>
            <w:tcW w:w="2551"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补助资金及时发放率（</w:t>
            </w:r>
            <w:r>
              <w:rPr>
                <w:rFonts w:asciiTheme="minorHAnsi" w:hAnsiTheme="minorHAnsi"/>
                <w:sz w:val="20"/>
                <w:szCs w:val="20"/>
              </w:rPr>
              <w:t>≥**%</w:t>
            </w:r>
            <w:r>
              <w:rPr>
                <w:rFonts w:asciiTheme="minorHAnsi"/>
                <w:sz w:val="20"/>
                <w:szCs w:val="20"/>
              </w:rPr>
              <w:t>）</w:t>
            </w:r>
          </w:p>
        </w:tc>
        <w:tc>
          <w:tcPr>
            <w:tcW w:w="113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&gt;=95%</w:t>
            </w:r>
          </w:p>
        </w:tc>
        <w:tc>
          <w:tcPr>
            <w:tcW w:w="101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95%</w:t>
            </w:r>
          </w:p>
        </w:tc>
        <w:tc>
          <w:tcPr>
            <w:tcW w:w="800"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95</w:t>
            </w:r>
          </w:p>
        </w:tc>
      </w:tr>
      <w:tr>
        <w:tblPrEx>
          <w:tblCellMar>
            <w:top w:w="0" w:type="dxa"/>
            <w:left w:w="108" w:type="dxa"/>
            <w:bottom w:w="0" w:type="dxa"/>
            <w:right w:w="108" w:type="dxa"/>
          </w:tblCellMar>
        </w:tblPrEx>
        <w:trPr>
          <w:trHeight w:val="480"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数量指标</w:t>
            </w:r>
          </w:p>
        </w:tc>
        <w:tc>
          <w:tcPr>
            <w:tcW w:w="2551"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农村低保发放人数（按月平均）（</w:t>
            </w:r>
            <w:r>
              <w:rPr>
                <w:rFonts w:asciiTheme="minorHAnsi" w:hAnsiTheme="minorHAnsi"/>
                <w:sz w:val="20"/>
                <w:szCs w:val="20"/>
              </w:rPr>
              <w:t>≥**</w:t>
            </w:r>
            <w:r>
              <w:rPr>
                <w:rFonts w:asciiTheme="minorHAnsi"/>
                <w:sz w:val="20"/>
                <w:szCs w:val="20"/>
              </w:rPr>
              <w:t>人）</w:t>
            </w:r>
          </w:p>
        </w:tc>
        <w:tc>
          <w:tcPr>
            <w:tcW w:w="113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&gt;=0</w:t>
            </w:r>
            <w:r>
              <w:rPr>
                <w:rFonts w:asciiTheme="minorHAnsi"/>
                <w:sz w:val="20"/>
                <w:szCs w:val="20"/>
              </w:rPr>
              <w:t>人</w:t>
            </w:r>
          </w:p>
        </w:tc>
        <w:tc>
          <w:tcPr>
            <w:tcW w:w="101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0</w:t>
            </w:r>
            <w:r>
              <w:rPr>
                <w:rFonts w:asciiTheme="minorHAnsi"/>
                <w:sz w:val="20"/>
                <w:szCs w:val="20"/>
              </w:rPr>
              <w:t>人</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90</w:t>
            </w:r>
          </w:p>
        </w:tc>
      </w:tr>
      <w:tr>
        <w:tblPrEx>
          <w:tblCellMar>
            <w:top w:w="0" w:type="dxa"/>
            <w:left w:w="108" w:type="dxa"/>
            <w:bottom w:w="0" w:type="dxa"/>
            <w:right w:w="108" w:type="dxa"/>
          </w:tblCellMar>
        </w:tblPrEx>
        <w:trPr>
          <w:trHeight w:val="720"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2551"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其中：农村低保对象中建档立卡贫困人口数量（按月平均）（</w:t>
            </w:r>
            <w:r>
              <w:rPr>
                <w:rFonts w:asciiTheme="minorHAnsi" w:hAnsiTheme="minorHAnsi"/>
                <w:sz w:val="20"/>
                <w:szCs w:val="20"/>
              </w:rPr>
              <w:t>≥**</w:t>
            </w:r>
            <w:r>
              <w:rPr>
                <w:rFonts w:asciiTheme="minorHAnsi"/>
                <w:sz w:val="20"/>
                <w:szCs w:val="20"/>
              </w:rPr>
              <w:t>人）</w:t>
            </w:r>
          </w:p>
        </w:tc>
        <w:tc>
          <w:tcPr>
            <w:tcW w:w="113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&gt;=0</w:t>
            </w:r>
            <w:r>
              <w:rPr>
                <w:rFonts w:asciiTheme="minorHAnsi"/>
                <w:sz w:val="20"/>
                <w:szCs w:val="20"/>
              </w:rPr>
              <w:t>人</w:t>
            </w:r>
          </w:p>
        </w:tc>
        <w:tc>
          <w:tcPr>
            <w:tcW w:w="101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0</w:t>
            </w:r>
            <w:r>
              <w:rPr>
                <w:rFonts w:asciiTheme="minorHAnsi"/>
                <w:sz w:val="20"/>
                <w:szCs w:val="20"/>
              </w:rPr>
              <w:t>人</w:t>
            </w:r>
          </w:p>
        </w:tc>
        <w:tc>
          <w:tcPr>
            <w:tcW w:w="80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r>
      <w:tr>
        <w:tblPrEx>
          <w:tblCellMar>
            <w:top w:w="0" w:type="dxa"/>
            <w:left w:w="108" w:type="dxa"/>
            <w:bottom w:w="0" w:type="dxa"/>
            <w:right w:w="108" w:type="dxa"/>
          </w:tblCellMar>
        </w:tblPrEx>
        <w:trPr>
          <w:trHeight w:val="720"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2551"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建档立卡贫困人口中接受临时救助的人次数（</w:t>
            </w:r>
            <w:r>
              <w:rPr>
                <w:rFonts w:asciiTheme="minorHAnsi" w:hAnsiTheme="minorHAnsi"/>
                <w:sz w:val="20"/>
                <w:szCs w:val="20"/>
              </w:rPr>
              <w:t>≥**</w:t>
            </w:r>
            <w:r>
              <w:rPr>
                <w:rFonts w:asciiTheme="minorHAnsi"/>
                <w:sz w:val="20"/>
                <w:szCs w:val="20"/>
              </w:rPr>
              <w:t>人次）</w:t>
            </w:r>
          </w:p>
        </w:tc>
        <w:tc>
          <w:tcPr>
            <w:tcW w:w="113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&gt;=0</w:t>
            </w:r>
            <w:r>
              <w:rPr>
                <w:rFonts w:asciiTheme="minorHAnsi"/>
                <w:sz w:val="20"/>
                <w:szCs w:val="20"/>
              </w:rPr>
              <w:t>人次</w:t>
            </w:r>
          </w:p>
        </w:tc>
        <w:tc>
          <w:tcPr>
            <w:tcW w:w="101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0</w:t>
            </w:r>
            <w:r>
              <w:rPr>
                <w:rFonts w:asciiTheme="minorHAnsi"/>
                <w:sz w:val="20"/>
                <w:szCs w:val="20"/>
              </w:rPr>
              <w:t>人次</w:t>
            </w:r>
          </w:p>
        </w:tc>
        <w:tc>
          <w:tcPr>
            <w:tcW w:w="80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r>
      <w:tr>
        <w:tblPrEx>
          <w:tblCellMar>
            <w:top w:w="0" w:type="dxa"/>
            <w:left w:w="108" w:type="dxa"/>
            <w:bottom w:w="0" w:type="dxa"/>
            <w:right w:w="108" w:type="dxa"/>
          </w:tblCellMar>
        </w:tblPrEx>
        <w:trPr>
          <w:trHeight w:val="480"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2551"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特困人员救助供养人数（按月平均）（</w:t>
            </w:r>
            <w:r>
              <w:rPr>
                <w:rFonts w:asciiTheme="minorHAnsi" w:hAnsiTheme="minorHAnsi"/>
                <w:sz w:val="20"/>
                <w:szCs w:val="20"/>
              </w:rPr>
              <w:t>≥**</w:t>
            </w:r>
            <w:r>
              <w:rPr>
                <w:rFonts w:asciiTheme="minorHAnsi"/>
                <w:sz w:val="20"/>
                <w:szCs w:val="20"/>
              </w:rPr>
              <w:t>人）</w:t>
            </w:r>
          </w:p>
        </w:tc>
        <w:tc>
          <w:tcPr>
            <w:tcW w:w="113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&gt;=0</w:t>
            </w:r>
            <w:r>
              <w:rPr>
                <w:rFonts w:asciiTheme="minorHAnsi"/>
                <w:sz w:val="20"/>
                <w:szCs w:val="20"/>
              </w:rPr>
              <w:t>人</w:t>
            </w:r>
          </w:p>
        </w:tc>
        <w:tc>
          <w:tcPr>
            <w:tcW w:w="101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0</w:t>
            </w:r>
            <w:r>
              <w:rPr>
                <w:rFonts w:asciiTheme="minorHAnsi"/>
                <w:sz w:val="20"/>
                <w:szCs w:val="20"/>
              </w:rPr>
              <w:t>人</w:t>
            </w:r>
          </w:p>
        </w:tc>
        <w:tc>
          <w:tcPr>
            <w:tcW w:w="80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r>
      <w:tr>
        <w:tblPrEx>
          <w:tblCellMar>
            <w:top w:w="0" w:type="dxa"/>
            <w:left w:w="108" w:type="dxa"/>
            <w:bottom w:w="0" w:type="dxa"/>
            <w:right w:w="108" w:type="dxa"/>
          </w:tblCellMar>
        </w:tblPrEx>
        <w:trPr>
          <w:trHeight w:val="480"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2551"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孤儿和困境待遇享受人数（按月平均）</w:t>
            </w:r>
          </w:p>
        </w:tc>
        <w:tc>
          <w:tcPr>
            <w:tcW w:w="113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&gt;=28</w:t>
            </w:r>
            <w:r>
              <w:rPr>
                <w:rFonts w:asciiTheme="minorHAnsi"/>
                <w:sz w:val="20"/>
                <w:szCs w:val="20"/>
              </w:rPr>
              <w:t>人</w:t>
            </w:r>
          </w:p>
        </w:tc>
        <w:tc>
          <w:tcPr>
            <w:tcW w:w="101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28</w:t>
            </w:r>
            <w:r>
              <w:rPr>
                <w:rFonts w:asciiTheme="minorHAnsi"/>
                <w:sz w:val="20"/>
                <w:szCs w:val="20"/>
              </w:rPr>
              <w:t>人</w:t>
            </w:r>
          </w:p>
        </w:tc>
        <w:tc>
          <w:tcPr>
            <w:tcW w:w="80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r>
      <w:tr>
        <w:tblPrEx>
          <w:tblCellMar>
            <w:top w:w="0" w:type="dxa"/>
            <w:left w:w="108" w:type="dxa"/>
            <w:bottom w:w="0" w:type="dxa"/>
            <w:right w:w="108" w:type="dxa"/>
          </w:tblCellMar>
        </w:tblPrEx>
        <w:trPr>
          <w:trHeight w:val="240"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效益指标</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社会效益</w:t>
            </w:r>
            <w:r>
              <w:rPr>
                <w:rFonts w:asciiTheme="minorHAnsi" w:hAnsiTheme="minorHAnsi"/>
                <w:sz w:val="20"/>
                <w:szCs w:val="20"/>
              </w:rPr>
              <w:t xml:space="preserve"> </w:t>
            </w:r>
          </w:p>
          <w:p>
            <w:pPr>
              <w:adjustRightInd w:val="0"/>
              <w:snapToGrid w:val="0"/>
              <w:spacing w:line="240" w:lineRule="atLeast"/>
              <w:jc w:val="center"/>
              <w:rPr>
                <w:rFonts w:asciiTheme="minorHAnsi" w:hAnsiTheme="minorHAnsi"/>
                <w:sz w:val="20"/>
                <w:szCs w:val="20"/>
              </w:rPr>
            </w:pPr>
            <w:r>
              <w:rPr>
                <w:rFonts w:asciiTheme="minorHAnsi"/>
                <w:sz w:val="20"/>
                <w:szCs w:val="20"/>
              </w:rPr>
              <w:t>指标</w:t>
            </w:r>
          </w:p>
        </w:tc>
        <w:tc>
          <w:tcPr>
            <w:tcW w:w="2551"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政策知晓率（</w:t>
            </w:r>
            <w:r>
              <w:rPr>
                <w:rFonts w:asciiTheme="minorHAnsi" w:hAnsiTheme="minorHAnsi"/>
                <w:sz w:val="20"/>
                <w:szCs w:val="20"/>
              </w:rPr>
              <w:t>≥**%</w:t>
            </w:r>
            <w:r>
              <w:rPr>
                <w:rFonts w:asciiTheme="minorHAnsi"/>
                <w:sz w:val="20"/>
                <w:szCs w:val="20"/>
              </w:rPr>
              <w:t>）</w:t>
            </w:r>
          </w:p>
        </w:tc>
        <w:tc>
          <w:tcPr>
            <w:tcW w:w="113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&gt;=90%</w:t>
            </w:r>
          </w:p>
        </w:tc>
        <w:tc>
          <w:tcPr>
            <w:tcW w:w="101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90%</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90</w:t>
            </w:r>
          </w:p>
        </w:tc>
      </w:tr>
      <w:tr>
        <w:tblPrEx>
          <w:tblCellMar>
            <w:top w:w="0" w:type="dxa"/>
            <w:left w:w="108" w:type="dxa"/>
            <w:bottom w:w="0" w:type="dxa"/>
            <w:right w:w="108" w:type="dxa"/>
          </w:tblCellMar>
        </w:tblPrEx>
        <w:trPr>
          <w:trHeight w:val="480"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2551"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sz w:val="20"/>
                <w:szCs w:val="20"/>
              </w:rPr>
              <w:t>受益建档立卡贫困人口数</w:t>
            </w:r>
            <w:r>
              <w:rPr>
                <w:rFonts w:asciiTheme="minorHAnsi" w:hAnsiTheme="minorHAnsi"/>
                <w:sz w:val="20"/>
                <w:szCs w:val="20"/>
              </w:rPr>
              <w:t>≥**</w:t>
            </w:r>
            <w:r>
              <w:rPr>
                <w:rFonts w:asciiTheme="minorHAnsi"/>
                <w:sz w:val="20"/>
                <w:szCs w:val="20"/>
              </w:rPr>
              <w:t>人</w:t>
            </w:r>
          </w:p>
        </w:tc>
        <w:tc>
          <w:tcPr>
            <w:tcW w:w="113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&gt;=0</w:t>
            </w:r>
            <w:r>
              <w:rPr>
                <w:rFonts w:asciiTheme="minorHAnsi"/>
                <w:sz w:val="20"/>
                <w:szCs w:val="20"/>
              </w:rPr>
              <w:t>人</w:t>
            </w:r>
          </w:p>
        </w:tc>
        <w:tc>
          <w:tcPr>
            <w:tcW w:w="1016"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0</w:t>
            </w:r>
            <w:r>
              <w:rPr>
                <w:rFonts w:asciiTheme="minorHAnsi"/>
                <w:sz w:val="20"/>
                <w:szCs w:val="20"/>
              </w:rPr>
              <w:t>人</w:t>
            </w:r>
          </w:p>
        </w:tc>
        <w:tc>
          <w:tcPr>
            <w:tcW w:w="80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r>
      <w:tr>
        <w:tblPrEx>
          <w:tblCellMar>
            <w:top w:w="0" w:type="dxa"/>
            <w:left w:w="108" w:type="dxa"/>
            <w:bottom w:w="0" w:type="dxa"/>
            <w:right w:w="108" w:type="dxa"/>
          </w:tblCellMar>
        </w:tblPrEx>
        <w:trPr>
          <w:trHeight w:val="240" w:hRule="atLeast"/>
          <w:jc w:val="center"/>
        </w:trPr>
        <w:tc>
          <w:tcPr>
            <w:tcW w:w="675"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tLeast"/>
              <w:rPr>
                <w:rFonts w:asciiTheme="minorHAnsi" w:hAnsiTheme="minorHAnsi"/>
                <w:sz w:val="20"/>
                <w:szCs w:val="20"/>
              </w:rPr>
            </w:pPr>
          </w:p>
        </w:tc>
        <w:tc>
          <w:tcPr>
            <w:tcW w:w="5670" w:type="dxa"/>
            <w:gridSpan w:val="3"/>
            <w:tcBorders>
              <w:top w:val="single" w:color="auto" w:sz="4" w:space="0"/>
              <w:left w:val="nil"/>
              <w:bottom w:val="single" w:color="auto" w:sz="4" w:space="0"/>
              <w:right w:val="single" w:color="auto" w:sz="4" w:space="0"/>
            </w:tcBorders>
            <w:shd w:val="clear" w:color="auto" w:fill="auto"/>
            <w:noWrap/>
            <w:vAlign w:val="bottom"/>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总分</w:t>
            </w:r>
          </w:p>
        </w:tc>
        <w:tc>
          <w:tcPr>
            <w:tcW w:w="1134" w:type="dxa"/>
            <w:tcBorders>
              <w:top w:val="nil"/>
              <w:left w:val="nil"/>
              <w:bottom w:val="single" w:color="auto" w:sz="4" w:space="0"/>
              <w:right w:val="single" w:color="auto" w:sz="4" w:space="0"/>
            </w:tcBorders>
            <w:shd w:val="clear" w:color="auto" w:fill="auto"/>
            <w:vAlign w:val="center"/>
          </w:tcPr>
          <w:p>
            <w:pPr>
              <w:adjustRightInd w:val="0"/>
              <w:snapToGrid w:val="0"/>
              <w:spacing w:line="240" w:lineRule="atLeast"/>
              <w:rPr>
                <w:rFonts w:asciiTheme="minorHAnsi" w:hAnsiTheme="minorHAnsi"/>
                <w:sz w:val="20"/>
                <w:szCs w:val="20"/>
              </w:rPr>
            </w:pPr>
            <w:r>
              <w:rPr>
                <w:rFonts w:asciiTheme="minorHAnsi" w:hAnsiTheme="minorHAnsi"/>
                <w:sz w:val="20"/>
                <w:szCs w:val="20"/>
              </w:rPr>
              <w:t>100</w:t>
            </w:r>
          </w:p>
        </w:tc>
        <w:tc>
          <w:tcPr>
            <w:tcW w:w="1816"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hAnsiTheme="minorHAnsi"/>
                <w:sz w:val="20"/>
                <w:szCs w:val="20"/>
              </w:rPr>
              <w:t>94</w:t>
            </w:r>
          </w:p>
        </w:tc>
      </w:tr>
      <w:tr>
        <w:tblPrEx>
          <w:tblCellMar>
            <w:top w:w="0" w:type="dxa"/>
            <w:left w:w="108" w:type="dxa"/>
            <w:bottom w:w="0" w:type="dxa"/>
            <w:right w:w="108" w:type="dxa"/>
          </w:tblCellMar>
        </w:tblPrEx>
        <w:trPr>
          <w:trHeight w:val="750" w:hRule="atLeast"/>
          <w:jc w:val="center"/>
        </w:trPr>
        <w:tc>
          <w:tcPr>
            <w:tcW w:w="67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自评</w:t>
            </w:r>
            <w:r>
              <w:rPr>
                <w:rFonts w:asciiTheme="minorHAnsi" w:hAnsiTheme="minorHAnsi"/>
                <w:color w:val="000000"/>
                <w:sz w:val="20"/>
                <w:szCs w:val="20"/>
              </w:rPr>
              <w:br w:type="textWrapping"/>
            </w:r>
            <w:r>
              <w:rPr>
                <w:rFonts w:asciiTheme="minorHAnsi"/>
                <w:color w:val="000000"/>
                <w:sz w:val="20"/>
                <w:szCs w:val="20"/>
              </w:rPr>
              <w:t>结论</w:t>
            </w:r>
          </w:p>
        </w:tc>
        <w:tc>
          <w:tcPr>
            <w:tcW w:w="5670" w:type="dxa"/>
            <w:gridSpan w:val="3"/>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color w:val="000000"/>
                <w:sz w:val="20"/>
                <w:szCs w:val="20"/>
              </w:rPr>
            </w:pPr>
            <w:r>
              <w:rPr>
                <w:rFonts w:asciiTheme="minorHAnsi"/>
                <w:color w:val="000000"/>
                <w:sz w:val="20"/>
                <w:szCs w:val="20"/>
              </w:rPr>
              <w:t>优■</w:t>
            </w:r>
            <w:r>
              <w:rPr>
                <w:rFonts w:asciiTheme="minorHAnsi" w:hAnsiTheme="minorHAnsi"/>
                <w:color w:val="000000"/>
                <w:sz w:val="20"/>
                <w:szCs w:val="20"/>
              </w:rPr>
              <w:t xml:space="preserve">      </w:t>
            </w:r>
            <w:r>
              <w:rPr>
                <w:rFonts w:asciiTheme="minorHAnsi"/>
                <w:color w:val="000000"/>
                <w:sz w:val="20"/>
                <w:szCs w:val="20"/>
              </w:rPr>
              <w:t>良</w:t>
            </w:r>
            <w:r>
              <w:rPr>
                <w:rFonts w:asciiTheme="minorHAnsi" w:hAnsiTheme="minorHAnsi"/>
                <w:color w:val="000000"/>
                <w:sz w:val="20"/>
                <w:szCs w:val="20"/>
              </w:rPr>
              <w:t xml:space="preserve">R      </w:t>
            </w:r>
            <w:r>
              <w:rPr>
                <w:rFonts w:asciiTheme="minorHAnsi"/>
                <w:color w:val="000000"/>
                <w:sz w:val="20"/>
                <w:szCs w:val="20"/>
              </w:rPr>
              <w:t>中</w:t>
            </w:r>
            <w:r>
              <w:rPr>
                <w:rFonts w:asciiTheme="minorHAnsi" w:hAnsiTheme="minorHAnsi"/>
                <w:color w:val="000000"/>
                <w:sz w:val="20"/>
                <w:szCs w:val="20"/>
              </w:rPr>
              <w:t xml:space="preserve">□    </w:t>
            </w:r>
            <w:r>
              <w:rPr>
                <w:rFonts w:asciiTheme="minorHAnsi"/>
                <w:color w:val="000000"/>
                <w:sz w:val="20"/>
                <w:szCs w:val="20"/>
              </w:rPr>
              <w:t>差</w:t>
            </w:r>
            <w:r>
              <w:rPr>
                <w:rFonts w:asciiTheme="minorHAnsi" w:hAnsiTheme="minorHAnsi"/>
                <w:color w:val="000000"/>
                <w:sz w:val="20"/>
                <w:szCs w:val="20"/>
              </w:rPr>
              <w:t>□</w:t>
            </w:r>
          </w:p>
        </w:tc>
        <w:tc>
          <w:tcPr>
            <w:tcW w:w="2950" w:type="dxa"/>
            <w:gridSpan w:val="3"/>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240" w:lineRule="atLeast"/>
              <w:jc w:val="center"/>
              <w:rPr>
                <w:rFonts w:asciiTheme="minorHAnsi" w:hAnsiTheme="minorHAnsi"/>
                <w:sz w:val="20"/>
                <w:szCs w:val="20"/>
              </w:rPr>
            </w:pPr>
            <w:r>
              <w:rPr>
                <w:rFonts w:asciiTheme="minorHAnsi"/>
                <w:sz w:val="20"/>
                <w:szCs w:val="20"/>
              </w:rPr>
              <w:t>总分高于</w:t>
            </w:r>
            <w:r>
              <w:rPr>
                <w:rFonts w:asciiTheme="minorHAnsi" w:hAnsiTheme="minorHAnsi"/>
                <w:sz w:val="20"/>
                <w:szCs w:val="20"/>
              </w:rPr>
              <w:t>90</w:t>
            </w:r>
            <w:r>
              <w:rPr>
                <w:rFonts w:asciiTheme="minorHAnsi"/>
                <w:sz w:val="20"/>
                <w:szCs w:val="20"/>
              </w:rPr>
              <w:t>分（含）的结论为</w:t>
            </w:r>
            <w:r>
              <w:rPr>
                <w:rFonts w:asciiTheme="minorHAnsi" w:hAnsiTheme="minorHAnsi"/>
                <w:sz w:val="20"/>
                <w:szCs w:val="20"/>
              </w:rPr>
              <w:t>“</w:t>
            </w:r>
            <w:r>
              <w:rPr>
                <w:rFonts w:asciiTheme="minorHAnsi"/>
                <w:sz w:val="20"/>
                <w:szCs w:val="20"/>
              </w:rPr>
              <w:t>优</w:t>
            </w:r>
            <w:r>
              <w:rPr>
                <w:rFonts w:asciiTheme="minorHAnsi" w:hAnsiTheme="minorHAnsi"/>
                <w:sz w:val="20"/>
                <w:szCs w:val="20"/>
              </w:rPr>
              <w:t>”</w:t>
            </w:r>
            <w:r>
              <w:rPr>
                <w:rFonts w:asciiTheme="minorHAnsi"/>
                <w:sz w:val="20"/>
                <w:szCs w:val="20"/>
              </w:rPr>
              <w:t>，</w:t>
            </w:r>
            <w:r>
              <w:rPr>
                <w:rFonts w:asciiTheme="minorHAnsi" w:hAnsiTheme="minorHAnsi"/>
                <w:sz w:val="20"/>
                <w:szCs w:val="20"/>
              </w:rPr>
              <w:t>90</w:t>
            </w:r>
            <w:r>
              <w:rPr>
                <w:rFonts w:asciiTheme="minorHAnsi"/>
                <w:sz w:val="20"/>
                <w:szCs w:val="20"/>
              </w:rPr>
              <w:t>～</w:t>
            </w:r>
            <w:r>
              <w:rPr>
                <w:rFonts w:asciiTheme="minorHAnsi" w:hAnsiTheme="minorHAnsi"/>
                <w:sz w:val="20"/>
                <w:szCs w:val="20"/>
              </w:rPr>
              <w:t>80</w:t>
            </w:r>
            <w:r>
              <w:rPr>
                <w:rFonts w:asciiTheme="minorHAnsi"/>
                <w:sz w:val="20"/>
                <w:szCs w:val="20"/>
              </w:rPr>
              <w:t>分（含）为</w:t>
            </w:r>
            <w:r>
              <w:rPr>
                <w:rFonts w:asciiTheme="minorHAnsi" w:hAnsiTheme="minorHAnsi"/>
                <w:sz w:val="20"/>
                <w:szCs w:val="20"/>
              </w:rPr>
              <w:t>“</w:t>
            </w:r>
            <w:r>
              <w:rPr>
                <w:rFonts w:asciiTheme="minorHAnsi"/>
                <w:sz w:val="20"/>
                <w:szCs w:val="20"/>
              </w:rPr>
              <w:t>良</w:t>
            </w:r>
            <w:r>
              <w:rPr>
                <w:rFonts w:asciiTheme="minorHAnsi" w:hAnsiTheme="minorHAnsi"/>
                <w:sz w:val="20"/>
                <w:szCs w:val="20"/>
              </w:rPr>
              <w:t>”</w:t>
            </w:r>
            <w:r>
              <w:rPr>
                <w:rFonts w:asciiTheme="minorHAnsi"/>
                <w:sz w:val="20"/>
                <w:szCs w:val="20"/>
              </w:rPr>
              <w:t>，</w:t>
            </w:r>
            <w:r>
              <w:rPr>
                <w:rFonts w:asciiTheme="minorHAnsi" w:hAnsiTheme="minorHAnsi"/>
                <w:sz w:val="20"/>
                <w:szCs w:val="20"/>
              </w:rPr>
              <w:t>80</w:t>
            </w:r>
            <w:r>
              <w:rPr>
                <w:rFonts w:asciiTheme="minorHAnsi"/>
                <w:sz w:val="20"/>
                <w:szCs w:val="20"/>
              </w:rPr>
              <w:t>～</w:t>
            </w:r>
            <w:r>
              <w:rPr>
                <w:rFonts w:asciiTheme="minorHAnsi" w:hAnsiTheme="minorHAnsi"/>
                <w:sz w:val="20"/>
                <w:szCs w:val="20"/>
              </w:rPr>
              <w:t>60</w:t>
            </w:r>
            <w:r>
              <w:rPr>
                <w:rFonts w:asciiTheme="minorHAnsi"/>
                <w:sz w:val="20"/>
                <w:szCs w:val="20"/>
              </w:rPr>
              <w:t>分（含）为</w:t>
            </w:r>
            <w:r>
              <w:rPr>
                <w:rFonts w:asciiTheme="minorHAnsi" w:hAnsiTheme="minorHAnsi"/>
                <w:sz w:val="20"/>
                <w:szCs w:val="20"/>
              </w:rPr>
              <w:t>“</w:t>
            </w:r>
            <w:r>
              <w:rPr>
                <w:rFonts w:asciiTheme="minorHAnsi"/>
                <w:sz w:val="20"/>
                <w:szCs w:val="20"/>
              </w:rPr>
              <w:t>中</w:t>
            </w:r>
            <w:r>
              <w:rPr>
                <w:rFonts w:asciiTheme="minorHAnsi" w:hAnsiTheme="minorHAnsi"/>
                <w:sz w:val="20"/>
                <w:szCs w:val="20"/>
              </w:rPr>
              <w:t>”</w:t>
            </w:r>
            <w:r>
              <w:rPr>
                <w:rFonts w:asciiTheme="minorHAnsi"/>
                <w:sz w:val="20"/>
                <w:szCs w:val="20"/>
              </w:rPr>
              <w:t>，低于</w:t>
            </w:r>
            <w:r>
              <w:rPr>
                <w:rFonts w:asciiTheme="minorHAnsi" w:hAnsiTheme="minorHAnsi"/>
                <w:sz w:val="20"/>
                <w:szCs w:val="20"/>
              </w:rPr>
              <w:t>60</w:t>
            </w:r>
            <w:r>
              <w:rPr>
                <w:rFonts w:asciiTheme="minorHAnsi"/>
                <w:sz w:val="20"/>
                <w:szCs w:val="20"/>
              </w:rPr>
              <w:t>分为</w:t>
            </w:r>
            <w:r>
              <w:rPr>
                <w:rFonts w:asciiTheme="minorHAnsi" w:hAnsiTheme="minorHAnsi"/>
                <w:sz w:val="20"/>
                <w:szCs w:val="20"/>
              </w:rPr>
              <w:t>“</w:t>
            </w:r>
            <w:r>
              <w:rPr>
                <w:rFonts w:asciiTheme="minorHAnsi"/>
                <w:sz w:val="20"/>
                <w:szCs w:val="20"/>
              </w:rPr>
              <w:t>差</w:t>
            </w:r>
            <w:r>
              <w:rPr>
                <w:rFonts w:asciiTheme="minorHAnsi" w:hAnsiTheme="minorHAnsi"/>
                <w:sz w:val="20"/>
                <w:szCs w:val="20"/>
              </w:rPr>
              <w:t>”</w:t>
            </w:r>
            <w:r>
              <w:rPr>
                <w:rFonts w:asciiTheme="minorHAnsi"/>
                <w:sz w:val="20"/>
                <w:szCs w:val="20"/>
              </w:rPr>
              <w:t>。</w:t>
            </w:r>
          </w:p>
        </w:tc>
      </w:tr>
    </w:tbl>
    <w:p>
      <w:pPr>
        <w:pStyle w:val="2"/>
        <w:adjustRightInd w:val="0"/>
        <w:spacing w:line="540" w:lineRule="exact"/>
        <w:rPr>
          <w:rFonts w:asciiTheme="minorHAnsi" w:hAnsiTheme="minorHAnsi"/>
        </w:rPr>
      </w:pPr>
    </w:p>
    <w:p>
      <w:pPr>
        <w:adjustRightInd w:val="0"/>
        <w:snapToGrid w:val="0"/>
        <w:spacing w:line="540" w:lineRule="exact"/>
        <w:ind w:firstLine="640"/>
        <w:jc w:val="both"/>
        <w:rPr>
          <w:rFonts w:cs="Arial" w:asciiTheme="minorHAnsi" w:hAnsiTheme="minorHAnsi"/>
          <w:sz w:val="32"/>
          <w:szCs w:val="32"/>
        </w:rPr>
      </w:pPr>
      <w:r>
        <w:rPr>
          <w:rStyle w:val="36"/>
          <w:rFonts w:eastAsia="仿宋" w:cs="Arial" w:asciiTheme="minorHAnsi" w:hAnsiTheme="minorHAnsi"/>
          <w:sz w:val="32"/>
          <w:szCs w:val="32"/>
        </w:rPr>
        <w:t>3.</w:t>
      </w:r>
      <w:r>
        <w:rPr>
          <w:rStyle w:val="36"/>
          <w:rFonts w:hAnsi="仿宋" w:eastAsia="仿宋" w:cs="Arial" w:asciiTheme="minorHAnsi"/>
          <w:sz w:val="32"/>
          <w:szCs w:val="32"/>
        </w:rPr>
        <w:t>财政评价项目绩效评价结果</w:t>
      </w:r>
    </w:p>
    <w:p>
      <w:pPr>
        <w:adjustRightInd w:val="0"/>
        <w:snapToGrid w:val="0"/>
        <w:spacing w:line="540" w:lineRule="exact"/>
        <w:ind w:firstLine="640"/>
        <w:jc w:val="both"/>
        <w:rPr>
          <w:rFonts w:asciiTheme="minorHAnsi" w:hAnsiTheme="minorHAnsi"/>
        </w:rPr>
      </w:pPr>
      <w:r>
        <w:rPr>
          <w:rFonts w:hAnsi="仿宋" w:eastAsia="仿宋" w:cs="Arial" w:asciiTheme="minorHAnsi"/>
          <w:sz w:val="32"/>
          <w:szCs w:val="32"/>
        </w:rPr>
        <w:t>无。</w:t>
      </w:r>
    </w:p>
    <w:p>
      <w:pPr>
        <w:adjustRightInd w:val="0"/>
        <w:snapToGrid w:val="0"/>
        <w:spacing w:line="540" w:lineRule="exact"/>
        <w:ind w:firstLine="640"/>
        <w:jc w:val="both"/>
        <w:rPr>
          <w:rFonts w:cs="Arial" w:asciiTheme="minorHAnsi" w:hAnsiTheme="minorHAnsi"/>
          <w:sz w:val="32"/>
          <w:szCs w:val="32"/>
        </w:rPr>
      </w:pPr>
      <w:r>
        <w:rPr>
          <w:rStyle w:val="36"/>
          <w:rFonts w:eastAsia="仿宋" w:cs="Arial" w:asciiTheme="minorHAnsi" w:hAnsiTheme="minorHAnsi"/>
          <w:sz w:val="32"/>
          <w:szCs w:val="32"/>
        </w:rPr>
        <w:t>4.</w:t>
      </w:r>
      <w:r>
        <w:rPr>
          <w:rStyle w:val="36"/>
          <w:rFonts w:hAnsi="仿宋" w:eastAsia="仿宋" w:cs="Arial" w:asciiTheme="minorHAnsi"/>
          <w:sz w:val="32"/>
          <w:szCs w:val="32"/>
        </w:rPr>
        <w:t>部门评价项目绩效评价结果</w:t>
      </w:r>
    </w:p>
    <w:p>
      <w:pPr>
        <w:adjustRightInd w:val="0"/>
        <w:snapToGrid w:val="0"/>
        <w:spacing w:line="540" w:lineRule="exact"/>
        <w:ind w:firstLine="640"/>
        <w:jc w:val="both"/>
        <w:rPr>
          <w:rFonts w:hAnsi="仿宋" w:eastAsia="仿宋" w:cs="Arial" w:asciiTheme="minorHAnsi"/>
          <w:sz w:val="32"/>
          <w:szCs w:val="32"/>
        </w:rPr>
      </w:pPr>
      <w:r>
        <w:rPr>
          <w:rFonts w:hAnsi="仿宋" w:eastAsia="仿宋" w:cs="Arial" w:asciiTheme="minorHAnsi"/>
          <w:sz w:val="32"/>
          <w:szCs w:val="32"/>
        </w:rPr>
        <w:t>组织对本单位开展整体支出绩效评</w:t>
      </w:r>
      <w:r>
        <w:rPr>
          <w:rFonts w:hAnsi="仿宋" w:eastAsia="仿宋" w:cs="Arial" w:asciiTheme="minorHAnsi"/>
          <w:sz w:val="32"/>
          <w:szCs w:val="32"/>
        </w:rPr>
        <w:t>价， 2020年城南镇整体支出绩效评价得为82.7分。评价等级为一般。</w:t>
      </w:r>
    </w:p>
    <w:tbl>
      <w:tblPr>
        <w:tblStyle w:val="13"/>
        <w:tblW w:w="0" w:type="auto"/>
        <w:tblInd w:w="93" w:type="dxa"/>
        <w:tblLayout w:type="fixed"/>
        <w:tblCellMar>
          <w:top w:w="0" w:type="dxa"/>
          <w:left w:w="108" w:type="dxa"/>
          <w:bottom w:w="0" w:type="dxa"/>
          <w:right w:w="108" w:type="dxa"/>
        </w:tblCellMar>
      </w:tblPr>
      <w:tblGrid>
        <w:gridCol w:w="2535"/>
        <w:gridCol w:w="1260"/>
        <w:gridCol w:w="1260"/>
        <w:gridCol w:w="1260"/>
        <w:gridCol w:w="1260"/>
        <w:gridCol w:w="1260"/>
      </w:tblGrid>
      <w:tr>
        <w:tblPrEx>
          <w:tblCellMar>
            <w:top w:w="0" w:type="dxa"/>
            <w:left w:w="108" w:type="dxa"/>
            <w:bottom w:w="0" w:type="dxa"/>
            <w:right w:w="108" w:type="dxa"/>
          </w:tblCellMar>
        </w:tblPrEx>
        <w:trPr>
          <w:trHeight w:val="1024" w:hRule="atLeast"/>
        </w:trPr>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rPr>
              <w:t>评价内容</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rPr>
              <w:t>预算管理</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rPr>
              <w:t>预算</w:t>
            </w:r>
          </w:p>
          <w:p>
            <w:pPr>
              <w:adjustRightInd w:val="0"/>
              <w:snapToGrid w:val="0"/>
              <w:spacing w:line="540" w:lineRule="exact"/>
              <w:jc w:val="center"/>
              <w:rPr>
                <w:rFonts w:asciiTheme="minorHAnsi" w:hAnsiTheme="minorHAnsi"/>
              </w:rPr>
            </w:pPr>
            <w:r>
              <w:rPr>
                <w:rFonts w:asciiTheme="minorHAnsi"/>
              </w:rPr>
              <w:t>执行管理</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rPr>
              <w:t>预算监督</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rPr>
              <w:t>存量资金债务管理</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rPr>
              <w:t>效益管理</w:t>
            </w:r>
          </w:p>
        </w:tc>
      </w:tr>
      <w:tr>
        <w:tblPrEx>
          <w:tblCellMar>
            <w:top w:w="0" w:type="dxa"/>
            <w:left w:w="108" w:type="dxa"/>
            <w:bottom w:w="0" w:type="dxa"/>
            <w:right w:w="108" w:type="dxa"/>
          </w:tblCellMar>
        </w:tblPrEx>
        <w:trPr>
          <w:trHeight w:val="680" w:hRule="atLeast"/>
        </w:trPr>
        <w:tc>
          <w:tcPr>
            <w:tcW w:w="2535" w:type="dxa"/>
            <w:tcBorders>
              <w:top w:val="nil"/>
              <w:left w:val="single" w:color="auto" w:sz="4" w:space="0"/>
              <w:bottom w:val="single" w:color="auto" w:sz="4" w:space="0"/>
              <w:right w:val="single" w:color="auto" w:sz="4" w:space="0"/>
            </w:tcBorders>
            <w:vAlign w:val="center"/>
          </w:tcPr>
          <w:p>
            <w:pPr>
              <w:adjustRightInd w:val="0"/>
              <w:snapToGrid w:val="0"/>
              <w:spacing w:line="540" w:lineRule="exact"/>
              <w:rPr>
                <w:rFonts w:asciiTheme="minorHAnsi" w:hAnsiTheme="minorHAnsi"/>
              </w:rPr>
            </w:pPr>
            <w:r>
              <w:rPr>
                <w:rFonts w:asciiTheme="minorHAnsi"/>
              </w:rPr>
              <w:t>槛分值</w:t>
            </w:r>
          </w:p>
        </w:tc>
        <w:tc>
          <w:tcPr>
            <w:tcW w:w="1260" w:type="dxa"/>
            <w:tcBorders>
              <w:top w:val="nil"/>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hAnsiTheme="minorHAnsi"/>
              </w:rPr>
              <w:t>25</w:t>
            </w:r>
          </w:p>
        </w:tc>
        <w:tc>
          <w:tcPr>
            <w:tcW w:w="1260" w:type="dxa"/>
            <w:tcBorders>
              <w:top w:val="nil"/>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hAnsiTheme="minorHAnsi"/>
              </w:rPr>
              <w:t>23</w:t>
            </w:r>
          </w:p>
        </w:tc>
        <w:tc>
          <w:tcPr>
            <w:tcW w:w="1260" w:type="dxa"/>
            <w:tcBorders>
              <w:top w:val="nil"/>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hAnsiTheme="minorHAnsi"/>
              </w:rPr>
              <w:t>5</w:t>
            </w:r>
          </w:p>
        </w:tc>
        <w:tc>
          <w:tcPr>
            <w:tcW w:w="1260" w:type="dxa"/>
            <w:tcBorders>
              <w:top w:val="nil"/>
              <w:left w:val="single" w:color="auto" w:sz="4" w:space="0"/>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hAnsiTheme="minorHAnsi"/>
              </w:rPr>
              <w:t>12</w:t>
            </w:r>
          </w:p>
        </w:tc>
        <w:tc>
          <w:tcPr>
            <w:tcW w:w="1260" w:type="dxa"/>
            <w:tcBorders>
              <w:top w:val="nil"/>
              <w:left w:val="single" w:color="auto" w:sz="4" w:space="0"/>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hAnsiTheme="minorHAnsi"/>
              </w:rPr>
              <w:t>35</w:t>
            </w:r>
          </w:p>
        </w:tc>
      </w:tr>
      <w:tr>
        <w:tblPrEx>
          <w:tblCellMar>
            <w:top w:w="0" w:type="dxa"/>
            <w:left w:w="108" w:type="dxa"/>
            <w:bottom w:w="0" w:type="dxa"/>
            <w:right w:w="108" w:type="dxa"/>
          </w:tblCellMar>
        </w:tblPrEx>
        <w:trPr>
          <w:trHeight w:val="680" w:hRule="atLeast"/>
        </w:trPr>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rPr>
                <w:rFonts w:asciiTheme="minorHAnsi" w:hAnsiTheme="minorHAnsi"/>
              </w:rPr>
            </w:pPr>
            <w:r>
              <w:rPr>
                <w:rFonts w:asciiTheme="minorHAnsi"/>
              </w:rPr>
              <w:t>评价分</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hAnsiTheme="minorHAnsi"/>
              </w:rPr>
              <w:t>24.8</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hAnsiTheme="minorHAnsi"/>
              </w:rPr>
              <w:t>12.2</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hAnsiTheme="minorHAnsi"/>
              </w:rPr>
              <w:t>4.8</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hAnsiTheme="minorHAnsi"/>
              </w:rPr>
              <w:t>8.6</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hAnsiTheme="minorHAnsi"/>
              </w:rPr>
              <w:t>32.3</w:t>
            </w:r>
          </w:p>
        </w:tc>
      </w:tr>
      <w:tr>
        <w:tblPrEx>
          <w:tblCellMar>
            <w:top w:w="0" w:type="dxa"/>
            <w:left w:w="108" w:type="dxa"/>
            <w:bottom w:w="0" w:type="dxa"/>
            <w:right w:w="108" w:type="dxa"/>
          </w:tblCellMar>
        </w:tblPrEx>
        <w:trPr>
          <w:trHeight w:val="680" w:hRule="atLeast"/>
        </w:trPr>
        <w:tc>
          <w:tcPr>
            <w:tcW w:w="2535" w:type="dxa"/>
            <w:tcBorders>
              <w:top w:val="nil"/>
              <w:left w:val="single" w:color="auto" w:sz="4" w:space="0"/>
              <w:bottom w:val="single" w:color="auto" w:sz="4" w:space="0"/>
              <w:right w:val="single" w:color="auto" w:sz="4" w:space="0"/>
            </w:tcBorders>
            <w:vAlign w:val="center"/>
          </w:tcPr>
          <w:p>
            <w:pPr>
              <w:adjustRightInd w:val="0"/>
              <w:snapToGrid w:val="0"/>
              <w:spacing w:line="540" w:lineRule="exact"/>
              <w:rPr>
                <w:rFonts w:asciiTheme="minorHAnsi" w:hAnsiTheme="minorHAnsi"/>
              </w:rPr>
            </w:pPr>
            <w:r>
              <w:rPr>
                <w:rFonts w:asciiTheme="minorHAnsi"/>
              </w:rPr>
              <w:t>评价分</w:t>
            </w:r>
            <w:r>
              <w:rPr>
                <w:rFonts w:asciiTheme="minorHAnsi" w:hAnsiTheme="minorHAnsi"/>
              </w:rPr>
              <w:t>/</w:t>
            </w:r>
            <w:r>
              <w:rPr>
                <w:rFonts w:asciiTheme="minorHAnsi"/>
              </w:rPr>
              <w:t>槛分值</w:t>
            </w:r>
          </w:p>
        </w:tc>
        <w:tc>
          <w:tcPr>
            <w:tcW w:w="1260" w:type="dxa"/>
            <w:tcBorders>
              <w:top w:val="nil"/>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hAnsiTheme="minorHAnsi"/>
              </w:rPr>
              <w:t>99.2%</w:t>
            </w:r>
          </w:p>
        </w:tc>
        <w:tc>
          <w:tcPr>
            <w:tcW w:w="1260" w:type="dxa"/>
            <w:tcBorders>
              <w:top w:val="nil"/>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hAnsiTheme="minorHAnsi"/>
              </w:rPr>
              <w:t>53.04%</w:t>
            </w:r>
          </w:p>
        </w:tc>
        <w:tc>
          <w:tcPr>
            <w:tcW w:w="1260" w:type="dxa"/>
            <w:tcBorders>
              <w:top w:val="nil"/>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hAnsiTheme="minorHAnsi"/>
              </w:rPr>
              <w:t>96%</w:t>
            </w:r>
          </w:p>
        </w:tc>
        <w:tc>
          <w:tcPr>
            <w:tcW w:w="1260" w:type="dxa"/>
            <w:tcBorders>
              <w:top w:val="nil"/>
              <w:left w:val="single" w:color="auto" w:sz="4" w:space="0"/>
              <w:bottom w:val="single" w:color="auto" w:sz="4" w:space="0"/>
              <w:right w:val="single" w:color="auto" w:sz="4" w:space="0"/>
            </w:tcBorders>
            <w:vAlign w:val="center"/>
          </w:tcPr>
          <w:p>
            <w:pPr>
              <w:adjustRightInd w:val="0"/>
              <w:snapToGrid w:val="0"/>
              <w:spacing w:line="540" w:lineRule="exact"/>
              <w:ind w:right="-108"/>
              <w:jc w:val="center"/>
              <w:rPr>
                <w:rFonts w:asciiTheme="minorHAnsi" w:hAnsiTheme="minorHAnsi"/>
              </w:rPr>
            </w:pPr>
            <w:r>
              <w:rPr>
                <w:rFonts w:asciiTheme="minorHAnsi" w:hAnsiTheme="minorHAnsi"/>
              </w:rPr>
              <w:t>71.67%</w:t>
            </w:r>
          </w:p>
        </w:tc>
        <w:tc>
          <w:tcPr>
            <w:tcW w:w="1260" w:type="dxa"/>
            <w:tcBorders>
              <w:top w:val="nil"/>
              <w:left w:val="single" w:color="auto" w:sz="4" w:space="0"/>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hAnsiTheme="minorHAnsi"/>
              </w:rPr>
              <w:t>92.29%</w:t>
            </w:r>
          </w:p>
        </w:tc>
      </w:tr>
      <w:tr>
        <w:tblPrEx>
          <w:tblCellMar>
            <w:top w:w="0" w:type="dxa"/>
            <w:left w:w="108" w:type="dxa"/>
            <w:bottom w:w="0" w:type="dxa"/>
            <w:right w:w="108" w:type="dxa"/>
          </w:tblCellMar>
        </w:tblPrEx>
        <w:trPr>
          <w:trHeight w:val="680" w:hRule="atLeast"/>
        </w:trPr>
        <w:tc>
          <w:tcPr>
            <w:tcW w:w="2535" w:type="dxa"/>
            <w:tcBorders>
              <w:top w:val="nil"/>
              <w:left w:val="single" w:color="auto" w:sz="4" w:space="0"/>
              <w:bottom w:val="single" w:color="auto" w:sz="4" w:space="0"/>
              <w:right w:val="single" w:color="auto" w:sz="4" w:space="0"/>
            </w:tcBorders>
            <w:vAlign w:val="center"/>
          </w:tcPr>
          <w:p>
            <w:pPr>
              <w:adjustRightInd w:val="0"/>
              <w:snapToGrid w:val="0"/>
              <w:spacing w:line="540" w:lineRule="exact"/>
              <w:rPr>
                <w:rFonts w:asciiTheme="minorHAnsi" w:hAnsiTheme="minorHAnsi"/>
              </w:rPr>
            </w:pPr>
            <w:r>
              <w:rPr>
                <w:rFonts w:asciiTheme="minorHAnsi"/>
              </w:rPr>
              <w:t>评价等级</w:t>
            </w:r>
          </w:p>
        </w:tc>
        <w:tc>
          <w:tcPr>
            <w:tcW w:w="1260" w:type="dxa"/>
            <w:tcBorders>
              <w:top w:val="nil"/>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rPr>
              <w:t>好</w:t>
            </w:r>
          </w:p>
        </w:tc>
        <w:tc>
          <w:tcPr>
            <w:tcW w:w="1260" w:type="dxa"/>
            <w:tcBorders>
              <w:top w:val="nil"/>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rPr>
              <w:t>差</w:t>
            </w:r>
          </w:p>
        </w:tc>
        <w:tc>
          <w:tcPr>
            <w:tcW w:w="1260" w:type="dxa"/>
            <w:tcBorders>
              <w:top w:val="nil"/>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rPr>
              <w:t>好</w:t>
            </w:r>
          </w:p>
        </w:tc>
        <w:tc>
          <w:tcPr>
            <w:tcW w:w="1260" w:type="dxa"/>
            <w:tcBorders>
              <w:top w:val="nil"/>
              <w:left w:val="single" w:color="auto" w:sz="4" w:space="0"/>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rPr>
              <w:t>一般</w:t>
            </w:r>
          </w:p>
        </w:tc>
        <w:tc>
          <w:tcPr>
            <w:tcW w:w="1260" w:type="dxa"/>
            <w:tcBorders>
              <w:top w:val="nil"/>
              <w:left w:val="single" w:color="auto" w:sz="4" w:space="0"/>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rPr>
              <w:t>较好</w:t>
            </w:r>
          </w:p>
        </w:tc>
      </w:tr>
      <w:tr>
        <w:tblPrEx>
          <w:tblCellMar>
            <w:top w:w="0" w:type="dxa"/>
            <w:left w:w="108" w:type="dxa"/>
            <w:bottom w:w="0" w:type="dxa"/>
            <w:right w:w="108" w:type="dxa"/>
          </w:tblCellMar>
        </w:tblPrEx>
        <w:trPr>
          <w:trHeight w:val="680" w:hRule="atLeast"/>
        </w:trPr>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rPr>
                <w:rFonts w:asciiTheme="minorHAnsi" w:hAnsiTheme="minorHAnsi"/>
              </w:rPr>
            </w:pPr>
            <w:r>
              <w:rPr>
                <w:rFonts w:asciiTheme="minorHAnsi"/>
              </w:rPr>
              <w:t>综合得分</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highlight w:val="yellow"/>
              </w:rPr>
            </w:pPr>
            <w:r>
              <w:rPr>
                <w:rFonts w:asciiTheme="minorHAnsi" w:hAnsiTheme="minorHAnsi"/>
              </w:rPr>
              <w:t>82.7</w:t>
            </w:r>
            <w:r>
              <w:rPr>
                <w:rFonts w:asciiTheme="minorHAnsi"/>
              </w:rPr>
              <w:t>分</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540" w:lineRule="exact"/>
              <w:jc w:val="center"/>
              <w:rPr>
                <w:rFonts w:asciiTheme="minorHAnsi" w:hAnsiTheme="minorHAnsi"/>
              </w:rPr>
            </w:pPr>
            <w:r>
              <w:rPr>
                <w:rFonts w:asciiTheme="minorHAnsi"/>
              </w:rPr>
              <w:t>综合等级</w:t>
            </w:r>
          </w:p>
        </w:tc>
        <w:tc>
          <w:tcPr>
            <w:tcW w:w="1260" w:type="dxa"/>
            <w:tcBorders>
              <w:top w:val="single" w:color="auto" w:sz="4" w:space="0"/>
              <w:left w:val="nil"/>
              <w:bottom w:val="single" w:color="auto" w:sz="4" w:space="0"/>
              <w:right w:val="single" w:color="auto" w:sz="4" w:space="0"/>
            </w:tcBorders>
            <w:vAlign w:val="center"/>
          </w:tcPr>
          <w:p>
            <w:pPr>
              <w:adjustRightInd w:val="0"/>
              <w:snapToGrid w:val="0"/>
              <w:spacing w:line="540" w:lineRule="exact"/>
              <w:ind w:firstLine="480" w:firstLineChars="200"/>
              <w:jc w:val="center"/>
              <w:rPr>
                <w:rFonts w:asciiTheme="minorHAnsi" w:hAnsiTheme="minorHAnsi"/>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ind w:firstLine="480" w:firstLineChars="200"/>
              <w:jc w:val="center"/>
              <w:rPr>
                <w:rFonts w:asciiTheme="minorHAnsi" w:hAnsiTheme="minorHAnsi"/>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ind w:firstLine="480" w:firstLineChars="200"/>
              <w:jc w:val="center"/>
              <w:rPr>
                <w:rFonts w:asciiTheme="minorHAnsi" w:hAnsiTheme="minorHAnsi"/>
              </w:rPr>
            </w:pPr>
            <w:r>
              <w:rPr>
                <w:rFonts w:asciiTheme="minorHAnsi"/>
              </w:rPr>
              <w:t>一般</w:t>
            </w:r>
          </w:p>
        </w:tc>
      </w:tr>
    </w:tbl>
    <w:p>
      <w:pPr>
        <w:adjustRightInd w:val="0"/>
        <w:snapToGrid w:val="0"/>
        <w:spacing w:before="240" w:line="540" w:lineRule="exact"/>
        <w:ind w:firstLine="640"/>
        <w:jc w:val="both"/>
        <w:rPr>
          <w:rFonts w:eastAsia="仿宋" w:cs="Arial" w:asciiTheme="minorHAnsi" w:hAnsiTheme="minorHAnsi"/>
          <w:sz w:val="32"/>
          <w:szCs w:val="32"/>
        </w:rPr>
      </w:pPr>
      <w:r>
        <w:rPr>
          <w:rFonts w:hAnsi="仿宋" w:eastAsia="仿宋" w:cs="Arial" w:asciiTheme="minorHAnsi"/>
          <w:sz w:val="32"/>
          <w:szCs w:val="32"/>
        </w:rPr>
        <w:t>详见附件二</w:t>
      </w:r>
      <w:bookmarkStart w:id="0" w:name="_GoBack"/>
      <w:bookmarkEnd w:id="0"/>
    </w:p>
    <w:p>
      <w:pPr>
        <w:adjustRightInd w:val="0"/>
        <w:snapToGrid w:val="0"/>
        <w:spacing w:before="240" w:line="540" w:lineRule="exact"/>
        <w:ind w:firstLine="640"/>
        <w:jc w:val="both"/>
        <w:rPr>
          <w:rFonts w:eastAsia="仿宋" w:asciiTheme="minorHAnsi" w:hAnsiTheme="minorHAnsi"/>
        </w:rPr>
      </w:pPr>
      <w:r>
        <w:rPr>
          <w:rFonts w:hAnsi="仿宋" w:eastAsia="仿宋" w:cs="Arial" w:asciiTheme="minorHAnsi"/>
          <w:sz w:val="32"/>
          <w:szCs w:val="32"/>
        </w:rPr>
        <w:t>四、名词解释</w:t>
      </w:r>
    </w:p>
    <w:p>
      <w:pPr>
        <w:adjustRightInd w:val="0"/>
        <w:snapToGrid w:val="0"/>
        <w:spacing w:before="240" w:line="540" w:lineRule="exact"/>
        <w:ind w:firstLine="641"/>
        <w:jc w:val="both"/>
        <w:rPr>
          <w:rFonts w:eastAsia="仿宋" w:asciiTheme="minorHAnsi" w:hAnsiTheme="minorHAnsi"/>
        </w:rPr>
      </w:pPr>
      <w:r>
        <w:rPr>
          <w:rFonts w:eastAsia="仿宋" w:cs="Arial" w:asciiTheme="minorHAnsi" w:hAnsiTheme="minorHAnsi"/>
          <w:sz w:val="32"/>
          <w:szCs w:val="32"/>
        </w:rPr>
        <w:t>1.</w:t>
      </w:r>
      <w:r>
        <w:rPr>
          <w:rFonts w:hAnsi="仿宋" w:eastAsia="仿宋" w:cs="Arial" w:asciiTheme="minorHAnsi"/>
          <w:sz w:val="32"/>
          <w:szCs w:val="32"/>
        </w:rPr>
        <w:t>财政拨款收入：指本级财政部门当年拨付的财政预算资金，包括一般公共预算财政拨款、政府性基金预算财政拨款和国有资本经预算财政拨款。</w:t>
      </w:r>
    </w:p>
    <w:p>
      <w:pPr>
        <w:adjustRightInd w:val="0"/>
        <w:snapToGrid w:val="0"/>
        <w:spacing w:line="540" w:lineRule="exact"/>
        <w:ind w:firstLine="641"/>
        <w:jc w:val="both"/>
        <w:rPr>
          <w:rFonts w:eastAsia="仿宋" w:asciiTheme="minorHAnsi" w:hAnsiTheme="minorHAnsi"/>
        </w:rPr>
      </w:pPr>
      <w:r>
        <w:rPr>
          <w:rFonts w:eastAsia="仿宋" w:cs="Arial" w:asciiTheme="minorHAnsi" w:hAnsiTheme="minorHAnsi"/>
          <w:sz w:val="32"/>
          <w:szCs w:val="32"/>
        </w:rPr>
        <w:t>2.</w:t>
      </w:r>
      <w:r>
        <w:rPr>
          <w:rFonts w:hAnsi="仿宋" w:eastAsia="仿宋" w:cs="Arial" w:asciiTheme="minorHAnsi"/>
          <w:sz w:val="32"/>
          <w:szCs w:val="32"/>
        </w:rPr>
        <w:t>事业收入：指事业单位开展专业业务活动及辅助活动所取得的收入。</w:t>
      </w:r>
    </w:p>
    <w:p>
      <w:pPr>
        <w:adjustRightInd w:val="0"/>
        <w:snapToGrid w:val="0"/>
        <w:spacing w:line="540" w:lineRule="exact"/>
        <w:ind w:firstLine="641"/>
        <w:jc w:val="both"/>
        <w:rPr>
          <w:rFonts w:eastAsia="仿宋" w:asciiTheme="minorHAnsi" w:hAnsiTheme="minorHAnsi"/>
        </w:rPr>
      </w:pPr>
      <w:r>
        <w:rPr>
          <w:rFonts w:eastAsia="仿宋" w:cs="Arial" w:asciiTheme="minorHAnsi" w:hAnsiTheme="minorHAnsi"/>
          <w:sz w:val="32"/>
          <w:szCs w:val="32"/>
        </w:rPr>
        <w:t>3.</w:t>
      </w:r>
      <w:r>
        <w:rPr>
          <w:rFonts w:hAnsi="仿宋" w:eastAsia="仿宋" w:cs="Arial" w:asciiTheme="minorHAnsi"/>
          <w:sz w:val="32"/>
          <w:szCs w:val="32"/>
        </w:rPr>
        <w:t>经营收入：指事业单位在专业业务活动及辅助活动之外开展非独立核算经营活动取得的收入。</w:t>
      </w:r>
    </w:p>
    <w:p>
      <w:pPr>
        <w:adjustRightInd w:val="0"/>
        <w:snapToGrid w:val="0"/>
        <w:spacing w:line="540" w:lineRule="exact"/>
        <w:ind w:firstLine="641"/>
        <w:jc w:val="both"/>
        <w:rPr>
          <w:rFonts w:eastAsia="仿宋" w:asciiTheme="minorHAnsi" w:hAnsiTheme="minorHAnsi"/>
        </w:rPr>
      </w:pPr>
      <w:r>
        <w:rPr>
          <w:rFonts w:eastAsia="仿宋" w:cs="Arial" w:asciiTheme="minorHAnsi" w:hAnsiTheme="minorHAnsi"/>
          <w:sz w:val="32"/>
          <w:szCs w:val="32"/>
        </w:rPr>
        <w:t>4.</w:t>
      </w:r>
      <w:r>
        <w:rPr>
          <w:rFonts w:hAnsi="仿宋" w:eastAsia="仿宋" w:cs="Arial" w:asciiTheme="minorHAnsi"/>
          <w:sz w:val="32"/>
          <w:szCs w:val="32"/>
        </w:rPr>
        <w:t>上级补助收入：指事业单位从主管部门和上级单位取得的非财政补助收入。</w:t>
      </w:r>
    </w:p>
    <w:p>
      <w:pPr>
        <w:adjustRightInd w:val="0"/>
        <w:snapToGrid w:val="0"/>
        <w:spacing w:line="540" w:lineRule="exact"/>
        <w:ind w:firstLine="641"/>
        <w:jc w:val="both"/>
        <w:rPr>
          <w:rFonts w:eastAsia="仿宋" w:asciiTheme="minorHAnsi" w:hAnsiTheme="minorHAnsi"/>
        </w:rPr>
      </w:pPr>
      <w:r>
        <w:rPr>
          <w:rFonts w:eastAsia="仿宋" w:cs="Arial" w:asciiTheme="minorHAnsi" w:hAnsiTheme="minorHAnsi"/>
          <w:sz w:val="32"/>
          <w:szCs w:val="32"/>
        </w:rPr>
        <w:t>5.</w:t>
      </w:r>
      <w:r>
        <w:rPr>
          <w:rFonts w:hAnsi="仿宋" w:eastAsia="仿宋" w:cs="Arial" w:asciiTheme="minorHAnsi"/>
          <w:sz w:val="32"/>
          <w:szCs w:val="32"/>
        </w:rPr>
        <w:t>附属单位上缴收入：指事业单位附属独立核算单位按照有关规定上缴的收入。</w:t>
      </w:r>
    </w:p>
    <w:p>
      <w:pPr>
        <w:adjustRightInd w:val="0"/>
        <w:snapToGrid w:val="0"/>
        <w:spacing w:line="540" w:lineRule="exact"/>
        <w:ind w:firstLine="641"/>
        <w:jc w:val="both"/>
        <w:rPr>
          <w:rFonts w:eastAsia="仿宋" w:asciiTheme="minorHAnsi" w:hAnsiTheme="minorHAnsi"/>
        </w:rPr>
      </w:pPr>
      <w:r>
        <w:rPr>
          <w:rFonts w:eastAsia="仿宋" w:cs="Arial" w:asciiTheme="minorHAnsi" w:hAnsiTheme="minorHAnsi"/>
          <w:sz w:val="32"/>
          <w:szCs w:val="32"/>
        </w:rPr>
        <w:t>6.</w:t>
      </w:r>
      <w:r>
        <w:rPr>
          <w:rFonts w:hAnsi="仿宋" w:eastAsia="仿宋" w:cs="Arial" w:asciiTheme="minorHAnsi"/>
          <w:sz w:val="32"/>
          <w:szCs w:val="32"/>
        </w:rPr>
        <w:t>其他收入：指预算单位在</w:t>
      </w:r>
      <w:r>
        <w:rPr>
          <w:rFonts w:eastAsia="仿宋" w:cs="Arial" w:asciiTheme="minorHAnsi" w:hAnsiTheme="minorHAnsi"/>
          <w:sz w:val="32"/>
          <w:szCs w:val="32"/>
        </w:rPr>
        <w:t>“</w:t>
      </w:r>
      <w:r>
        <w:rPr>
          <w:rFonts w:hAnsi="仿宋" w:eastAsia="仿宋" w:cs="Arial" w:asciiTheme="minorHAnsi"/>
          <w:sz w:val="32"/>
          <w:szCs w:val="32"/>
        </w:rPr>
        <w:t>财政拨款</w:t>
      </w:r>
      <w:r>
        <w:rPr>
          <w:rFonts w:eastAsia="仿宋" w:cs="Arial" w:asciiTheme="minorHAnsi" w:hAnsiTheme="minorHAnsi"/>
          <w:sz w:val="32"/>
          <w:szCs w:val="32"/>
        </w:rPr>
        <w:t>”</w:t>
      </w:r>
      <w:r>
        <w:rPr>
          <w:rFonts w:hAnsi="仿宋" w:eastAsia="仿宋" w:cs="Arial" w:asciiTheme="minorHAnsi"/>
          <w:sz w:val="32"/>
          <w:szCs w:val="32"/>
        </w:rPr>
        <w:t>、</w:t>
      </w:r>
      <w:r>
        <w:rPr>
          <w:rFonts w:eastAsia="仿宋" w:cs="Arial" w:asciiTheme="minorHAnsi" w:hAnsiTheme="minorHAnsi"/>
          <w:sz w:val="32"/>
          <w:szCs w:val="32"/>
        </w:rPr>
        <w:t>“</w:t>
      </w:r>
      <w:r>
        <w:rPr>
          <w:rFonts w:hAnsi="仿宋" w:eastAsia="仿宋" w:cs="Arial" w:asciiTheme="minorHAnsi"/>
          <w:sz w:val="32"/>
          <w:szCs w:val="32"/>
        </w:rPr>
        <w:t>事业收入</w:t>
      </w:r>
      <w:r>
        <w:rPr>
          <w:rFonts w:eastAsia="仿宋" w:cs="Arial" w:asciiTheme="minorHAnsi" w:hAnsiTheme="minorHAnsi"/>
          <w:sz w:val="32"/>
          <w:szCs w:val="32"/>
        </w:rPr>
        <w:t>”</w:t>
      </w:r>
      <w:r>
        <w:rPr>
          <w:rFonts w:hAnsi="仿宋" w:eastAsia="仿宋" w:cs="Arial" w:asciiTheme="minorHAnsi"/>
          <w:sz w:val="32"/>
          <w:szCs w:val="32"/>
        </w:rPr>
        <w:t>、</w:t>
      </w:r>
      <w:r>
        <w:rPr>
          <w:rFonts w:eastAsia="仿宋" w:cs="Arial" w:asciiTheme="minorHAnsi" w:hAnsiTheme="minorHAnsi"/>
          <w:sz w:val="32"/>
          <w:szCs w:val="32"/>
        </w:rPr>
        <w:t>“</w:t>
      </w:r>
      <w:r>
        <w:rPr>
          <w:rFonts w:hAnsi="仿宋" w:eastAsia="仿宋" w:cs="Arial" w:asciiTheme="minorHAnsi"/>
          <w:sz w:val="32"/>
          <w:szCs w:val="32"/>
        </w:rPr>
        <w:t>经营收入</w:t>
      </w:r>
      <w:r>
        <w:rPr>
          <w:rFonts w:eastAsia="仿宋" w:cs="Arial" w:asciiTheme="minorHAnsi" w:hAnsiTheme="minorHAnsi"/>
          <w:sz w:val="32"/>
          <w:szCs w:val="32"/>
        </w:rPr>
        <w:t>”</w:t>
      </w:r>
      <w:r>
        <w:rPr>
          <w:rFonts w:hAnsi="仿宋" w:eastAsia="仿宋" w:cs="Arial" w:asciiTheme="minorHAnsi"/>
          <w:sz w:val="32"/>
          <w:szCs w:val="32"/>
        </w:rPr>
        <w:t>、</w:t>
      </w:r>
      <w:r>
        <w:rPr>
          <w:rFonts w:eastAsia="仿宋" w:cs="Arial" w:asciiTheme="minorHAnsi" w:hAnsiTheme="minorHAnsi"/>
          <w:sz w:val="32"/>
          <w:szCs w:val="32"/>
        </w:rPr>
        <w:t>“</w:t>
      </w:r>
      <w:r>
        <w:rPr>
          <w:rFonts w:hAnsi="仿宋" w:eastAsia="仿宋" w:cs="Arial" w:asciiTheme="minorHAnsi"/>
          <w:sz w:val="32"/>
          <w:szCs w:val="32"/>
        </w:rPr>
        <w:t>上级补助收入</w:t>
      </w:r>
      <w:r>
        <w:rPr>
          <w:rFonts w:eastAsia="仿宋" w:cs="Arial" w:asciiTheme="minorHAnsi" w:hAnsiTheme="minorHAnsi"/>
          <w:sz w:val="32"/>
          <w:szCs w:val="32"/>
        </w:rPr>
        <w:t>”</w:t>
      </w:r>
      <w:r>
        <w:rPr>
          <w:rFonts w:hAnsi="仿宋" w:eastAsia="仿宋" w:cs="Arial" w:asciiTheme="minorHAnsi"/>
          <w:sz w:val="32"/>
          <w:szCs w:val="32"/>
        </w:rPr>
        <w:t>、</w:t>
      </w:r>
      <w:r>
        <w:rPr>
          <w:rFonts w:eastAsia="仿宋" w:cs="Arial" w:asciiTheme="minorHAnsi" w:hAnsiTheme="minorHAnsi"/>
          <w:sz w:val="32"/>
          <w:szCs w:val="32"/>
        </w:rPr>
        <w:t>“</w:t>
      </w:r>
      <w:r>
        <w:rPr>
          <w:rFonts w:hAnsi="仿宋" w:eastAsia="仿宋" w:cs="Arial" w:asciiTheme="minorHAnsi"/>
          <w:sz w:val="32"/>
          <w:szCs w:val="32"/>
        </w:rPr>
        <w:t>附属单位上缴收入</w:t>
      </w:r>
      <w:r>
        <w:rPr>
          <w:rFonts w:eastAsia="仿宋" w:cs="Arial" w:asciiTheme="minorHAnsi" w:hAnsiTheme="minorHAnsi"/>
          <w:sz w:val="32"/>
          <w:szCs w:val="32"/>
        </w:rPr>
        <w:t>”</w:t>
      </w:r>
      <w:r>
        <w:rPr>
          <w:rFonts w:hAnsi="仿宋" w:eastAsia="仿宋" w:cs="Arial" w:asciiTheme="minorHAnsi"/>
          <w:sz w:val="32"/>
          <w:szCs w:val="32"/>
        </w:rPr>
        <w:t>等之外取得的各项收入。</w:t>
      </w:r>
    </w:p>
    <w:p>
      <w:pPr>
        <w:adjustRightInd w:val="0"/>
        <w:snapToGrid w:val="0"/>
        <w:spacing w:line="540" w:lineRule="exact"/>
        <w:ind w:firstLine="641"/>
        <w:jc w:val="both"/>
        <w:rPr>
          <w:rFonts w:eastAsia="仿宋" w:asciiTheme="minorHAnsi" w:hAnsiTheme="minorHAnsi"/>
        </w:rPr>
      </w:pPr>
      <w:r>
        <w:rPr>
          <w:rFonts w:eastAsia="仿宋" w:cs="Arial" w:asciiTheme="minorHAnsi" w:hAnsiTheme="minorHAnsi"/>
          <w:sz w:val="32"/>
          <w:szCs w:val="32"/>
        </w:rPr>
        <w:t>7.</w:t>
      </w:r>
      <w:r>
        <w:rPr>
          <w:rFonts w:hAnsi="仿宋" w:eastAsia="仿宋" w:cs="Arial" w:asciiTheme="minorHAnsi"/>
          <w:sz w:val="32"/>
          <w:szCs w:val="32"/>
        </w:rPr>
        <w:t>使用非财政拨款结余：指事业单位使用以前年度积累的非财政拨款结余弥补当年收支差额的金额。</w:t>
      </w:r>
    </w:p>
    <w:p>
      <w:pPr>
        <w:adjustRightInd w:val="0"/>
        <w:snapToGrid w:val="0"/>
        <w:spacing w:line="540" w:lineRule="exact"/>
        <w:ind w:firstLine="641"/>
        <w:jc w:val="both"/>
        <w:rPr>
          <w:rFonts w:eastAsia="仿宋" w:asciiTheme="minorHAnsi" w:hAnsiTheme="minorHAnsi"/>
        </w:rPr>
      </w:pPr>
      <w:r>
        <w:rPr>
          <w:rFonts w:eastAsia="仿宋" w:cs="Arial" w:asciiTheme="minorHAnsi" w:hAnsiTheme="minorHAnsi"/>
          <w:sz w:val="32"/>
          <w:szCs w:val="32"/>
        </w:rPr>
        <w:t>8.</w:t>
      </w:r>
      <w:r>
        <w:rPr>
          <w:rFonts w:hAnsi="仿宋" w:eastAsia="仿宋" w:cs="Arial" w:asciiTheme="minorHAnsi"/>
          <w:sz w:val="32"/>
          <w:szCs w:val="32"/>
        </w:rPr>
        <w:t>年初结转和结余：指预算单位以前年度尚未完成、结转到本年仍按原规定用途继续使用的资金。</w:t>
      </w:r>
    </w:p>
    <w:p>
      <w:pPr>
        <w:adjustRightInd w:val="0"/>
        <w:snapToGrid w:val="0"/>
        <w:spacing w:line="540" w:lineRule="exact"/>
        <w:ind w:firstLine="641"/>
        <w:jc w:val="both"/>
        <w:rPr>
          <w:rFonts w:eastAsia="仿宋" w:asciiTheme="minorHAnsi" w:hAnsiTheme="minorHAnsi"/>
        </w:rPr>
      </w:pPr>
      <w:r>
        <w:rPr>
          <w:rFonts w:eastAsia="仿宋" w:cs="Arial" w:asciiTheme="minorHAnsi" w:hAnsiTheme="minorHAnsi"/>
          <w:sz w:val="32"/>
          <w:szCs w:val="32"/>
        </w:rPr>
        <w:t>9.</w:t>
      </w:r>
      <w:r>
        <w:rPr>
          <w:rFonts w:hAnsi="仿宋" w:eastAsia="仿宋" w:cs="Arial" w:asciiTheme="minorHAnsi"/>
          <w:sz w:val="32"/>
          <w:szCs w:val="32"/>
        </w:rPr>
        <w:t>年末结转和结余：指单位按有关规定结转到下年或以后年度继续使用的资金。</w:t>
      </w:r>
    </w:p>
    <w:p>
      <w:pPr>
        <w:adjustRightInd w:val="0"/>
        <w:snapToGrid w:val="0"/>
        <w:spacing w:line="540" w:lineRule="exact"/>
        <w:ind w:firstLine="641"/>
        <w:jc w:val="both"/>
        <w:rPr>
          <w:rFonts w:eastAsia="仿宋" w:asciiTheme="minorHAnsi" w:hAnsiTheme="minorHAnsi"/>
        </w:rPr>
      </w:pPr>
      <w:r>
        <w:rPr>
          <w:rFonts w:eastAsia="仿宋" w:cs="Arial" w:asciiTheme="minorHAnsi" w:hAnsiTheme="minorHAnsi"/>
          <w:sz w:val="32"/>
          <w:szCs w:val="32"/>
        </w:rPr>
        <w:t>10.</w:t>
      </w:r>
      <w:r>
        <w:rPr>
          <w:rFonts w:hAnsi="仿宋" w:eastAsia="仿宋" w:cs="Arial" w:asciiTheme="minorHAnsi"/>
          <w:sz w:val="32"/>
          <w:szCs w:val="32"/>
        </w:rPr>
        <w:t>基本支出：指预算单位为保障其正常运转，完成日常工作任务所发生的支出，包括人员经费支出和日常公用经费支出。</w:t>
      </w:r>
    </w:p>
    <w:p>
      <w:pPr>
        <w:adjustRightInd w:val="0"/>
        <w:snapToGrid w:val="0"/>
        <w:spacing w:line="540" w:lineRule="exact"/>
        <w:ind w:firstLine="641"/>
        <w:jc w:val="both"/>
        <w:rPr>
          <w:rFonts w:eastAsia="仿宋" w:asciiTheme="minorHAnsi" w:hAnsiTheme="minorHAnsi"/>
        </w:rPr>
      </w:pPr>
      <w:r>
        <w:rPr>
          <w:rFonts w:eastAsia="仿宋" w:cs="Arial" w:asciiTheme="minorHAnsi" w:hAnsiTheme="minorHAnsi"/>
          <w:sz w:val="32"/>
          <w:szCs w:val="32"/>
        </w:rPr>
        <w:t>11.</w:t>
      </w:r>
      <w:r>
        <w:rPr>
          <w:rFonts w:hAnsi="仿宋" w:eastAsia="仿宋" w:cs="Arial" w:asciiTheme="minorHAnsi"/>
          <w:sz w:val="32"/>
          <w:szCs w:val="32"/>
        </w:rPr>
        <w:t>项目支出：指预算单位为完成其特定的行政工作任务或事业发展目标所发生的支出。</w:t>
      </w:r>
    </w:p>
    <w:p>
      <w:pPr>
        <w:adjustRightInd w:val="0"/>
        <w:snapToGrid w:val="0"/>
        <w:spacing w:line="540" w:lineRule="exact"/>
        <w:ind w:firstLine="641"/>
        <w:jc w:val="both"/>
        <w:rPr>
          <w:rFonts w:eastAsia="仿宋" w:asciiTheme="minorHAnsi" w:hAnsiTheme="minorHAnsi"/>
        </w:rPr>
      </w:pPr>
      <w:r>
        <w:rPr>
          <w:rFonts w:eastAsia="仿宋" w:cs="Arial" w:asciiTheme="minorHAnsi" w:hAnsiTheme="minorHAnsi"/>
          <w:sz w:val="32"/>
          <w:szCs w:val="32"/>
        </w:rPr>
        <w:t>12.</w:t>
      </w:r>
      <w:r>
        <w:rPr>
          <w:rFonts w:hAnsi="仿宋" w:eastAsia="仿宋" w:cs="Arial" w:asciiTheme="minorHAnsi"/>
          <w:sz w:val="32"/>
          <w:szCs w:val="32"/>
        </w:rPr>
        <w:t>上缴上级支出：填列事业单位按照财政部门和主管部门的规定上缴上级单位的支出。</w:t>
      </w:r>
    </w:p>
    <w:p>
      <w:pPr>
        <w:adjustRightInd w:val="0"/>
        <w:snapToGrid w:val="0"/>
        <w:spacing w:line="540" w:lineRule="exact"/>
        <w:ind w:firstLine="641"/>
        <w:jc w:val="both"/>
        <w:rPr>
          <w:rFonts w:eastAsia="仿宋" w:asciiTheme="minorHAnsi" w:hAnsiTheme="minorHAnsi"/>
        </w:rPr>
      </w:pPr>
      <w:r>
        <w:rPr>
          <w:rFonts w:eastAsia="仿宋" w:cs="Arial" w:asciiTheme="minorHAnsi" w:hAnsiTheme="minorHAnsi"/>
          <w:sz w:val="32"/>
          <w:szCs w:val="32"/>
        </w:rPr>
        <w:t>13.</w:t>
      </w:r>
      <w:r>
        <w:rPr>
          <w:rFonts w:hAnsi="仿宋" w:eastAsia="仿宋" w:cs="Arial" w:asciiTheme="minorHAnsi"/>
          <w:sz w:val="32"/>
          <w:szCs w:val="32"/>
        </w:rPr>
        <w:t>经营支出：指事业单位在专业业务活动及其辅助活动之外开展非独立核算经营活动发生的支出。</w:t>
      </w:r>
    </w:p>
    <w:p>
      <w:pPr>
        <w:adjustRightInd w:val="0"/>
        <w:snapToGrid w:val="0"/>
        <w:spacing w:line="540" w:lineRule="exact"/>
        <w:ind w:firstLine="641"/>
        <w:jc w:val="both"/>
        <w:rPr>
          <w:rFonts w:eastAsia="仿宋" w:asciiTheme="minorHAnsi" w:hAnsiTheme="minorHAnsi"/>
        </w:rPr>
      </w:pPr>
      <w:r>
        <w:rPr>
          <w:rFonts w:eastAsia="仿宋" w:cs="Arial" w:asciiTheme="minorHAnsi" w:hAnsiTheme="minorHAnsi"/>
          <w:sz w:val="32"/>
          <w:szCs w:val="32"/>
        </w:rPr>
        <w:t>14.</w:t>
      </w:r>
      <w:r>
        <w:rPr>
          <w:rFonts w:hAnsi="仿宋" w:eastAsia="仿宋" w:cs="Arial" w:asciiTheme="minorHAnsi"/>
          <w:sz w:val="32"/>
          <w:szCs w:val="32"/>
        </w:rPr>
        <w:t>附属单位补助支出：填列事业单位用财政补助收入之外的收入对附属单位补助发生的支出。</w:t>
      </w:r>
    </w:p>
    <w:p>
      <w:pPr>
        <w:adjustRightInd w:val="0"/>
        <w:snapToGrid w:val="0"/>
        <w:spacing w:line="540" w:lineRule="exact"/>
        <w:ind w:firstLine="641"/>
        <w:jc w:val="both"/>
        <w:rPr>
          <w:rFonts w:eastAsia="仿宋" w:asciiTheme="minorHAnsi" w:hAnsiTheme="minorHAnsi"/>
        </w:rPr>
      </w:pPr>
      <w:r>
        <w:rPr>
          <w:rFonts w:eastAsia="仿宋" w:cs="Arial" w:asciiTheme="minorHAnsi" w:hAnsiTheme="minorHAnsi"/>
          <w:sz w:val="32"/>
          <w:szCs w:val="32"/>
        </w:rPr>
        <w:t>15.“</w:t>
      </w:r>
      <w:r>
        <w:rPr>
          <w:rFonts w:hAnsi="仿宋" w:eastAsia="仿宋" w:cs="Arial" w:asciiTheme="minorHAnsi"/>
          <w:sz w:val="32"/>
          <w:szCs w:val="32"/>
        </w:rPr>
        <w:t>三公</w:t>
      </w:r>
      <w:r>
        <w:rPr>
          <w:rFonts w:eastAsia="仿宋" w:cs="Arial" w:asciiTheme="minorHAnsi" w:hAnsiTheme="minorHAnsi"/>
          <w:sz w:val="32"/>
          <w:szCs w:val="32"/>
        </w:rPr>
        <w:t>”</w:t>
      </w:r>
      <w:r>
        <w:rPr>
          <w:rFonts w:hAnsi="仿宋" w:eastAsia="仿宋" w:cs="Arial" w:asciiTheme="minorHAnsi"/>
          <w:sz w:val="32"/>
          <w:szCs w:val="32"/>
        </w:rPr>
        <w:t>经费：纳入财政预决算管理的</w:t>
      </w:r>
      <w:r>
        <w:rPr>
          <w:rFonts w:eastAsia="仿宋" w:cs="Arial" w:asciiTheme="minorHAnsi" w:hAnsiTheme="minorHAnsi"/>
          <w:sz w:val="32"/>
          <w:szCs w:val="32"/>
        </w:rPr>
        <w:t>“</w:t>
      </w:r>
      <w:r>
        <w:rPr>
          <w:rFonts w:hAnsi="仿宋" w:eastAsia="仿宋" w:cs="Arial" w:asciiTheme="minorHAnsi"/>
          <w:sz w:val="32"/>
          <w:szCs w:val="32"/>
        </w:rPr>
        <w:t>三公</w:t>
      </w:r>
      <w:r>
        <w:rPr>
          <w:rFonts w:eastAsia="仿宋" w:cs="Arial" w:asciiTheme="minorHAnsi" w:hAnsiTheme="minorHAnsi"/>
          <w:sz w:val="32"/>
          <w:szCs w:val="32"/>
        </w:rPr>
        <w:t>”</w:t>
      </w:r>
      <w:r>
        <w:rPr>
          <w:rFonts w:hAnsi="仿宋" w:eastAsia="仿宋" w:cs="Arial" w:asciiTheme="minorHAnsi"/>
          <w:sz w:val="32"/>
          <w:szCs w:val="32"/>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adjustRightInd w:val="0"/>
        <w:snapToGrid w:val="0"/>
        <w:spacing w:line="540" w:lineRule="exact"/>
        <w:ind w:firstLine="641"/>
        <w:jc w:val="both"/>
        <w:rPr>
          <w:rFonts w:eastAsia="仿宋" w:asciiTheme="minorHAnsi" w:hAnsiTheme="minorHAnsi"/>
        </w:rPr>
      </w:pPr>
      <w:r>
        <w:rPr>
          <w:rFonts w:eastAsia="仿宋" w:cs="Arial" w:asciiTheme="minorHAnsi" w:hAnsiTheme="minorHAnsi"/>
          <w:sz w:val="32"/>
          <w:szCs w:val="32"/>
        </w:rPr>
        <w:t>16.</w:t>
      </w:r>
      <w:r>
        <w:rPr>
          <w:rFonts w:hAnsi="仿宋" w:eastAsia="仿宋" w:cs="Arial" w:asciiTheme="minorHAnsi"/>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17.</w:t>
      </w:r>
      <w:r>
        <w:rPr>
          <w:rFonts w:hAnsi="仿宋" w:eastAsia="仿宋" w:asciiTheme="minorHAnsi"/>
          <w:sz w:val="32"/>
          <w:szCs w:val="32"/>
        </w:rPr>
        <w:t>一般公共服务支出（类）人大事务（款）行政运行（项）：指人大事务的基本支出。</w:t>
      </w:r>
    </w:p>
    <w:p>
      <w:pPr>
        <w:adjustRightInd w:val="0"/>
        <w:snapToGrid w:val="0"/>
        <w:spacing w:line="540" w:lineRule="exact"/>
        <w:ind w:firstLine="640"/>
        <w:jc w:val="both"/>
        <w:rPr>
          <w:rFonts w:asciiTheme="minorHAnsi" w:hAnsiTheme="minorHAnsi"/>
        </w:rPr>
      </w:pPr>
      <w:r>
        <w:rPr>
          <w:rFonts w:eastAsia="仿宋" w:cs="Arial" w:asciiTheme="minorHAnsi" w:hAnsiTheme="minorHAnsi"/>
          <w:sz w:val="32"/>
          <w:szCs w:val="32"/>
        </w:rPr>
        <w:t>18.</w:t>
      </w:r>
      <w:r>
        <w:rPr>
          <w:rFonts w:hAnsi="仿宋" w:eastAsia="仿宋" w:asciiTheme="minorHAnsi"/>
          <w:sz w:val="32"/>
          <w:szCs w:val="32"/>
        </w:rPr>
        <w:t>一般公共服务支出（类）政府办公厅（室）及相关机构事务（款）行政运行（项）：指行政单位（包括实行公务员管理的事业单位）的基本支出。</w:t>
      </w:r>
    </w:p>
    <w:p>
      <w:pPr>
        <w:adjustRightInd w:val="0"/>
        <w:snapToGrid w:val="0"/>
        <w:spacing w:line="540" w:lineRule="exact"/>
        <w:ind w:firstLine="640"/>
        <w:jc w:val="both"/>
        <w:rPr>
          <w:rFonts w:asciiTheme="minorHAnsi" w:hAnsiTheme="minorHAnsi"/>
        </w:rPr>
      </w:pPr>
      <w:r>
        <w:rPr>
          <w:rFonts w:eastAsia="仿宋" w:cs="Arial" w:asciiTheme="minorHAnsi" w:hAnsiTheme="minorHAnsi"/>
          <w:sz w:val="32"/>
          <w:szCs w:val="32"/>
        </w:rPr>
        <w:t>19.</w:t>
      </w:r>
      <w:r>
        <w:rPr>
          <w:rFonts w:eastAsia="仿宋" w:asciiTheme="minorHAnsi" w:hAnsiTheme="minorHAnsi"/>
          <w:sz w:val="32"/>
          <w:szCs w:val="32"/>
        </w:rPr>
        <w:t xml:space="preserve"> </w:t>
      </w:r>
      <w:r>
        <w:rPr>
          <w:rFonts w:hAnsi="仿宋" w:eastAsia="仿宋" w:asciiTheme="minorHAnsi"/>
          <w:sz w:val="32"/>
          <w:szCs w:val="32"/>
        </w:rPr>
        <w:t>一般公共服务支出（类）统计信息事务（款）事业运行（项）：指统计管理事务的基本支出。</w:t>
      </w:r>
    </w:p>
    <w:p>
      <w:pPr>
        <w:adjustRightInd w:val="0"/>
        <w:snapToGrid w:val="0"/>
        <w:spacing w:line="540" w:lineRule="exact"/>
        <w:ind w:firstLine="640"/>
        <w:jc w:val="both"/>
        <w:rPr>
          <w:rFonts w:asciiTheme="minorHAnsi" w:hAnsiTheme="minorHAnsi"/>
        </w:rPr>
      </w:pPr>
      <w:r>
        <w:rPr>
          <w:rFonts w:eastAsia="仿宋" w:cs="Arial" w:asciiTheme="minorHAnsi" w:hAnsiTheme="minorHAnsi"/>
          <w:sz w:val="32"/>
          <w:szCs w:val="32"/>
        </w:rPr>
        <w:t>20.</w:t>
      </w:r>
      <w:r>
        <w:rPr>
          <w:rFonts w:hAnsi="仿宋" w:eastAsia="仿宋" w:asciiTheme="minorHAnsi"/>
          <w:sz w:val="32"/>
          <w:szCs w:val="32"/>
        </w:rPr>
        <w:t>一般公共服务支出（类）财政事务（款）行政运行（项）：指财政事务的基本支出。</w:t>
      </w:r>
    </w:p>
    <w:p>
      <w:pPr>
        <w:adjustRightInd w:val="0"/>
        <w:snapToGrid w:val="0"/>
        <w:spacing w:line="540" w:lineRule="exact"/>
        <w:ind w:firstLine="640"/>
        <w:jc w:val="both"/>
        <w:rPr>
          <w:rFonts w:eastAsia="仿宋" w:asciiTheme="minorHAnsi" w:hAnsiTheme="minorHAnsi"/>
          <w:sz w:val="32"/>
          <w:szCs w:val="32"/>
        </w:rPr>
      </w:pPr>
      <w:r>
        <w:rPr>
          <w:rFonts w:eastAsia="仿宋" w:cs="Arial" w:asciiTheme="minorHAnsi" w:hAnsiTheme="minorHAnsi"/>
          <w:sz w:val="32"/>
          <w:szCs w:val="32"/>
        </w:rPr>
        <w:t>21.</w:t>
      </w:r>
      <w:r>
        <w:rPr>
          <w:rFonts w:eastAsia="仿宋" w:asciiTheme="minorHAnsi" w:hAnsiTheme="minorHAnsi"/>
          <w:sz w:val="32"/>
          <w:szCs w:val="32"/>
        </w:rPr>
        <w:t xml:space="preserve"> </w:t>
      </w:r>
      <w:r>
        <w:rPr>
          <w:rFonts w:hAnsi="仿宋" w:eastAsia="仿宋" w:asciiTheme="minorHAnsi"/>
          <w:sz w:val="32"/>
          <w:szCs w:val="32"/>
        </w:rPr>
        <w:t>一般公共服务支出（类）群众团体事务（款）行政运行（项）：指群众团体的基本支出。</w:t>
      </w:r>
    </w:p>
    <w:p>
      <w:pPr>
        <w:adjustRightInd w:val="0"/>
        <w:snapToGrid w:val="0"/>
        <w:spacing w:line="540" w:lineRule="exact"/>
        <w:ind w:firstLine="640"/>
        <w:jc w:val="both"/>
        <w:rPr>
          <w:rFonts w:asciiTheme="minorHAnsi" w:hAnsiTheme="minorHAnsi"/>
        </w:rPr>
      </w:pPr>
      <w:r>
        <w:rPr>
          <w:rFonts w:eastAsia="仿宋" w:cs="Arial" w:asciiTheme="minorHAnsi" w:hAnsiTheme="minorHAnsi"/>
          <w:sz w:val="32"/>
          <w:szCs w:val="32"/>
        </w:rPr>
        <w:t>22.</w:t>
      </w:r>
      <w:r>
        <w:rPr>
          <w:rFonts w:eastAsia="仿宋" w:asciiTheme="minorHAnsi" w:hAnsiTheme="minorHAnsi"/>
          <w:sz w:val="32"/>
          <w:szCs w:val="32"/>
        </w:rPr>
        <w:t xml:space="preserve"> </w:t>
      </w:r>
      <w:r>
        <w:rPr>
          <w:rFonts w:hAnsi="仿宋" w:eastAsia="仿宋" w:asciiTheme="minorHAnsi"/>
          <w:sz w:val="32"/>
          <w:szCs w:val="32"/>
        </w:rPr>
        <w:t>一般公共服务支出（类）党委办公厅（室）及相关机构事务（款）行政运行（项）：指中国共产党事务的基本支出。</w:t>
      </w:r>
    </w:p>
    <w:p>
      <w:pPr>
        <w:adjustRightInd w:val="0"/>
        <w:snapToGrid w:val="0"/>
        <w:spacing w:line="540" w:lineRule="exact"/>
        <w:ind w:firstLine="640"/>
        <w:jc w:val="both"/>
        <w:rPr>
          <w:rFonts w:asciiTheme="minorHAnsi" w:hAnsiTheme="minorHAnsi"/>
        </w:rPr>
      </w:pPr>
      <w:r>
        <w:rPr>
          <w:rFonts w:eastAsia="仿宋" w:cs="Arial" w:asciiTheme="minorHAnsi" w:hAnsiTheme="minorHAnsi"/>
          <w:sz w:val="32"/>
          <w:szCs w:val="32"/>
        </w:rPr>
        <w:t>23.</w:t>
      </w:r>
      <w:r>
        <w:rPr>
          <w:rFonts w:asciiTheme="minorHAnsi" w:hAnsiTheme="minorHAnsi"/>
        </w:rPr>
        <w:t xml:space="preserve"> </w:t>
      </w:r>
      <w:r>
        <w:rPr>
          <w:rFonts w:hAnsi="仿宋" w:eastAsia="仿宋" w:asciiTheme="minorHAnsi"/>
          <w:sz w:val="32"/>
          <w:szCs w:val="32"/>
        </w:rPr>
        <w:t>文化旅游体育与传媒支出（类）文化和旅游（款）群众文化（项）：指群众文化方面的支出。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24.</w:t>
      </w:r>
      <w:r>
        <w:rPr>
          <w:rFonts w:eastAsia="仿宋" w:asciiTheme="minorHAnsi" w:hAnsiTheme="minorHAnsi"/>
          <w:sz w:val="32"/>
          <w:szCs w:val="32"/>
        </w:rPr>
        <w:t xml:space="preserve"> </w:t>
      </w:r>
      <w:r>
        <w:rPr>
          <w:rFonts w:hAnsi="仿宋" w:eastAsia="仿宋" w:asciiTheme="minorHAnsi"/>
          <w:sz w:val="32"/>
          <w:szCs w:val="32"/>
        </w:rPr>
        <w:t>文化旅游体育与传媒支出（类）文化和旅游（款）其他文化和旅游支出（项）：指其他用于文化和旅游方面的支出。</w:t>
      </w:r>
      <w:r>
        <w:rPr>
          <w:rFonts w:eastAsia="仿宋" w:cs="Arial" w:asciiTheme="minorHAnsi" w:hAnsiTheme="minorHAnsi"/>
          <w:sz w:val="32"/>
          <w:szCs w:val="32"/>
        </w:rPr>
        <w:t xml:space="preserve"> </w:t>
      </w:r>
    </w:p>
    <w:p>
      <w:pPr>
        <w:adjustRightInd w:val="0"/>
        <w:snapToGrid w:val="0"/>
        <w:spacing w:line="540" w:lineRule="exact"/>
        <w:ind w:firstLine="640"/>
        <w:jc w:val="both"/>
        <w:rPr>
          <w:rFonts w:asciiTheme="minorHAnsi" w:hAnsiTheme="minorHAnsi"/>
        </w:rPr>
      </w:pPr>
      <w:r>
        <w:rPr>
          <w:rFonts w:eastAsia="仿宋" w:cs="Arial" w:asciiTheme="minorHAnsi" w:hAnsiTheme="minorHAnsi"/>
          <w:sz w:val="32"/>
          <w:szCs w:val="32"/>
        </w:rPr>
        <w:t>25.</w:t>
      </w:r>
      <w:r>
        <w:rPr>
          <w:rFonts w:asciiTheme="minorHAnsi" w:hAnsiTheme="minorHAnsi"/>
        </w:rPr>
        <w:t xml:space="preserve"> </w:t>
      </w:r>
      <w:r>
        <w:rPr>
          <w:rFonts w:hAnsi="仿宋" w:eastAsia="仿宋" w:asciiTheme="minorHAnsi"/>
          <w:sz w:val="32"/>
          <w:szCs w:val="32"/>
        </w:rPr>
        <w:t>社会保障和就业支出（类）人力资源和社会保障管理事务（款）劳动保障监察（项）：指劳动保障监察事务支出。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 xml:space="preserve">26. </w:t>
      </w:r>
      <w:r>
        <w:rPr>
          <w:rFonts w:hAnsi="仿宋" w:eastAsia="仿宋" w:asciiTheme="minorHAnsi"/>
          <w:sz w:val="32"/>
          <w:szCs w:val="32"/>
        </w:rPr>
        <w:t>社会保障和就业支出（类）民政管理事务（款）其他民政管理事务支出（项）：指民政部门接待来访、法制建设、政策宣传方面的支出，以及开展优抚安置、救灾减灾、社会救助、社会福利、婚姻登记、社会事务、信息化建设等专项业务的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27.</w:t>
      </w:r>
      <w:r>
        <w:rPr>
          <w:rFonts w:hAnsi="仿宋" w:eastAsia="仿宋" w:asciiTheme="minorHAnsi"/>
          <w:sz w:val="32"/>
          <w:szCs w:val="32"/>
        </w:rPr>
        <w:t>社会保障和就业支出（类）行政事业单位养老支出（款）行政单位离退休（项）：指未实行归口管理的行政单位（包括实行公务员管理的事业单位）开支的离退休支出。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28.</w:t>
      </w:r>
      <w:r>
        <w:rPr>
          <w:rFonts w:hAnsi="仿宋" w:eastAsia="仿宋" w:asciiTheme="minorHAnsi"/>
          <w:sz w:val="32"/>
          <w:szCs w:val="32"/>
        </w:rPr>
        <w:t>社会保障和就业支出（类）抚恤（款）死亡抚恤（项）：指按规定用于烈士和牺牲、病故人员家属的一次性和定期抚恤金以及丧葬补助费。</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29.</w:t>
      </w:r>
      <w:r>
        <w:rPr>
          <w:rFonts w:hAnsi="仿宋" w:eastAsia="仿宋" w:asciiTheme="minorHAnsi"/>
          <w:sz w:val="32"/>
          <w:szCs w:val="32"/>
        </w:rPr>
        <w:t>社会保障和就业支出（类）抚恤（款）伤残抚恤（项）：指按规定用于伤残人员的抚恤金和按规定开支的各种伤残补助费。</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30.</w:t>
      </w:r>
      <w:r>
        <w:rPr>
          <w:rFonts w:hAnsi="仿宋" w:eastAsia="仿宋" w:asciiTheme="minorHAnsi"/>
          <w:sz w:val="32"/>
          <w:szCs w:val="32"/>
        </w:rPr>
        <w:t>社会保障和就业支出（类）抚恤（款）在乡复员、退伍军人生活补助（项）：指在乡退伍红军老战士、</w:t>
      </w:r>
      <w:r>
        <w:rPr>
          <w:rFonts w:eastAsia="仿宋" w:cs="Arial" w:asciiTheme="minorHAnsi" w:hAnsiTheme="minorHAnsi"/>
          <w:sz w:val="32"/>
          <w:szCs w:val="32"/>
        </w:rPr>
        <w:t>1954</w:t>
      </w:r>
      <w:r>
        <w:rPr>
          <w:rFonts w:hAnsi="仿宋" w:eastAsia="仿宋" w:asciiTheme="minorHAnsi"/>
          <w:sz w:val="32"/>
          <w:szCs w:val="32"/>
        </w:rPr>
        <w:t>年</w:t>
      </w:r>
      <w:r>
        <w:rPr>
          <w:rFonts w:eastAsia="仿宋" w:cs="Arial" w:asciiTheme="minorHAnsi" w:hAnsiTheme="minorHAnsi"/>
          <w:sz w:val="32"/>
          <w:szCs w:val="32"/>
        </w:rPr>
        <w:t>10</w:t>
      </w:r>
      <w:r>
        <w:rPr>
          <w:rFonts w:hAnsi="仿宋" w:eastAsia="仿宋" w:asciiTheme="minorHAnsi"/>
          <w:sz w:val="32"/>
          <w:szCs w:val="32"/>
        </w:rPr>
        <w:t>月</w:t>
      </w:r>
      <w:r>
        <w:rPr>
          <w:rFonts w:eastAsia="仿宋" w:cs="Arial" w:asciiTheme="minorHAnsi" w:hAnsiTheme="minorHAnsi"/>
          <w:sz w:val="32"/>
          <w:szCs w:val="32"/>
        </w:rPr>
        <w:t>31</w:t>
      </w:r>
      <w:r>
        <w:rPr>
          <w:rFonts w:hAnsi="仿宋" w:eastAsia="仿宋" w:asciiTheme="minorHAnsi"/>
          <w:sz w:val="32"/>
          <w:szCs w:val="32"/>
        </w:rPr>
        <w:t>日前入伍的在乡复员军人、按规定办理带病回乡手续的退伍军人生活补助。</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31.</w:t>
      </w:r>
      <w:r>
        <w:rPr>
          <w:rFonts w:hAnsi="仿宋" w:eastAsia="仿宋" w:asciiTheme="minorHAnsi"/>
          <w:sz w:val="32"/>
          <w:szCs w:val="32"/>
        </w:rPr>
        <w:t>社会保障和就业支出（类）抚恤（款）义务兵优待（项）：指用于义务兵优待方面的支出。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32.</w:t>
      </w:r>
      <w:r>
        <w:rPr>
          <w:rFonts w:hAnsi="仿宋" w:eastAsia="仿宋" w:asciiTheme="minorHAnsi"/>
          <w:sz w:val="32"/>
          <w:szCs w:val="32"/>
        </w:rPr>
        <w:t>社会保障和就业支出（类）抚恤（款）农村籍退役士兵老年生活补助（项）：指</w:t>
      </w:r>
      <w:r>
        <w:rPr>
          <w:rFonts w:eastAsia="仿宋" w:cs="Arial" w:asciiTheme="minorHAnsi" w:hAnsiTheme="minorHAnsi"/>
          <w:sz w:val="32"/>
          <w:szCs w:val="32"/>
        </w:rPr>
        <w:t>1954</w:t>
      </w:r>
      <w:r>
        <w:rPr>
          <w:rFonts w:hAnsi="仿宋" w:eastAsia="仿宋" w:asciiTheme="minorHAnsi"/>
          <w:sz w:val="32"/>
          <w:szCs w:val="32"/>
        </w:rPr>
        <w:t>年</w:t>
      </w:r>
      <w:r>
        <w:rPr>
          <w:rFonts w:eastAsia="仿宋" w:cs="Arial" w:asciiTheme="minorHAnsi" w:hAnsiTheme="minorHAnsi"/>
          <w:sz w:val="32"/>
          <w:szCs w:val="32"/>
        </w:rPr>
        <w:t>11</w:t>
      </w:r>
      <w:r>
        <w:rPr>
          <w:rFonts w:hAnsi="仿宋" w:eastAsia="仿宋" w:asciiTheme="minorHAnsi"/>
          <w:sz w:val="32"/>
          <w:szCs w:val="32"/>
        </w:rPr>
        <w:t>月</w:t>
      </w:r>
      <w:r>
        <w:rPr>
          <w:rFonts w:eastAsia="仿宋" w:cs="Arial" w:asciiTheme="minorHAnsi" w:hAnsiTheme="minorHAnsi"/>
          <w:sz w:val="32"/>
          <w:szCs w:val="32"/>
        </w:rPr>
        <w:t>1</w:t>
      </w:r>
      <w:r>
        <w:rPr>
          <w:rFonts w:hAnsi="仿宋" w:eastAsia="仿宋" w:asciiTheme="minorHAnsi"/>
          <w:sz w:val="32"/>
          <w:szCs w:val="32"/>
        </w:rPr>
        <w:t>日试行义务兵役制后至《退役士兵安置条例》实施前入伍、年龄在</w:t>
      </w:r>
      <w:r>
        <w:rPr>
          <w:rFonts w:eastAsia="仿宋" w:cs="Arial" w:asciiTheme="minorHAnsi" w:hAnsiTheme="minorHAnsi"/>
          <w:sz w:val="32"/>
          <w:szCs w:val="32"/>
        </w:rPr>
        <w:t>60</w:t>
      </w:r>
      <w:r>
        <w:rPr>
          <w:rFonts w:hAnsi="仿宋" w:eastAsia="仿宋" w:asciiTheme="minorHAnsi"/>
          <w:sz w:val="32"/>
          <w:szCs w:val="32"/>
        </w:rPr>
        <w:t>周岁以上（含</w:t>
      </w:r>
      <w:r>
        <w:rPr>
          <w:rFonts w:eastAsia="仿宋" w:cs="Arial" w:asciiTheme="minorHAnsi" w:hAnsiTheme="minorHAnsi"/>
          <w:sz w:val="32"/>
          <w:szCs w:val="32"/>
        </w:rPr>
        <w:t>60</w:t>
      </w:r>
      <w:r>
        <w:rPr>
          <w:rFonts w:hAnsi="仿宋" w:eastAsia="仿宋" w:asciiTheme="minorHAnsi"/>
          <w:sz w:val="32"/>
          <w:szCs w:val="32"/>
        </w:rPr>
        <w:t>周岁）、未享受到国家定期抚恤补助的农村籍退役士兵的老年生活补助。</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33.</w:t>
      </w:r>
      <w:r>
        <w:rPr>
          <w:rFonts w:hAnsi="仿宋" w:eastAsia="仿宋" w:asciiTheme="minorHAnsi"/>
          <w:sz w:val="32"/>
          <w:szCs w:val="32"/>
        </w:rPr>
        <w:t>社会保障和就业支出（类）抚恤（款）其他优抚支出（项）：指其他用于优抚方面的支出。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34.</w:t>
      </w:r>
      <w:r>
        <w:rPr>
          <w:rFonts w:hAnsi="仿宋" w:eastAsia="仿宋" w:asciiTheme="minorHAnsi"/>
          <w:sz w:val="32"/>
          <w:szCs w:val="32"/>
        </w:rPr>
        <w:t>社会保障和就业支出（类）退役安置（款）退役士兵安置（项）：指按规定用于伤残义务兵的一次性建房补助，对符合条件的退役士兵、转业士官的安置支出。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35.</w:t>
      </w:r>
      <w:r>
        <w:rPr>
          <w:rFonts w:hAnsi="仿宋" w:eastAsia="仿宋" w:asciiTheme="minorHAnsi"/>
          <w:sz w:val="32"/>
          <w:szCs w:val="32"/>
        </w:rPr>
        <w:t>社会保障和就业支出（类）社会福利（款）儿童福利（项）：指对儿童提供福利服务方面的支出。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36.</w:t>
      </w:r>
      <w:r>
        <w:rPr>
          <w:rFonts w:hAnsi="仿宋" w:eastAsia="仿宋" w:asciiTheme="minorHAnsi"/>
          <w:sz w:val="32"/>
          <w:szCs w:val="32"/>
        </w:rPr>
        <w:t>社会保障和就业支出（类）社会福利（款）老年福利（项）：指对老年人提供福利服务方面的支出。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37.</w:t>
      </w:r>
      <w:r>
        <w:rPr>
          <w:rFonts w:hAnsi="仿宋" w:eastAsia="仿宋" w:asciiTheme="minorHAnsi"/>
          <w:sz w:val="32"/>
          <w:szCs w:val="32"/>
        </w:rPr>
        <w:t>社会保障和就业支出（类）社会福利（款）养老服务（项）：指财政在养老服务方面的补助支出，包括支出养老服务机构提供居家社区养老服务的支出，对养老服务机构的运营、建设补助支出等，不包括对社会福利事业单位的补助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38.</w:t>
      </w:r>
      <w:r>
        <w:rPr>
          <w:rFonts w:hAnsi="仿宋" w:eastAsia="仿宋" w:asciiTheme="minorHAnsi"/>
          <w:sz w:val="32"/>
          <w:szCs w:val="32"/>
        </w:rPr>
        <w:t>社会保障和就业支出（类）社会福利（款）其他社会福利支出（项）：指其他用于社会福利方面的支出。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39.</w:t>
      </w:r>
      <w:r>
        <w:rPr>
          <w:rFonts w:hAnsi="仿宋" w:eastAsia="仿宋" w:asciiTheme="minorHAnsi"/>
          <w:sz w:val="32"/>
          <w:szCs w:val="32"/>
        </w:rPr>
        <w:t>社会保障和就业支出（类）残疾人事业（款）残疾人康复（项）：指残疾人联合会用于残疾人康复方面的支出。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40.</w:t>
      </w:r>
      <w:r>
        <w:rPr>
          <w:rFonts w:hAnsi="仿宋" w:eastAsia="仿宋" w:asciiTheme="minorHAnsi"/>
          <w:sz w:val="32"/>
          <w:szCs w:val="32"/>
        </w:rPr>
        <w:t>社会保障和就业支出（类）残疾人事业（款）残疾人就业和扶贫（项）：指残疾人联合会用于残疾人就业和扶贫方面的支出。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41</w:t>
      </w:r>
      <w:r>
        <w:rPr>
          <w:rFonts w:hAnsi="仿宋" w:eastAsia="仿宋" w:asciiTheme="minorHAnsi"/>
          <w:sz w:val="32"/>
          <w:szCs w:val="32"/>
        </w:rPr>
        <w:t>社会保障和就业支出（类）残疾人事业（款）残疾人生活和护理补贴（项）：指困难残疾人生活补贴和重度残疾人护理补贴支出。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42.</w:t>
      </w:r>
      <w:r>
        <w:rPr>
          <w:rFonts w:hAnsi="仿宋" w:eastAsia="仿宋" w:asciiTheme="minorHAnsi"/>
          <w:sz w:val="32"/>
          <w:szCs w:val="32"/>
        </w:rPr>
        <w:t>社会保障和就业支出（类）残疾人事业（款）其他残疾人事业支出（项）：指其他用于残疾人事业方面的支出。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43.</w:t>
      </w:r>
      <w:r>
        <w:rPr>
          <w:rFonts w:hAnsi="仿宋" w:eastAsia="仿宋" w:asciiTheme="minorHAnsi"/>
          <w:sz w:val="32"/>
          <w:szCs w:val="32"/>
        </w:rPr>
        <w:t>社会保障和就业支出（类）最低生活保障（款）城市最低生活保障金支出（项）：指城市最低生活保障对象的最低生活保障金支出。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44.</w:t>
      </w:r>
      <w:r>
        <w:rPr>
          <w:rFonts w:hAnsi="仿宋" w:eastAsia="仿宋" w:asciiTheme="minorHAnsi"/>
          <w:sz w:val="32"/>
          <w:szCs w:val="32"/>
        </w:rPr>
        <w:t>社会保障和就业支出（类）临时救助（款）临时救助支出（项）：指用于城乡生活困难居民的临时救助支出。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45.</w:t>
      </w:r>
      <w:r>
        <w:rPr>
          <w:rFonts w:hAnsi="仿宋" w:eastAsia="仿宋" w:asciiTheme="minorHAnsi"/>
          <w:sz w:val="32"/>
          <w:szCs w:val="32"/>
        </w:rPr>
        <w:t>社会保障和就业支出（类）特困人员救助供养（款）城市特困人员救助供养支出（项）：指城市特困人员救助供养支出。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46.</w:t>
      </w:r>
      <w:r>
        <w:rPr>
          <w:rFonts w:hAnsi="仿宋" w:eastAsia="仿宋" w:asciiTheme="minorHAnsi"/>
          <w:sz w:val="32"/>
          <w:szCs w:val="32"/>
        </w:rPr>
        <w:t>社会保障和就业支出（类）其他生活救助（款）其他城市生活救助（项）：指用于城市生活困难居民生活救助的其他支出。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47.</w:t>
      </w:r>
      <w:r>
        <w:rPr>
          <w:rFonts w:hAnsi="仿宋" w:eastAsia="仿宋" w:asciiTheme="minorHAnsi"/>
          <w:sz w:val="32"/>
          <w:szCs w:val="32"/>
        </w:rPr>
        <w:t>社会保障和就业支出（类）其他生活救助（款）其他农村生活救助（项）：指用于农村生活困难居民生活救助的其他支出。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48.</w:t>
      </w:r>
      <w:r>
        <w:rPr>
          <w:rFonts w:hAnsi="仿宋" w:eastAsia="仿宋" w:asciiTheme="minorHAnsi"/>
          <w:sz w:val="32"/>
          <w:szCs w:val="32"/>
        </w:rPr>
        <w:t>社会保障和就业支出（类）其他生活救助（款）其他农村生活救助（项）：指用于农村生活困难居民生活救助的其他支出。</w:t>
      </w:r>
    </w:p>
    <w:p>
      <w:pPr>
        <w:adjustRightInd w:val="0"/>
        <w:snapToGrid w:val="0"/>
        <w:spacing w:line="540" w:lineRule="exact"/>
        <w:ind w:firstLine="640" w:firstLineChars="200"/>
        <w:jc w:val="both"/>
        <w:rPr>
          <w:rFonts w:eastAsia="仿宋" w:asciiTheme="minorHAnsi" w:hAnsiTheme="minorHAnsi"/>
          <w:sz w:val="32"/>
          <w:szCs w:val="32"/>
        </w:rPr>
      </w:pPr>
      <w:r>
        <w:rPr>
          <w:rFonts w:eastAsia="仿宋" w:cs="Arial" w:asciiTheme="minorHAnsi" w:hAnsiTheme="minorHAnsi"/>
          <w:sz w:val="32"/>
          <w:szCs w:val="32"/>
        </w:rPr>
        <w:t>49.</w:t>
      </w:r>
      <w:r>
        <w:rPr>
          <w:rFonts w:hAnsi="仿宋" w:eastAsia="仿宋" w:asciiTheme="minorHAnsi"/>
          <w:sz w:val="32"/>
          <w:szCs w:val="32"/>
        </w:rPr>
        <w:t>社会保障和就业支出（类）退役军人管理事务（款）拥军优属（项）：指开展拥军优属活动的支出。</w:t>
      </w:r>
    </w:p>
    <w:p>
      <w:pPr>
        <w:adjustRightInd w:val="0"/>
        <w:snapToGrid w:val="0"/>
        <w:spacing w:line="540" w:lineRule="exact"/>
        <w:ind w:firstLine="640" w:firstLineChars="200"/>
        <w:jc w:val="both"/>
        <w:rPr>
          <w:rFonts w:eastAsia="仿宋" w:cs="Arial" w:asciiTheme="minorHAnsi" w:hAnsiTheme="minorHAnsi"/>
          <w:sz w:val="32"/>
          <w:szCs w:val="32"/>
        </w:rPr>
      </w:pPr>
      <w:r>
        <w:rPr>
          <w:rFonts w:eastAsia="仿宋" w:cs="Arial" w:asciiTheme="minorHAnsi" w:hAnsiTheme="minorHAnsi"/>
          <w:sz w:val="32"/>
          <w:szCs w:val="32"/>
        </w:rPr>
        <w:t>50.</w:t>
      </w:r>
      <w:r>
        <w:rPr>
          <w:rFonts w:hAnsi="仿宋" w:eastAsia="仿宋" w:cs="Arial" w:asciiTheme="minorHAnsi"/>
          <w:sz w:val="32"/>
          <w:szCs w:val="32"/>
        </w:rPr>
        <w:t>社会保障和就业支出（类）社会保障和就业支出（款）其他社会保障和就业支出（项）：指低保居民生活救助、农医保配套支出</w:t>
      </w:r>
    </w:p>
    <w:p>
      <w:pPr>
        <w:adjustRightInd w:val="0"/>
        <w:snapToGrid w:val="0"/>
        <w:spacing w:line="540" w:lineRule="exact"/>
        <w:ind w:firstLine="640"/>
        <w:jc w:val="both"/>
        <w:rPr>
          <w:rFonts w:eastAsia="仿宋" w:asciiTheme="minorHAnsi" w:hAnsiTheme="minorHAnsi"/>
          <w:sz w:val="32"/>
          <w:szCs w:val="32"/>
        </w:rPr>
      </w:pPr>
      <w:r>
        <w:rPr>
          <w:rFonts w:eastAsia="仿宋" w:cs="Arial" w:asciiTheme="minorHAnsi" w:hAnsiTheme="minorHAnsi"/>
          <w:sz w:val="32"/>
          <w:szCs w:val="32"/>
        </w:rPr>
        <w:t>61.</w:t>
      </w:r>
      <w:r>
        <w:rPr>
          <w:rFonts w:eastAsia="仿宋" w:asciiTheme="minorHAnsi" w:hAnsiTheme="minorHAnsi"/>
          <w:sz w:val="32"/>
          <w:szCs w:val="32"/>
        </w:rPr>
        <w:t xml:space="preserve"> </w:t>
      </w:r>
      <w:r>
        <w:rPr>
          <w:rFonts w:hAnsi="仿宋" w:eastAsia="仿宋" w:asciiTheme="minorHAnsi"/>
          <w:sz w:val="32"/>
          <w:szCs w:val="32"/>
        </w:rPr>
        <w:t>卫生健康支出（类）计划生育事务（款）计划生育机构（项）：指计划生育机构的基本支出。</w:t>
      </w:r>
    </w:p>
    <w:p>
      <w:pPr>
        <w:adjustRightInd w:val="0"/>
        <w:snapToGrid w:val="0"/>
        <w:spacing w:line="540" w:lineRule="exact"/>
        <w:ind w:firstLine="640" w:firstLineChars="200"/>
        <w:jc w:val="both"/>
        <w:rPr>
          <w:rFonts w:eastAsia="仿宋" w:asciiTheme="minorHAnsi" w:hAnsiTheme="minorHAnsi"/>
          <w:sz w:val="32"/>
          <w:szCs w:val="32"/>
        </w:rPr>
      </w:pPr>
      <w:r>
        <w:rPr>
          <w:rFonts w:eastAsia="仿宋" w:cs="Arial" w:asciiTheme="minorHAnsi" w:hAnsiTheme="minorHAnsi"/>
          <w:sz w:val="32"/>
          <w:szCs w:val="32"/>
        </w:rPr>
        <w:t>62.</w:t>
      </w:r>
      <w:r>
        <w:rPr>
          <w:rFonts w:hAnsi="仿宋" w:eastAsia="仿宋" w:asciiTheme="minorHAnsi"/>
          <w:sz w:val="32"/>
          <w:szCs w:val="32"/>
        </w:rPr>
        <w:t>卫生健康支出（类）其他卫生健康支出（款）其他卫生健康支出（项）：指其他用于卫生健康方面的支出。</w:t>
      </w:r>
    </w:p>
    <w:p>
      <w:pPr>
        <w:adjustRightInd w:val="0"/>
        <w:snapToGrid w:val="0"/>
        <w:spacing w:line="540" w:lineRule="exact"/>
        <w:ind w:firstLine="640"/>
        <w:jc w:val="both"/>
        <w:rPr>
          <w:rFonts w:eastAsia="仿宋" w:asciiTheme="minorHAnsi" w:hAnsiTheme="minorHAnsi"/>
          <w:sz w:val="32"/>
          <w:szCs w:val="32"/>
        </w:rPr>
      </w:pPr>
      <w:r>
        <w:rPr>
          <w:rFonts w:eastAsia="仿宋" w:asciiTheme="minorHAnsi" w:hAnsiTheme="minorHAnsi"/>
          <w:sz w:val="32"/>
          <w:szCs w:val="32"/>
        </w:rPr>
        <w:t>63.</w:t>
      </w:r>
      <w:r>
        <w:rPr>
          <w:rFonts w:hAnsi="仿宋" w:eastAsia="仿宋" w:asciiTheme="minorHAnsi"/>
          <w:sz w:val="32"/>
          <w:szCs w:val="32"/>
        </w:rPr>
        <w:t>卫生健康支出（类）优抚对象医疗（款）优抚对象医疗补助（项）：指按规定补助优抚对象的医疗经费。</w:t>
      </w:r>
    </w:p>
    <w:p>
      <w:pPr>
        <w:adjustRightInd w:val="0"/>
        <w:snapToGrid w:val="0"/>
        <w:spacing w:line="540" w:lineRule="exact"/>
        <w:ind w:firstLine="640"/>
        <w:jc w:val="both"/>
        <w:rPr>
          <w:rFonts w:eastAsia="仿宋" w:asciiTheme="minorHAnsi" w:hAnsiTheme="minorHAnsi"/>
          <w:sz w:val="32"/>
          <w:szCs w:val="32"/>
        </w:rPr>
      </w:pPr>
      <w:r>
        <w:rPr>
          <w:rFonts w:eastAsia="仿宋" w:asciiTheme="minorHAnsi" w:hAnsiTheme="minorHAnsi"/>
          <w:sz w:val="32"/>
          <w:szCs w:val="32"/>
        </w:rPr>
        <w:t>64.</w:t>
      </w:r>
      <w:r>
        <w:rPr>
          <w:rFonts w:hAnsi="仿宋" w:eastAsia="仿宋" w:asciiTheme="minorHAnsi"/>
          <w:sz w:val="32"/>
          <w:szCs w:val="32"/>
        </w:rPr>
        <w:t>节能环保支出（类）环境保护管理事务（款）其他环境保护管理事务支出（项）：指其他用于境保护管理事务的支出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65.</w:t>
      </w:r>
      <w:r>
        <w:rPr>
          <w:rFonts w:hAnsi="仿宋" w:eastAsia="仿宋" w:asciiTheme="minorHAnsi"/>
          <w:sz w:val="32"/>
          <w:szCs w:val="32"/>
        </w:rPr>
        <w:t>农林水支出（类）农业农村（款）事业运行（项）：农业农村的基本支出。</w:t>
      </w:r>
    </w:p>
    <w:p>
      <w:pPr>
        <w:pStyle w:val="2"/>
        <w:adjustRightInd w:val="0"/>
        <w:spacing w:line="540" w:lineRule="exact"/>
        <w:rPr>
          <w:rFonts w:asciiTheme="minorHAnsi" w:hAnsiTheme="minorHAnsi"/>
        </w:rPr>
      </w:pPr>
      <w:r>
        <w:rPr>
          <w:rFonts w:asciiTheme="minorHAnsi" w:hAnsiTheme="minorHAnsi"/>
        </w:rPr>
        <w:t xml:space="preserve"> </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66.</w:t>
      </w:r>
      <w:r>
        <w:rPr>
          <w:rFonts w:hAnsi="仿宋" w:eastAsia="仿宋" w:cs="Arial" w:asciiTheme="minorHAnsi"/>
          <w:sz w:val="32"/>
          <w:szCs w:val="32"/>
        </w:rPr>
        <w:t>农林水支出（类）农业农村（款）对高校毕业生到基层任职补助（项）：指对高校毕业生到基层任职补助上的支出</w:t>
      </w:r>
    </w:p>
    <w:p>
      <w:pPr>
        <w:adjustRightInd w:val="0"/>
        <w:snapToGrid w:val="0"/>
        <w:spacing w:line="540" w:lineRule="exact"/>
        <w:ind w:firstLine="640"/>
        <w:jc w:val="both"/>
        <w:rPr>
          <w:rFonts w:eastAsia="仿宋" w:asciiTheme="minorHAnsi" w:hAnsiTheme="minorHAnsi"/>
          <w:sz w:val="32"/>
          <w:szCs w:val="32"/>
        </w:rPr>
      </w:pPr>
      <w:r>
        <w:rPr>
          <w:rFonts w:eastAsia="仿宋" w:cs="Arial" w:asciiTheme="minorHAnsi" w:hAnsiTheme="minorHAnsi"/>
          <w:sz w:val="32"/>
          <w:szCs w:val="32"/>
        </w:rPr>
        <w:t>67.</w:t>
      </w:r>
      <w:r>
        <w:rPr>
          <w:rFonts w:hAnsi="仿宋" w:eastAsia="仿宋" w:asciiTheme="minorHAnsi"/>
          <w:sz w:val="32"/>
          <w:szCs w:val="32"/>
        </w:rPr>
        <w:t>农林水支出（类）农业农村（款）其他农业农村支出（项）：指其他用于农业农村方面的支出。</w:t>
      </w:r>
    </w:p>
    <w:p>
      <w:pPr>
        <w:adjustRightInd w:val="0"/>
        <w:snapToGrid w:val="0"/>
        <w:spacing w:line="540" w:lineRule="exact"/>
        <w:ind w:firstLine="640"/>
        <w:jc w:val="both"/>
        <w:rPr>
          <w:rFonts w:asciiTheme="minorHAnsi" w:hAnsiTheme="minorHAnsi"/>
        </w:rPr>
      </w:pPr>
      <w:r>
        <w:rPr>
          <w:rFonts w:eastAsia="仿宋" w:asciiTheme="minorHAnsi" w:hAnsiTheme="minorHAnsi"/>
          <w:sz w:val="32"/>
          <w:szCs w:val="32"/>
        </w:rPr>
        <w:t>68.</w:t>
      </w:r>
      <w:r>
        <w:rPr>
          <w:rFonts w:hAnsi="仿宋" w:eastAsia="仿宋" w:asciiTheme="minorHAnsi"/>
          <w:sz w:val="32"/>
          <w:szCs w:val="32"/>
        </w:rPr>
        <w:t>农林水支出（类）林业和草原（款）其他林业和草原支出（项）：指其他用于林业和草原方面的支出。</w:t>
      </w:r>
    </w:p>
    <w:p>
      <w:pPr>
        <w:adjustRightInd w:val="0"/>
        <w:snapToGrid w:val="0"/>
        <w:spacing w:line="540" w:lineRule="exact"/>
        <w:ind w:firstLine="640"/>
        <w:jc w:val="both"/>
        <w:rPr>
          <w:rFonts w:eastAsia="仿宋" w:asciiTheme="minorHAnsi" w:hAnsiTheme="minorHAnsi"/>
          <w:sz w:val="32"/>
          <w:szCs w:val="32"/>
        </w:rPr>
      </w:pPr>
      <w:r>
        <w:rPr>
          <w:rFonts w:eastAsia="仿宋" w:cs="Arial" w:asciiTheme="minorHAnsi" w:hAnsiTheme="minorHAnsi"/>
          <w:sz w:val="32"/>
          <w:szCs w:val="32"/>
        </w:rPr>
        <w:t>69.</w:t>
      </w:r>
      <w:r>
        <w:rPr>
          <w:rFonts w:hAnsi="仿宋" w:eastAsia="仿宋" w:asciiTheme="minorHAnsi"/>
          <w:sz w:val="32"/>
          <w:szCs w:val="32"/>
        </w:rPr>
        <w:t>农林水支出（类）水利（款）其他水利支出（项）：指其他用于水利方面的支出。</w:t>
      </w:r>
    </w:p>
    <w:p>
      <w:pPr>
        <w:adjustRightInd w:val="0"/>
        <w:snapToGrid w:val="0"/>
        <w:spacing w:line="540" w:lineRule="exact"/>
        <w:ind w:firstLine="640"/>
        <w:jc w:val="both"/>
        <w:rPr>
          <w:rFonts w:eastAsia="仿宋" w:asciiTheme="minorHAnsi" w:hAnsiTheme="minorHAnsi"/>
          <w:sz w:val="32"/>
          <w:szCs w:val="32"/>
        </w:rPr>
      </w:pPr>
      <w:r>
        <w:rPr>
          <w:rFonts w:eastAsia="仿宋" w:cs="Arial" w:asciiTheme="minorHAnsi" w:hAnsiTheme="minorHAnsi"/>
          <w:sz w:val="32"/>
          <w:szCs w:val="32"/>
        </w:rPr>
        <w:t>70.</w:t>
      </w:r>
      <w:r>
        <w:rPr>
          <w:rFonts w:hAnsi="仿宋" w:eastAsia="仿宋" w:cs="Arial" w:asciiTheme="minorHAnsi"/>
          <w:sz w:val="32"/>
          <w:szCs w:val="32"/>
        </w:rPr>
        <w:t>农林水支出（类）扶贫（款）农村基础设施建设（项）</w:t>
      </w:r>
      <w:r>
        <w:rPr>
          <w:rFonts w:hAnsi="仿宋" w:eastAsia="仿宋" w:asciiTheme="minorHAnsi"/>
          <w:sz w:val="32"/>
          <w:szCs w:val="32"/>
        </w:rPr>
        <w:t>：指用于</w:t>
      </w:r>
      <w:r>
        <w:rPr>
          <w:rFonts w:hAnsi="仿宋" w:eastAsia="仿宋" w:cs="Arial" w:asciiTheme="minorHAnsi"/>
          <w:sz w:val="32"/>
          <w:szCs w:val="32"/>
        </w:rPr>
        <w:t>农村基础设施建设</w:t>
      </w:r>
      <w:r>
        <w:rPr>
          <w:rFonts w:hAnsi="仿宋" w:eastAsia="仿宋" w:asciiTheme="minorHAnsi"/>
          <w:sz w:val="32"/>
          <w:szCs w:val="32"/>
        </w:rPr>
        <w:t>的支出。</w:t>
      </w:r>
    </w:p>
    <w:p>
      <w:pPr>
        <w:adjustRightInd w:val="0"/>
        <w:snapToGrid w:val="0"/>
        <w:spacing w:line="540" w:lineRule="exact"/>
        <w:ind w:firstLine="640"/>
        <w:jc w:val="both"/>
        <w:rPr>
          <w:rFonts w:eastAsia="仿宋" w:asciiTheme="minorHAnsi" w:hAnsiTheme="minorHAnsi"/>
          <w:sz w:val="32"/>
          <w:szCs w:val="32"/>
        </w:rPr>
      </w:pPr>
      <w:r>
        <w:rPr>
          <w:rFonts w:eastAsia="仿宋" w:cs="Arial" w:asciiTheme="minorHAnsi" w:hAnsiTheme="minorHAnsi"/>
          <w:sz w:val="32"/>
          <w:szCs w:val="32"/>
        </w:rPr>
        <w:t>71.</w:t>
      </w:r>
      <w:r>
        <w:rPr>
          <w:rFonts w:hAnsi="仿宋" w:eastAsia="仿宋" w:asciiTheme="minorHAnsi"/>
          <w:sz w:val="32"/>
          <w:szCs w:val="32"/>
        </w:rPr>
        <w:t>农林水支出（类）农村综合改革（款）对村级一事一议的补助（项）：指农村税费改革后对村级公益事业建设一事一议的补助支出</w:t>
      </w:r>
    </w:p>
    <w:p>
      <w:pPr>
        <w:adjustRightInd w:val="0"/>
        <w:snapToGrid w:val="0"/>
        <w:spacing w:line="540" w:lineRule="exact"/>
        <w:ind w:firstLine="640"/>
        <w:jc w:val="both"/>
        <w:rPr>
          <w:rFonts w:eastAsia="仿宋" w:asciiTheme="minorHAnsi" w:hAnsiTheme="minorHAnsi"/>
          <w:sz w:val="32"/>
          <w:szCs w:val="32"/>
        </w:rPr>
      </w:pPr>
      <w:r>
        <w:rPr>
          <w:rFonts w:eastAsia="仿宋" w:asciiTheme="minorHAnsi" w:hAnsiTheme="minorHAnsi"/>
          <w:sz w:val="32"/>
          <w:szCs w:val="32"/>
        </w:rPr>
        <w:t>72.</w:t>
      </w:r>
      <w:r>
        <w:rPr>
          <w:rFonts w:hAnsi="仿宋" w:eastAsia="仿宋" w:asciiTheme="minorHAnsi"/>
          <w:sz w:val="32"/>
          <w:szCs w:val="32"/>
        </w:rPr>
        <w:t>农林水支出（类）其他农林水支出（款）其他农林水支出（项）：其他用于农林水方面的支出。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73.</w:t>
      </w:r>
      <w:r>
        <w:rPr>
          <w:rFonts w:hAnsi="仿宋" w:eastAsia="仿宋" w:asciiTheme="minorHAnsi"/>
          <w:sz w:val="32"/>
          <w:szCs w:val="32"/>
        </w:rPr>
        <w:t>资源勘探信息等支出（类）支持中小企业发展和管理支出（款）其他支持中小企业发展和管理支出（项）：指其他用于支持中小企业发展和管理方面的支出。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74.</w:t>
      </w:r>
      <w:r>
        <w:rPr>
          <w:rFonts w:eastAsia="仿宋" w:asciiTheme="minorHAnsi" w:hAnsiTheme="minorHAnsi"/>
          <w:sz w:val="32"/>
          <w:szCs w:val="32"/>
        </w:rPr>
        <w:t xml:space="preserve"> </w:t>
      </w:r>
      <w:r>
        <w:rPr>
          <w:rFonts w:hAnsi="仿宋" w:eastAsia="仿宋" w:asciiTheme="minorHAnsi"/>
          <w:sz w:val="32"/>
          <w:szCs w:val="32"/>
        </w:rPr>
        <w:t>灾害防治及应急管理支出（类）应急管理事务（款）安全监管（项）：指用于安全生产监管方面的支出。。</w:t>
      </w:r>
    </w:p>
    <w:p>
      <w:pPr>
        <w:adjustRightInd w:val="0"/>
        <w:snapToGrid w:val="0"/>
        <w:spacing w:line="540" w:lineRule="exact"/>
        <w:ind w:firstLine="640"/>
        <w:jc w:val="both"/>
        <w:rPr>
          <w:rFonts w:eastAsia="仿宋" w:asciiTheme="minorHAnsi" w:hAnsiTheme="minorHAnsi"/>
          <w:sz w:val="32"/>
          <w:szCs w:val="32"/>
        </w:rPr>
      </w:pPr>
      <w:r>
        <w:rPr>
          <w:rFonts w:eastAsia="仿宋" w:cs="Arial" w:asciiTheme="minorHAnsi" w:hAnsiTheme="minorHAnsi"/>
          <w:sz w:val="32"/>
          <w:szCs w:val="32"/>
        </w:rPr>
        <w:t>75.</w:t>
      </w:r>
      <w:r>
        <w:rPr>
          <w:rFonts w:hAnsi="仿宋" w:eastAsia="仿宋" w:asciiTheme="minorHAnsi"/>
          <w:sz w:val="32"/>
          <w:szCs w:val="32"/>
        </w:rPr>
        <w:t>灾害防治及应急管理支出（类）自然灾害救灾及恢复重建支出（款）其他自然灾害救灾及恢复重建支出（项）：指其他用于自然灾害、灾后恢复重建等方面的支出。</w:t>
      </w:r>
    </w:p>
    <w:p>
      <w:pPr>
        <w:adjustRightInd w:val="0"/>
        <w:snapToGrid w:val="0"/>
        <w:spacing w:line="540" w:lineRule="exact"/>
        <w:ind w:firstLine="640"/>
        <w:jc w:val="both"/>
        <w:rPr>
          <w:rFonts w:eastAsia="仿宋" w:asciiTheme="minorHAnsi" w:hAnsiTheme="minorHAnsi"/>
          <w:sz w:val="32"/>
          <w:szCs w:val="32"/>
        </w:rPr>
      </w:pPr>
      <w:r>
        <w:rPr>
          <w:rFonts w:eastAsia="仿宋" w:asciiTheme="minorHAnsi" w:hAnsiTheme="minorHAnsi"/>
          <w:sz w:val="32"/>
          <w:szCs w:val="32"/>
        </w:rPr>
        <w:t>76.</w:t>
      </w:r>
      <w:r>
        <w:rPr>
          <w:rFonts w:hAnsi="仿宋" w:eastAsia="仿宋" w:asciiTheme="minorHAnsi"/>
          <w:sz w:val="32"/>
          <w:szCs w:val="32"/>
        </w:rPr>
        <w:t>其他支出（类）其他支出（款）其他支出（项）：从年初结余中安排的支出。</w:t>
      </w:r>
    </w:p>
    <w:p>
      <w:pPr>
        <w:adjustRightInd w:val="0"/>
        <w:snapToGrid w:val="0"/>
        <w:spacing w:line="540" w:lineRule="exact"/>
        <w:ind w:firstLine="640"/>
        <w:rPr>
          <w:rFonts w:eastAsia="仿宋" w:cs="Arial" w:asciiTheme="minorHAnsi" w:hAnsiTheme="minorHAnsi"/>
          <w:sz w:val="32"/>
          <w:szCs w:val="32"/>
        </w:rPr>
      </w:pPr>
      <w:r>
        <w:rPr>
          <w:rFonts w:eastAsia="仿宋" w:cs="Arial" w:asciiTheme="minorHAnsi" w:hAnsiTheme="minorHAnsi"/>
          <w:sz w:val="32"/>
          <w:szCs w:val="32"/>
        </w:rPr>
        <w:t>77.</w:t>
      </w:r>
      <w:r>
        <w:rPr>
          <w:rFonts w:hAnsi="仿宋" w:eastAsia="仿宋" w:asciiTheme="minorHAnsi"/>
          <w:sz w:val="32"/>
          <w:szCs w:val="32"/>
        </w:rPr>
        <w:t>城乡社区支出（类）国有土地使用权出让收入的支出（款）土地开发支出（项）。反映从国有土地收益基金中安排用于收购贮备土地需要的前期土地开发性支出以及与前期土地开发相关的费用等支出。</w:t>
      </w:r>
    </w:p>
    <w:p>
      <w:pPr>
        <w:adjustRightInd w:val="0"/>
        <w:snapToGrid w:val="0"/>
        <w:spacing w:line="540" w:lineRule="exact"/>
        <w:ind w:firstLine="640"/>
        <w:rPr>
          <w:rFonts w:eastAsia="仿宋" w:cs="Arial" w:asciiTheme="minorHAnsi" w:hAnsiTheme="minorHAnsi"/>
          <w:sz w:val="32"/>
          <w:szCs w:val="32"/>
        </w:rPr>
      </w:pPr>
      <w:r>
        <w:rPr>
          <w:rFonts w:eastAsia="仿宋" w:cs="Arial" w:asciiTheme="minorHAnsi" w:hAnsiTheme="minorHAnsi"/>
          <w:sz w:val="32"/>
          <w:szCs w:val="32"/>
        </w:rPr>
        <w:t>78.</w:t>
      </w:r>
      <w:r>
        <w:rPr>
          <w:rFonts w:hAnsi="仿宋" w:eastAsia="仿宋" w:asciiTheme="minorHAnsi"/>
          <w:sz w:val="32"/>
          <w:szCs w:val="32"/>
        </w:rPr>
        <w:t>城乡社区支出（类）国有土地使用权出让收入的支出（款）其他国有土地使用权出让收入安排的支出（项）。反映国有土地使用权用于其他方面的公益资本支出。</w:t>
      </w:r>
    </w:p>
    <w:p>
      <w:pPr>
        <w:adjustRightInd w:val="0"/>
        <w:snapToGrid w:val="0"/>
        <w:spacing w:line="540" w:lineRule="exact"/>
        <w:ind w:firstLine="640"/>
        <w:rPr>
          <w:rFonts w:eastAsia="仿宋" w:cs="Arial" w:asciiTheme="minorHAnsi" w:hAnsiTheme="minorHAnsi"/>
          <w:sz w:val="32"/>
          <w:szCs w:val="32"/>
        </w:rPr>
      </w:pPr>
      <w:r>
        <w:rPr>
          <w:rFonts w:eastAsia="仿宋" w:cs="Arial" w:asciiTheme="minorHAnsi" w:hAnsiTheme="minorHAnsi"/>
          <w:sz w:val="32"/>
          <w:szCs w:val="32"/>
        </w:rPr>
        <w:t>79.</w:t>
      </w:r>
      <w:r>
        <w:rPr>
          <w:rFonts w:hAnsi="仿宋" w:eastAsia="仿宋" w:cs="Arial" w:asciiTheme="minorHAnsi"/>
          <w:sz w:val="32"/>
          <w:szCs w:val="32"/>
        </w:rPr>
        <w:t>城乡社区支出（类）城市基础设施配套费及对应专项债务收入安排的支出（款）其他城市基础设施配套费安排的支出（项）。反映其他城市基础设施配套费对应专项债务收入安排的公益性资本支出。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80.</w:t>
      </w:r>
      <w:r>
        <w:rPr>
          <w:rFonts w:hAnsi="仿宋" w:eastAsia="仿宋" w:asciiTheme="minorHAnsi"/>
          <w:sz w:val="32"/>
          <w:szCs w:val="32"/>
        </w:rPr>
        <w:t>其他支出（类）其他政府性基金及对应专项债务收入安排的支出（款）其他政府性基金安排的支出（项）：反映其他政府性基金安排的支出</w:t>
      </w:r>
      <w:r>
        <w:rPr>
          <w:rFonts w:hAnsi="仿宋" w:eastAsia="仿宋" w:cs="Arial" w:asciiTheme="minorHAnsi"/>
          <w:sz w:val="32"/>
          <w:szCs w:val="32"/>
        </w:rPr>
        <w:t>。</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81.</w:t>
      </w:r>
      <w:r>
        <w:rPr>
          <w:rFonts w:hAnsi="仿宋" w:eastAsia="仿宋" w:asciiTheme="minorHAnsi"/>
          <w:sz w:val="32"/>
          <w:szCs w:val="32"/>
        </w:rPr>
        <w:t>其他支出（类）彩票公益金安排的支出（款）用于社会福利的彩票公益金支出（项）：指用于社会福利和社会救助的彩票公益金支出。</w:t>
      </w:r>
    </w:p>
    <w:p>
      <w:pPr>
        <w:adjustRightInd w:val="0"/>
        <w:snapToGrid w:val="0"/>
        <w:spacing w:line="540" w:lineRule="exact"/>
        <w:ind w:firstLine="640"/>
        <w:jc w:val="both"/>
        <w:rPr>
          <w:rFonts w:eastAsia="仿宋" w:cs="Arial" w:asciiTheme="minorHAnsi" w:hAnsiTheme="minorHAnsi"/>
          <w:sz w:val="32"/>
          <w:szCs w:val="32"/>
        </w:rPr>
      </w:pPr>
      <w:r>
        <w:rPr>
          <w:rFonts w:eastAsia="仿宋" w:cs="Arial" w:asciiTheme="minorHAnsi" w:hAnsiTheme="minorHAnsi"/>
          <w:sz w:val="32"/>
          <w:szCs w:val="32"/>
        </w:rPr>
        <w:t>82.</w:t>
      </w:r>
      <w:r>
        <w:rPr>
          <w:rFonts w:hAnsi="仿宋" w:eastAsia="仿宋" w:asciiTheme="minorHAnsi"/>
          <w:sz w:val="32"/>
          <w:szCs w:val="32"/>
        </w:rPr>
        <w:t>其他支出（类）彩票公益金安排的支出（款）用于残疾人事业的彩票公益金支出（项）：指用于残疾人事业的彩票公益金支出。</w:t>
      </w:r>
    </w:p>
    <w:sectPr>
      <w:footerReference r:id="rId3" w:type="default"/>
      <w:pgSz w:w="11915" w:h="16840"/>
      <w:pgMar w:top="1418" w:right="1418" w:bottom="1021" w:left="1418" w:header="851" w:footer="992" w:gutter="0"/>
      <w:pgNumType w:start="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00000287" w:usb1="00000000" w:usb2="00000000" w:usb3="00000000" w:csb0="2000019F" w:csb1="00000000"/>
  </w:font>
  <w:font w:name="Courier New">
    <w:panose1 w:val="02070309020205020404"/>
    <w:charset w:val="00"/>
    <w:family w:val="modern"/>
    <w:pitch w:val="default"/>
    <w:sig w:usb0="00007A87" w:usb1="80000000" w:usb2="00000008" w:usb3="00000000" w:csb0="400001FF" w:csb1="FFFF0000"/>
  </w:font>
  <w:font w:name="等线">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21441"/>
      <w:docPartObj>
        <w:docPartGallery w:val="AutoText"/>
      </w:docPartObj>
    </w:sdtPr>
    <w:sdtContent>
      <w:p>
        <w:pPr>
          <w:pStyle w:val="9"/>
          <w:jc w:val="right"/>
        </w:pPr>
        <w:r>
          <w:fldChar w:fldCharType="begin"/>
        </w:r>
        <w:r>
          <w:instrText xml:space="preserve"> PAGE   \* MERGEFORMAT </w:instrText>
        </w:r>
        <w:r>
          <w:fldChar w:fldCharType="separate"/>
        </w:r>
        <w:r>
          <w:rPr>
            <w:lang w:val="zh-CN"/>
          </w:rPr>
          <w:t>0</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1D1"/>
    <w:multiLevelType w:val="multilevel"/>
    <w:tmpl w:val="067E31D1"/>
    <w:lvl w:ilvl="0" w:tentative="0">
      <w:start w:val="3"/>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doNotCompress"/>
  <w:compat>
    <w:useFELayout/>
    <w:compatSetting w:name="compatibilityMode" w:uri="http://schemas.microsoft.com/office/word" w:val="12"/>
  </w:compat>
  <w:rsids>
    <w:rsidRoot w:val="00064625"/>
    <w:rsid w:val="00034933"/>
    <w:rsid w:val="00064625"/>
    <w:rsid w:val="001F0A0F"/>
    <w:rsid w:val="00344AA5"/>
    <w:rsid w:val="00410EE4"/>
    <w:rsid w:val="0045633F"/>
    <w:rsid w:val="00625262"/>
    <w:rsid w:val="006D0E07"/>
    <w:rsid w:val="00863D65"/>
    <w:rsid w:val="00901FB2"/>
    <w:rsid w:val="00934929"/>
    <w:rsid w:val="009C6FA8"/>
    <w:rsid w:val="00BB16C0"/>
    <w:rsid w:val="00DC5D96"/>
    <w:rsid w:val="00E00D8D"/>
    <w:rsid w:val="5B1F2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semiHidden="0" w:name="index 1"/>
    <w:lsdException w:uiPriority="99" w:semiHidden="0" w:name="index 2"/>
    <w:lsdException w:uiPriority="99" w:semiHidden="0" w:name="index 3"/>
    <w:lsdException w:uiPriority="99" w:semiHidden="0" w:name="index 4"/>
    <w:lsdException w:uiPriority="99" w:semiHidden="0" w:name="index 5"/>
    <w:lsdException w:uiPriority="99" w:semiHidden="0" w:name="index 6"/>
    <w:lsdException w:uiPriority="99" w:semiHidden="0" w:name="index 7"/>
    <w:lsdException w:uiPriority="99" w:semiHidden="0" w:name="index 8"/>
    <w:lsdException w:uiPriority="99"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semiHidden="0" w:name="Normal Indent"/>
    <w:lsdException w:qFormat="1" w:unhideWhenUsed="0" w:uiPriority="0" w:semiHidden="0" w:name="footnote text"/>
    <w:lsdException w:uiPriority="99" w:semiHidden="0" w:name="annotation text"/>
    <w:lsdException w:uiPriority="99" w:name="header"/>
    <w:lsdException w:uiPriority="99" w:semiHidden="0" w:name="footer"/>
    <w:lsdException w:uiPriority="99" w:semiHidden="0" w:name="index heading"/>
    <w:lsdException w:qFormat="1" w:uiPriority="35" w:name="caption"/>
    <w:lsdException w:uiPriority="99" w:semiHidden="0" w:name="table of figures"/>
    <w:lsdException w:uiPriority="99" w:semiHidden="0" w:name="envelope address"/>
    <w:lsdException w:uiPriority="99" w:semiHidden="0" w:name="envelope return"/>
    <w:lsdException w:uiPriority="99" w:semiHidden="0" w:name="footnote reference"/>
    <w:lsdException w:uiPriority="99" w:semiHidden="0" w:name="annotation reference"/>
    <w:lsdException w:uiPriority="99" w:semiHidden="0" w:name="line number"/>
    <w:lsdException w:uiPriority="99" w:semiHidden="0" w:name="page number"/>
    <w:lsdException w:uiPriority="99" w:semiHidden="0" w:name="endnote reference"/>
    <w:lsdException w:uiPriority="99" w:semiHidden="0" w:name="endnote text"/>
    <w:lsdException w:uiPriority="99" w:semiHidden="0" w:name="table of authorities"/>
    <w:lsdException w:uiPriority="99" w:semiHidden="0" w:name="macro"/>
    <w:lsdException w:uiPriority="99" w:semiHidden="0"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semiHidden="0" w:name="List 4"/>
    <w:lsdException w:uiPriority="99" w:semiHidden="0" w:name="List 5"/>
    <w:lsdException w:uiPriority="99" w:semiHidden="0" w:name="List Bullet 2"/>
    <w:lsdException w:uiPriority="99" w:semiHidden="0" w:name="List Bullet 3"/>
    <w:lsdException w:uiPriority="99" w:semiHidden="0" w:name="List Bullet 4"/>
    <w:lsdException w:uiPriority="99" w:semiHidden="0" w:name="List Bullet 5"/>
    <w:lsdException w:uiPriority="99" w:semiHidden="0" w:name="List Number 2"/>
    <w:lsdException w:uiPriority="99" w:semiHidden="0" w:name="List Number 3"/>
    <w:lsdException w:uiPriority="99" w:semiHidden="0" w:name="List Number 4"/>
    <w:lsdException w:uiPriority="99" w:semiHidden="0" w:name="List Number 5"/>
    <w:lsdException w:qFormat="1" w:unhideWhenUsed="0" w:uiPriority="10" w:semiHidden="0" w:name="Title"/>
    <w:lsdException w:uiPriority="99" w:semiHidden="0" w:name="Closing"/>
    <w:lsdException w:uiPriority="99" w:semiHidden="0" w:name="Signature"/>
    <w:lsdException w:uiPriority="1" w:name="Default Paragraph Font"/>
    <w:lsdException w:uiPriority="99" w:semiHidden="0" w:name="Body Text"/>
    <w:lsdException w:uiPriority="99" w:semiHidden="0" w:name="Body Text Indent"/>
    <w:lsdException w:uiPriority="99" w:semiHidden="0" w:name="List Continue"/>
    <w:lsdException w:uiPriority="99" w:semiHidden="0" w:name="List Continue 2"/>
    <w:lsdException w:uiPriority="99" w:semiHidden="0" w:name="List Continue 3"/>
    <w:lsdException w:uiPriority="99" w:semiHidden="0" w:name="List Continue 4"/>
    <w:lsdException w:uiPriority="99" w:semiHidden="0" w:name="List Continue 5"/>
    <w:lsdException w:uiPriority="99" w:semiHidden="0" w:name="Message Header"/>
    <w:lsdException w:qFormat="1" w:unhideWhenUsed="0" w:uiPriority="11" w:semiHidden="0" w:name="Subtitle"/>
    <w:lsdException w:uiPriority="99" w:semiHidden="0" w:name="Salutation"/>
    <w:lsdException w:uiPriority="99" w:semiHidden="0" w:name="Date"/>
    <w:lsdException w:uiPriority="99" w:semiHidden="0" w:name="Body Text First Indent"/>
    <w:lsdException w:uiPriority="99" w:semiHidden="0" w:name="Body Text First Indent 2"/>
    <w:lsdException w:uiPriority="99" w:semiHidden="0" w:name="Note Heading"/>
    <w:lsdException w:uiPriority="99" w:semiHidden="0" w:name="Body Text 2"/>
    <w:lsdException w:uiPriority="99" w:semiHidden="0" w:name="Body Text 3"/>
    <w:lsdException w:uiPriority="99" w:semiHidden="0" w:name="Body Text Indent 2"/>
    <w:lsdException w:uiPriority="99" w:semiHidden="0" w:name="Body Text Indent 3"/>
    <w:lsdException w:uiPriority="99" w:semiHidden="0"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semiHidden="0" w:name="Document Map"/>
    <w:lsdException w:uiPriority="99" w:semiHidden="0" w:name="Plain Text"/>
    <w:lsdException w:uiPriority="99" w:semiHidden="0" w:name="E-mail Signature"/>
    <w:lsdException w:uiPriority="99" w:name="Normal (Web)"/>
    <w:lsdException w:uiPriority="99" w:semiHidden="0" w:name="HTML Acronym"/>
    <w:lsdException w:uiPriority="99" w:semiHidden="0" w:name="HTML Address"/>
    <w:lsdException w:uiPriority="99" w:semiHidden="0" w:name="HTML Cite"/>
    <w:lsdException w:uiPriority="99" w:semiHidden="0" w:name="HTML Code"/>
    <w:lsdException w:uiPriority="99" w:semiHidden="0" w:name="HTML Definition"/>
    <w:lsdException w:uiPriority="99" w:semiHidden="0" w:name="HTML Keyboard"/>
    <w:lsdException w:uiPriority="99" w:name="HTML Preformatted"/>
    <w:lsdException w:uiPriority="99" w:semiHidden="0" w:name="HTML Sample"/>
    <w:lsdException w:uiPriority="99" w:semiHidden="0" w:name="HTML Typewriter"/>
    <w:lsdException w:uiPriority="99" w:semiHidden="0" w:name="HTML Variable"/>
    <w:lsdException w:qFormat="1" w:uiPriority="99" w:name="Normal Table"/>
    <w:lsdException w:uiPriority="99" w:semiHidden="0" w:name="annotation subject"/>
    <w:lsdException w:uiPriority="99" w:semiHidden="0" w:name="Table Simple 1"/>
    <w:lsdException w:uiPriority="99" w:semiHidden="0" w:name="Table Simple 2"/>
    <w:lsdException w:uiPriority="99" w:semiHidden="0" w:name="Table Simple 3"/>
    <w:lsdException w:uiPriority="99" w:semiHidden="0" w:name="Table Classic 1"/>
    <w:lsdException w:uiPriority="99" w:semiHidden="0" w:name="Table Classic 2"/>
    <w:lsdException w:uiPriority="99" w:semiHidden="0" w:name="Table Classic 3"/>
    <w:lsdException w:uiPriority="99" w:semiHidden="0" w:name="Table Classic 4"/>
    <w:lsdException w:uiPriority="99" w:semiHidden="0" w:name="Table Colorful 1"/>
    <w:lsdException w:uiPriority="99" w:semiHidden="0" w:name="Table Colorful 2"/>
    <w:lsdException w:uiPriority="99" w:semiHidden="0" w:name="Table Colorful 3"/>
    <w:lsdException w:uiPriority="99" w:semiHidden="0" w:name="Table Columns 1"/>
    <w:lsdException w:uiPriority="99" w:semiHidden="0" w:name="Table Columns 2"/>
    <w:lsdException w:uiPriority="99" w:semiHidden="0" w:name="Table Columns 3"/>
    <w:lsdException w:uiPriority="99" w:semiHidden="0" w:name="Table Columns 4"/>
    <w:lsdException w:uiPriority="99" w:semiHidden="0" w:name="Table Columns 5"/>
    <w:lsdException w:uiPriority="99" w:semiHidden="0" w:name="Table Grid 1"/>
    <w:lsdException w:uiPriority="99" w:semiHidden="0" w:name="Table Grid 2"/>
    <w:lsdException w:uiPriority="99" w:semiHidden="0" w:name="Table Grid 3"/>
    <w:lsdException w:uiPriority="99" w:semiHidden="0" w:name="Table Grid 4"/>
    <w:lsdException w:uiPriority="99" w:semiHidden="0" w:name="Table Grid 5"/>
    <w:lsdException w:uiPriority="99" w:semiHidden="0" w:name="Table Grid 6"/>
    <w:lsdException w:uiPriority="99" w:semiHidden="0" w:name="Table Grid 7"/>
    <w:lsdException w:uiPriority="99" w:semiHidden="0" w:name="Table Grid 8"/>
    <w:lsdException w:uiPriority="99" w:semiHidden="0" w:name="Table List 1"/>
    <w:lsdException w:uiPriority="99" w:semiHidden="0" w:name="Table List 2"/>
    <w:lsdException w:uiPriority="99" w:semiHidden="0" w:name="Table List 3"/>
    <w:lsdException w:uiPriority="99" w:semiHidden="0" w:name="Table List 4"/>
    <w:lsdException w:uiPriority="99" w:semiHidden="0" w:name="Table List 5"/>
    <w:lsdException w:uiPriority="99" w:semiHidden="0" w:name="Table List 6"/>
    <w:lsdException w:uiPriority="99" w:semiHidden="0" w:name="Table List 7"/>
    <w:lsdException w:uiPriority="99" w:semiHidden="0" w:name="Table List 8"/>
    <w:lsdException w:uiPriority="99" w:semiHidden="0" w:name="Table 3D effects 1"/>
    <w:lsdException w:uiPriority="99" w:semiHidden="0" w:name="Table 3D effects 2"/>
    <w:lsdException w:uiPriority="99" w:semiHidden="0" w:name="Table 3D effects 3"/>
    <w:lsdException w:uiPriority="99" w:semiHidden="0" w:name="Table Contemporary"/>
    <w:lsdException w:uiPriority="99" w:semiHidden="0" w:name="Table Elegant"/>
    <w:lsdException w:uiPriority="99" w:semiHidden="0" w:name="Table Professional"/>
    <w:lsdException w:uiPriority="99" w:semiHidden="0" w:name="Table Subtle 1"/>
    <w:lsdException w:uiPriority="99" w:semiHidden="0" w:name="Table Subtle 2"/>
    <w:lsdException w:uiPriority="99" w:semiHidden="0" w:name="Table Web 1"/>
    <w:lsdException w:uiPriority="99" w:semiHidden="0" w:name="Table Web 2"/>
    <w:lsdException w:uiPriority="99" w:semiHidden="0" w:name="Table Web 3"/>
    <w:lsdException w:uiPriority="99" w:semiHidden="0" w:name="Balloon Text"/>
    <w:lsdException w:uiPriority="99" w:semiHidden="0" w:name="Table Grid"/>
    <w:lsdException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6"/>
    <w:qFormat/>
    <w:uiPriority w:val="9"/>
    <w:pPr>
      <w:spacing w:before="100" w:beforeAutospacing="1" w:after="100" w:afterAutospacing="1"/>
      <w:outlineLvl w:val="0"/>
    </w:pPr>
    <w:rPr>
      <w:b/>
      <w:bCs/>
      <w:kern w:val="44"/>
      <w:sz w:val="48"/>
      <w:szCs w:val="48"/>
    </w:rPr>
  </w:style>
  <w:style w:type="paragraph" w:styleId="4">
    <w:name w:val="heading 2"/>
    <w:basedOn w:val="1"/>
    <w:next w:val="1"/>
    <w:link w:val="17"/>
    <w:qFormat/>
    <w:uiPriority w:val="9"/>
    <w:pPr>
      <w:spacing w:before="100" w:beforeAutospacing="1" w:after="100" w:afterAutospacing="1"/>
      <w:outlineLvl w:val="1"/>
    </w:pPr>
    <w:rPr>
      <w:b/>
      <w:bCs/>
      <w:sz w:val="36"/>
      <w:szCs w:val="36"/>
    </w:rPr>
  </w:style>
  <w:style w:type="paragraph" w:styleId="5">
    <w:name w:val="heading 3"/>
    <w:basedOn w:val="1"/>
    <w:next w:val="1"/>
    <w:link w:val="18"/>
    <w:qFormat/>
    <w:uiPriority w:val="9"/>
    <w:pPr>
      <w:spacing w:before="100" w:beforeAutospacing="1" w:after="100" w:afterAutospacing="1"/>
      <w:outlineLvl w:val="2"/>
    </w:pPr>
    <w:rPr>
      <w:b/>
      <w:bCs/>
      <w:sz w:val="27"/>
      <w:szCs w:val="27"/>
    </w:rPr>
  </w:style>
  <w:style w:type="paragraph" w:styleId="6">
    <w:name w:val="heading 4"/>
    <w:basedOn w:val="1"/>
    <w:next w:val="1"/>
    <w:link w:val="19"/>
    <w:qFormat/>
    <w:uiPriority w:val="9"/>
    <w:pPr>
      <w:spacing w:before="100" w:beforeAutospacing="1" w:after="100" w:afterAutospacing="1"/>
      <w:outlineLvl w:val="3"/>
    </w:pPr>
    <w:rPr>
      <w:b/>
      <w:bCs/>
    </w:rPr>
  </w:style>
  <w:style w:type="paragraph" w:styleId="7">
    <w:name w:val="heading 5"/>
    <w:basedOn w:val="1"/>
    <w:next w:val="1"/>
    <w:link w:val="20"/>
    <w:qFormat/>
    <w:uiPriority w:val="9"/>
    <w:pPr>
      <w:keepNext/>
      <w:keepLines/>
      <w:spacing w:before="280" w:after="290" w:line="372" w:lineRule="auto"/>
      <w:outlineLvl w:val="4"/>
    </w:pPr>
    <w:rPr>
      <w:b/>
      <w:bCs/>
      <w:sz w:val="28"/>
      <w:szCs w:val="28"/>
    </w:rPr>
  </w:style>
  <w:style w:type="paragraph" w:styleId="8">
    <w:name w:val="heading 6"/>
    <w:basedOn w:val="1"/>
    <w:next w:val="1"/>
    <w:link w:val="21"/>
    <w:qFormat/>
    <w:uiPriority w:val="9"/>
    <w:pPr>
      <w:spacing w:before="100" w:beforeAutospacing="1" w:after="100" w:afterAutospacing="1"/>
      <w:outlineLvl w:val="5"/>
    </w:pPr>
    <w:rPr>
      <w:b/>
      <w:bCs/>
      <w:sz w:val="15"/>
      <w:szCs w:val="15"/>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15"/>
    <w:qFormat/>
    <w:uiPriority w:val="0"/>
    <w:pPr>
      <w:snapToGrid w:val="0"/>
    </w:pPr>
    <w:rPr>
      <w:rFonts w:ascii="Calibri" w:hAnsi="Calibri" w:cs="Times New Roman"/>
      <w:sz w:val="18"/>
      <w:szCs w:val="18"/>
    </w:rPr>
  </w:style>
  <w:style w:type="paragraph" w:styleId="9">
    <w:name w:val="footer"/>
    <w:basedOn w:val="1"/>
    <w:link w:val="22"/>
    <w:unhideWhenUsed/>
    <w:uiPriority w:val="99"/>
    <w:pPr>
      <w:snapToGrid w:val="0"/>
    </w:pPr>
    <w:rPr>
      <w:sz w:val="18"/>
      <w:szCs w:val="18"/>
    </w:rPr>
  </w:style>
  <w:style w:type="paragraph" w:styleId="10">
    <w:name w:val="header"/>
    <w:basedOn w:val="1"/>
    <w:link w:val="25"/>
    <w:semiHidden/>
    <w:unhideWhenUsed/>
    <w:uiPriority w:val="99"/>
    <w:pPr>
      <w:pBdr>
        <w:bottom w:val="single" w:color="auto" w:sz="6" w:space="1"/>
      </w:pBdr>
      <w:snapToGrid w:val="0"/>
      <w:jc w:val="center"/>
    </w:pPr>
    <w:rPr>
      <w:sz w:val="18"/>
      <w:szCs w:val="18"/>
    </w:rPr>
  </w:style>
  <w:style w:type="paragraph" w:styleId="11">
    <w:name w:val="HTML Preformatted"/>
    <w:basedOn w:val="1"/>
    <w:link w:val="26"/>
    <w:semiHidden/>
    <w:unhideWhenUsed/>
    <w:uiPriority w:val="99"/>
    <w:rPr>
      <w:rFonts w:ascii="Courier New" w:hAnsi="Courier New" w:cs="Courier New"/>
      <w:sz w:val="20"/>
      <w:szCs w:val="20"/>
    </w:rPr>
  </w:style>
  <w:style w:type="paragraph" w:styleId="12">
    <w:name w:val="Normal (Web)"/>
    <w:basedOn w:val="1"/>
    <w:semiHidden/>
    <w:unhideWhenUsed/>
    <w:uiPriority w:val="99"/>
    <w:pPr>
      <w:spacing w:before="100" w:beforeAutospacing="1" w:after="100" w:afterAutospacing="1"/>
    </w:pPr>
  </w:style>
  <w:style w:type="character" w:customStyle="1" w:styleId="15">
    <w:name w:val="脚注文本 Char"/>
    <w:basedOn w:val="14"/>
    <w:link w:val="2"/>
    <w:uiPriority w:val="0"/>
    <w:rPr>
      <w:sz w:val="18"/>
      <w:szCs w:val="18"/>
    </w:rPr>
  </w:style>
  <w:style w:type="character" w:customStyle="1" w:styleId="16">
    <w:name w:val="标题 1 Char"/>
    <w:basedOn w:val="14"/>
    <w:link w:val="3"/>
    <w:uiPriority w:val="9"/>
    <w:rPr>
      <w:rFonts w:ascii="宋体" w:hAnsi="宋体" w:eastAsia="宋体" w:cs="宋体"/>
      <w:b/>
      <w:bCs/>
      <w:kern w:val="44"/>
      <w:sz w:val="44"/>
      <w:szCs w:val="44"/>
    </w:rPr>
  </w:style>
  <w:style w:type="character" w:customStyle="1" w:styleId="17">
    <w:name w:val="标题 2 Char"/>
    <w:basedOn w:val="14"/>
    <w:link w:val="4"/>
    <w:qFormat/>
    <w:uiPriority w:val="9"/>
    <w:rPr>
      <w:rFonts w:asciiTheme="majorHAnsi" w:hAnsiTheme="majorHAnsi" w:eastAsiaTheme="majorEastAsia" w:cstheme="majorBidi"/>
      <w:b/>
      <w:bCs/>
      <w:sz w:val="32"/>
      <w:szCs w:val="32"/>
    </w:rPr>
  </w:style>
  <w:style w:type="character" w:customStyle="1" w:styleId="18">
    <w:name w:val="标题 3 Char"/>
    <w:basedOn w:val="14"/>
    <w:link w:val="5"/>
    <w:uiPriority w:val="9"/>
    <w:rPr>
      <w:rFonts w:ascii="宋体" w:hAnsi="宋体" w:eastAsia="宋体" w:cs="宋体"/>
      <w:b/>
      <w:bCs/>
      <w:sz w:val="32"/>
      <w:szCs w:val="32"/>
    </w:rPr>
  </w:style>
  <w:style w:type="character" w:customStyle="1" w:styleId="19">
    <w:name w:val="标题 4 Char"/>
    <w:basedOn w:val="14"/>
    <w:link w:val="6"/>
    <w:uiPriority w:val="9"/>
    <w:rPr>
      <w:rFonts w:asciiTheme="majorHAnsi" w:hAnsiTheme="majorHAnsi" w:eastAsiaTheme="majorEastAsia" w:cstheme="majorBidi"/>
      <w:b/>
      <w:bCs/>
      <w:sz w:val="28"/>
      <w:szCs w:val="28"/>
    </w:rPr>
  </w:style>
  <w:style w:type="character" w:customStyle="1" w:styleId="20">
    <w:name w:val="标题 5 Char"/>
    <w:basedOn w:val="14"/>
    <w:link w:val="7"/>
    <w:uiPriority w:val="9"/>
    <w:rPr>
      <w:rFonts w:ascii="宋体" w:hAnsi="宋体" w:eastAsia="宋体" w:cs="宋体"/>
      <w:b/>
      <w:bCs/>
      <w:sz w:val="28"/>
      <w:szCs w:val="28"/>
    </w:rPr>
  </w:style>
  <w:style w:type="character" w:customStyle="1" w:styleId="21">
    <w:name w:val="标题 6 Char"/>
    <w:basedOn w:val="14"/>
    <w:link w:val="8"/>
    <w:uiPriority w:val="9"/>
    <w:rPr>
      <w:rFonts w:asciiTheme="majorHAnsi" w:hAnsiTheme="majorHAnsi" w:eastAsiaTheme="majorEastAsia" w:cstheme="majorBidi"/>
      <w:b/>
      <w:bCs/>
      <w:sz w:val="24"/>
      <w:szCs w:val="24"/>
    </w:rPr>
  </w:style>
  <w:style w:type="character" w:customStyle="1" w:styleId="22">
    <w:name w:val="页脚 Char"/>
    <w:basedOn w:val="14"/>
    <w:link w:val="9"/>
    <w:uiPriority w:val="99"/>
    <w:rPr>
      <w:rFonts w:ascii="宋体" w:hAnsi="宋体" w:eastAsia="宋体" w:cs="宋体"/>
      <w:sz w:val="18"/>
      <w:szCs w:val="18"/>
    </w:rPr>
  </w:style>
  <w:style w:type="paragraph" w:customStyle="1" w:styleId="23">
    <w:name w:val="Char Char1"/>
    <w:basedOn w:val="7"/>
    <w:uiPriority w:val="0"/>
    <w:pPr>
      <w:widowControl w:val="0"/>
      <w:spacing w:after="160" w:line="240" w:lineRule="exact"/>
      <w:ind w:left="1008" w:hanging="1008"/>
      <w:jc w:val="both"/>
    </w:pPr>
    <w:rPr>
      <w:rFonts w:ascii="Verdana" w:hAnsi="Verdana" w:cs="Times New Roman"/>
      <w:kern w:val="2"/>
      <w:sz w:val="20"/>
      <w:szCs w:val="20"/>
    </w:rPr>
  </w:style>
  <w:style w:type="paragraph" w:customStyle="1" w:styleId="24">
    <w:name w:val="msolistparagraph"/>
    <w:basedOn w:val="1"/>
    <w:uiPriority w:val="0"/>
    <w:pPr>
      <w:ind w:firstLine="420" w:firstLineChars="200"/>
    </w:pPr>
  </w:style>
  <w:style w:type="character" w:customStyle="1" w:styleId="25">
    <w:name w:val="页眉 Char"/>
    <w:basedOn w:val="14"/>
    <w:link w:val="10"/>
    <w:uiPriority w:val="99"/>
    <w:rPr>
      <w:rFonts w:ascii="宋体" w:hAnsi="宋体" w:eastAsia="宋体" w:cs="宋体"/>
      <w:sz w:val="18"/>
      <w:szCs w:val="18"/>
    </w:rPr>
  </w:style>
  <w:style w:type="character" w:customStyle="1" w:styleId="26">
    <w:name w:val="HTML 预设格式 Char"/>
    <w:basedOn w:val="14"/>
    <w:link w:val="11"/>
    <w:uiPriority w:val="99"/>
    <w:rPr>
      <w:rFonts w:ascii="Courier New" w:hAnsi="Courier New" w:eastAsia="宋体" w:cs="Courier New"/>
    </w:rPr>
  </w:style>
  <w:style w:type="paragraph" w:customStyle="1" w:styleId="27">
    <w:name w:val="msolistparagraph1"/>
    <w:basedOn w:val="1"/>
    <w:uiPriority w:val="0"/>
    <w:pPr>
      <w:ind w:firstLine="420" w:firstLineChars="200"/>
    </w:pPr>
  </w:style>
  <w:style w:type="character" w:customStyle="1" w:styleId="28">
    <w:name w:val="10"/>
    <w:basedOn w:val="14"/>
    <w:uiPriority w:val="0"/>
    <w:rPr>
      <w:rFonts w:hint="default" w:ascii="Times New Roman" w:hAnsi="Times New Roman" w:cs="Times New Roman"/>
    </w:rPr>
  </w:style>
  <w:style w:type="character" w:customStyle="1" w:styleId="29">
    <w:name w:val="15"/>
    <w:basedOn w:val="14"/>
    <w:uiPriority w:val="0"/>
    <w:rPr>
      <w:rFonts w:hint="default" w:ascii="Cambria" w:hAnsi="Cambria" w:eastAsia="宋体" w:cs="Times New Roman"/>
      <w:b/>
      <w:bCs/>
      <w:sz w:val="32"/>
      <w:szCs w:val="32"/>
    </w:rPr>
  </w:style>
  <w:style w:type="character" w:customStyle="1" w:styleId="30">
    <w:name w:val="16"/>
    <w:basedOn w:val="14"/>
    <w:uiPriority w:val="0"/>
    <w:rPr>
      <w:rFonts w:hint="eastAsia" w:ascii="宋体" w:hAnsi="宋体" w:eastAsia="宋体"/>
      <w:b/>
      <w:bCs/>
      <w:sz w:val="32"/>
      <w:szCs w:val="32"/>
    </w:rPr>
  </w:style>
  <w:style w:type="character" w:customStyle="1" w:styleId="31">
    <w:name w:val="17"/>
    <w:basedOn w:val="14"/>
    <w:uiPriority w:val="0"/>
    <w:rPr>
      <w:rFonts w:hint="default" w:ascii="Times New Roman" w:hAnsi="Times New Roman" w:cs="Times New Roman"/>
      <w:color w:val="800080"/>
      <w:u w:val="single"/>
    </w:rPr>
  </w:style>
  <w:style w:type="character" w:customStyle="1" w:styleId="32">
    <w:name w:val="18"/>
    <w:basedOn w:val="14"/>
    <w:uiPriority w:val="0"/>
    <w:rPr>
      <w:rFonts w:hint="default" w:ascii="Courier New" w:hAnsi="Courier New" w:eastAsia="宋体" w:cs="Courier New"/>
    </w:rPr>
  </w:style>
  <w:style w:type="character" w:customStyle="1" w:styleId="33">
    <w:name w:val="19"/>
    <w:basedOn w:val="14"/>
    <w:uiPriority w:val="0"/>
    <w:rPr>
      <w:rFonts w:hint="default" w:ascii="Cambria" w:hAnsi="Cambria" w:eastAsia="宋体" w:cs="Times New Roman"/>
      <w:b/>
      <w:bCs/>
      <w:sz w:val="24"/>
      <w:szCs w:val="24"/>
    </w:rPr>
  </w:style>
  <w:style w:type="character" w:customStyle="1" w:styleId="34">
    <w:name w:val="20"/>
    <w:basedOn w:val="14"/>
    <w:uiPriority w:val="0"/>
    <w:rPr>
      <w:rFonts w:hint="default" w:ascii="Times New Roman" w:hAnsi="Times New Roman" w:cs="Times New Roman"/>
      <w:sz w:val="18"/>
      <w:szCs w:val="18"/>
    </w:rPr>
  </w:style>
  <w:style w:type="character" w:customStyle="1" w:styleId="35">
    <w:name w:val="21"/>
    <w:basedOn w:val="14"/>
    <w:uiPriority w:val="0"/>
    <w:rPr>
      <w:rFonts w:hint="eastAsia" w:ascii="宋体" w:hAnsi="宋体" w:eastAsia="宋体"/>
      <w:b/>
      <w:bCs/>
      <w:kern w:val="44"/>
      <w:sz w:val="44"/>
      <w:szCs w:val="44"/>
    </w:rPr>
  </w:style>
  <w:style w:type="character" w:customStyle="1" w:styleId="36">
    <w:name w:val="22"/>
    <w:basedOn w:val="14"/>
    <w:uiPriority w:val="0"/>
    <w:rPr>
      <w:rFonts w:hint="default" w:ascii="Times New Roman" w:hAnsi="Times New Roman" w:cs="Times New Roman"/>
      <w:b/>
      <w:bCs/>
    </w:rPr>
  </w:style>
  <w:style w:type="character" w:customStyle="1" w:styleId="37">
    <w:name w:val="23"/>
    <w:basedOn w:val="14"/>
    <w:uiPriority w:val="0"/>
    <w:rPr>
      <w:rFonts w:hint="eastAsia" w:ascii="宋体" w:hAnsi="宋体" w:eastAsia="宋体"/>
      <w:sz w:val="18"/>
      <w:szCs w:val="18"/>
    </w:rPr>
  </w:style>
  <w:style w:type="character" w:customStyle="1" w:styleId="38">
    <w:name w:val="24"/>
    <w:basedOn w:val="14"/>
    <w:uiPriority w:val="0"/>
    <w:rPr>
      <w:rFonts w:hint="eastAsia" w:ascii="宋体" w:hAnsi="宋体" w:eastAsia="宋体"/>
      <w:sz w:val="18"/>
      <w:szCs w:val="18"/>
    </w:rPr>
  </w:style>
  <w:style w:type="character" w:customStyle="1" w:styleId="39">
    <w:name w:val="25"/>
    <w:basedOn w:val="14"/>
    <w:uiPriority w:val="0"/>
    <w:rPr>
      <w:rFonts w:hint="eastAsia" w:ascii="宋体" w:hAnsi="宋体" w:eastAsia="宋体"/>
      <w:b/>
      <w:bCs/>
      <w:sz w:val="28"/>
      <w:szCs w:val="28"/>
    </w:rPr>
  </w:style>
  <w:style w:type="character" w:customStyle="1" w:styleId="40">
    <w:name w:val="26"/>
    <w:basedOn w:val="14"/>
    <w:uiPriority w:val="0"/>
    <w:rPr>
      <w:rFonts w:hint="default" w:ascii="Times New Roman" w:hAnsi="Times New Roman" w:cs="Times New Roman"/>
    </w:rPr>
  </w:style>
  <w:style w:type="character" w:customStyle="1" w:styleId="41">
    <w:name w:val="27"/>
    <w:basedOn w:val="14"/>
    <w:uiPriority w:val="0"/>
    <w:rPr>
      <w:rFonts w:hint="eastAsia" w:ascii="宋体" w:hAnsi="宋体" w:eastAsia="宋体"/>
      <w:b/>
      <w:bCs/>
      <w:sz w:val="28"/>
      <w:szCs w:val="28"/>
    </w:rPr>
  </w:style>
  <w:style w:type="character" w:customStyle="1" w:styleId="42">
    <w:name w:val="28"/>
    <w:basedOn w:val="14"/>
    <w:uiPriority w:val="0"/>
    <w:rPr>
      <w:rFonts w:hint="eastAsia" w:ascii="宋体" w:hAnsi="宋体" w:eastAsia="宋体"/>
      <w:sz w:val="18"/>
      <w:szCs w:val="18"/>
    </w:rPr>
  </w:style>
  <w:style w:type="character" w:customStyle="1" w:styleId="43">
    <w:name w:val="29"/>
    <w:basedOn w:val="14"/>
    <w:uiPriority w:val="0"/>
    <w:rPr>
      <w:rFonts w:hint="default" w:ascii="Times New Roman" w:hAnsi="Times New Roman" w:cs="Times New Roman"/>
      <w:color w:val="0000FF"/>
      <w:u w:val="single"/>
    </w:rPr>
  </w:style>
  <w:style w:type="character" w:customStyle="1" w:styleId="44">
    <w:name w:val="30"/>
    <w:basedOn w:val="14"/>
    <w:uiPriority w:val="0"/>
    <w:rPr>
      <w:rFonts w:hint="default" w:ascii="Cambria" w:hAnsi="Cambria" w:eastAsia="宋体" w:cs="Times New Roman"/>
      <w:b/>
      <w:bCs/>
      <w:sz w:val="28"/>
      <w:szCs w:val="28"/>
    </w:rPr>
  </w:style>
  <w:style w:type="character" w:customStyle="1" w:styleId="45">
    <w:name w:val="31"/>
    <w:basedOn w:val="14"/>
    <w:uiPriority w:val="0"/>
    <w:rPr>
      <w:rFonts w:hint="eastAsia" w:ascii="宋体" w:hAnsi="宋体"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3311</Words>
  <Characters>18875</Characters>
  <Lines>157</Lines>
  <Paragraphs>44</Paragraphs>
  <TotalTime>87</TotalTime>
  <ScaleCrop>false</ScaleCrop>
  <LinksUpToDate>false</LinksUpToDate>
  <CharactersWithSpaces>22142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2021-09-26T00:52:00Z</dcterms:created>
  <dc:creator>Administrator</dc:creator>
  <cp:lastModifiedBy>杨楠</cp:lastModifiedBy>
  <cp:lastPrinted>2021-09-26T02:29:00Z</cp:lastPrinted>
  <dcterms:modified xsi:type="dcterms:W3CDTF">2021-09-26T02:44:24Z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