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62A6" w:rsidRDefault="00F74754">
      <w:pPr>
        <w:pStyle w:val="Char"/>
        <w:jc w:val="both"/>
        <w:rPr>
          <w:rFonts w:cs="宋体" w:hint="default"/>
        </w:rPr>
      </w:pPr>
      <w:r>
        <w:rPr>
          <w:rStyle w:val="24"/>
          <w:rFonts w:ascii="黑体" w:eastAsia="黑体" w:hAnsi="宋体" w:cs="黑体" w:hint="eastAsia"/>
          <w:sz w:val="44"/>
          <w:szCs w:val="44"/>
        </w:rPr>
        <w:t>温岭市残疾人托养中心2020年度单位决算</w:t>
      </w:r>
    </w:p>
    <w:p w:rsidR="001A62A6" w:rsidRDefault="00F74754">
      <w:pPr>
        <w:pStyle w:val="Char"/>
        <w:ind w:firstLineChars="200" w:firstLine="440"/>
        <w:jc w:val="center"/>
        <w:rPr>
          <w:rFonts w:cs="宋体" w:hint="default"/>
        </w:rPr>
      </w:pPr>
      <w:r>
        <w:rPr>
          <w:rStyle w:val="24"/>
          <w:rFonts w:ascii="等线" w:eastAsia="等线" w:hAnsi="等线" w:cs="等线" w:hint="eastAsia"/>
          <w:sz w:val="22"/>
          <w:szCs w:val="22"/>
        </w:rPr>
        <w:t>目录</w:t>
      </w:r>
    </w:p>
    <w:p w:rsidR="001A62A6" w:rsidRDefault="00F74754">
      <w:pPr>
        <w:numPr>
          <w:ilvl w:val="0"/>
          <w:numId w:val="1"/>
        </w:numPr>
        <w:spacing w:line="600" w:lineRule="atLeast"/>
        <w:ind w:leftChars="182" w:left="437"/>
        <w:jc w:val="both"/>
        <w:rPr>
          <w:rFonts w:ascii="等线" w:eastAsia="等线" w:hAnsi="等线" w:cs="Arial" w:hint="default"/>
          <w:b/>
          <w:sz w:val="22"/>
          <w:szCs w:val="22"/>
        </w:rPr>
      </w:pPr>
      <w:r>
        <w:rPr>
          <w:rStyle w:val="24"/>
          <w:rFonts w:ascii="等线" w:eastAsia="等线" w:hAnsi="等线" w:cs="等线" w:hint="eastAsia"/>
          <w:sz w:val="22"/>
          <w:szCs w:val="22"/>
        </w:rPr>
        <w:t>概况.........................................................................................................(2)</w:t>
      </w:r>
    </w:p>
    <w:p w:rsidR="001A62A6" w:rsidRDefault="00F74754" w:rsidP="00AE7CC9">
      <w:pPr>
        <w:spacing w:line="600" w:lineRule="atLeast"/>
        <w:ind w:leftChars="182" w:left="437"/>
        <w:jc w:val="both"/>
        <w:rPr>
          <w:rFonts w:cs="宋体" w:hint="default"/>
        </w:rPr>
      </w:pPr>
      <w:r>
        <w:rPr>
          <w:rStyle w:val="24"/>
          <w:rFonts w:ascii="等线" w:eastAsia="等线" w:hAnsi="等线" w:cs="等线" w:hint="eastAsia"/>
          <w:sz w:val="22"/>
          <w:szCs w:val="22"/>
        </w:rPr>
        <w:t>（一）单位职责.................................................................................(2)</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 xml:space="preserve">（二）机构设置...............................................................................................(2) </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二、2020年度单位决算公开表.........................................................(2)</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 xml:space="preserve">三、2020年度单位决算情况说明......................................................(2) </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（一）收入支出决算总体情况说明...................................................................(2)</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（二）收入决算情况说明.................................................................................(2)</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（三）支出决算情况说明.................................................................................(3)</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（四）财政拨款收入支出决算总体情况说明.....................................................(3)</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（五）一般公共预算财政拨款支出决算情况说明..............................................(3)</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（六）一般公共预算财政拨款基本支出决算情况说明.......................................(6)</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（七）政府性基金预算财政拨款支出决算总体情况说明...................................(6)</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（八）国有资本经营预算财政拨款支出决算总体情况说明...............................(7)</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（九）一般公共预算财政拨款“三公”经费支出决算情况说明.........................(8</w:t>
      </w:r>
      <w:bookmarkStart w:id="0" w:name="_GoBack"/>
      <w:bookmarkEnd w:id="0"/>
      <w:r>
        <w:rPr>
          <w:rStyle w:val="24"/>
          <w:rFonts w:ascii="等线" w:eastAsia="等线" w:hAnsi="等线" w:cs="等线" w:hint="eastAsia"/>
          <w:sz w:val="22"/>
          <w:szCs w:val="22"/>
        </w:rPr>
        <w:t>)</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（十）机关运行经费支出说明..........................................................................(10)</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（十一）政府采购支出说明.............................................................................(10)</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（十二）国有资产占有情况说明......................................................................(10)</w:t>
      </w:r>
    </w:p>
    <w:p w:rsidR="001A62A6" w:rsidRDefault="00F74754">
      <w:pPr>
        <w:spacing w:line="600" w:lineRule="atLeast"/>
        <w:ind w:firstLineChars="200" w:firstLine="440"/>
        <w:jc w:val="both"/>
        <w:rPr>
          <w:rFonts w:cs="宋体" w:hint="default"/>
        </w:rPr>
      </w:pPr>
      <w:r>
        <w:rPr>
          <w:rStyle w:val="24"/>
          <w:rFonts w:ascii="等线" w:eastAsia="等线" w:hAnsi="等线" w:cs="等线" w:hint="eastAsia"/>
          <w:sz w:val="22"/>
          <w:szCs w:val="22"/>
        </w:rPr>
        <w:t>（十三）预算绩效情况说明.............................................................................(11)</w:t>
      </w:r>
    </w:p>
    <w:p w:rsidR="001A62A6" w:rsidRDefault="00F74754">
      <w:pPr>
        <w:spacing w:line="600" w:lineRule="atLeast"/>
        <w:ind w:firstLineChars="200" w:firstLine="440"/>
        <w:jc w:val="both"/>
        <w:rPr>
          <w:rFonts w:ascii="黑体" w:eastAsia="黑体" w:cs="黑体" w:hint="default"/>
          <w:b/>
          <w:sz w:val="32"/>
          <w:szCs w:val="32"/>
        </w:rPr>
      </w:pPr>
      <w:r>
        <w:rPr>
          <w:rStyle w:val="24"/>
          <w:rFonts w:ascii="等线" w:eastAsia="等线" w:hAnsi="等线" w:cs="等线" w:hint="eastAsia"/>
          <w:sz w:val="22"/>
          <w:szCs w:val="22"/>
        </w:rPr>
        <w:t>四、名词解释..................................................................................................(15)</w:t>
      </w:r>
    </w:p>
    <w:p w:rsidR="001A62A6" w:rsidRDefault="001A62A6">
      <w:pPr>
        <w:rPr>
          <w:rFonts w:ascii="黑体" w:eastAsia="黑体" w:cs="黑体" w:hint="default"/>
          <w:b/>
          <w:sz w:val="32"/>
          <w:szCs w:val="32"/>
        </w:rPr>
        <w:sectPr w:rsidR="001A62A6">
          <w:footerReference w:type="default" r:id="rId8"/>
          <w:pgSz w:w="11915" w:h="16851"/>
          <w:pgMar w:top="1440" w:right="1800" w:bottom="1440" w:left="1800" w:header="851" w:footer="737" w:gutter="0"/>
          <w:cols w:space="0"/>
          <w:docGrid w:type="lines" w:linePitch="312"/>
        </w:sectPr>
      </w:pPr>
    </w:p>
    <w:p w:rsidR="001A62A6" w:rsidRDefault="001A62A6">
      <w:pPr>
        <w:spacing w:line="600" w:lineRule="atLeast"/>
        <w:ind w:firstLineChars="200" w:firstLine="643"/>
        <w:jc w:val="both"/>
        <w:rPr>
          <w:rFonts w:ascii="黑体" w:eastAsia="黑体" w:cs="黑体" w:hint="default"/>
          <w:b/>
          <w:sz w:val="32"/>
          <w:szCs w:val="32"/>
        </w:rPr>
      </w:pPr>
    </w:p>
    <w:p w:rsidR="001A62A6" w:rsidRDefault="00F74754">
      <w:pPr>
        <w:spacing w:line="600" w:lineRule="atLeast"/>
        <w:ind w:firstLineChars="200" w:firstLine="643"/>
        <w:jc w:val="both"/>
        <w:rPr>
          <w:rFonts w:cs="宋体" w:hint="default"/>
        </w:rPr>
      </w:pPr>
      <w:r>
        <w:rPr>
          <w:rStyle w:val="24"/>
          <w:rFonts w:ascii="黑体" w:eastAsia="黑体" w:hAnsi="宋体" w:cs="黑体" w:hint="eastAsia"/>
          <w:sz w:val="32"/>
          <w:szCs w:val="32"/>
        </w:rPr>
        <w:t>一、概况</w:t>
      </w:r>
    </w:p>
    <w:p w:rsidR="001A62A6" w:rsidRDefault="00F74754">
      <w:pPr>
        <w:spacing w:line="600" w:lineRule="atLeast"/>
        <w:ind w:firstLineChars="200" w:firstLine="643"/>
        <w:jc w:val="both"/>
        <w:rPr>
          <w:rFonts w:cs="宋体" w:hint="default"/>
        </w:rPr>
      </w:pPr>
      <w:r>
        <w:rPr>
          <w:rStyle w:val="24"/>
          <w:rFonts w:ascii="楷体" w:eastAsia="楷体" w:hAnsi="楷体" w:cs="楷体" w:hint="eastAsia"/>
          <w:sz w:val="32"/>
          <w:szCs w:val="32"/>
        </w:rPr>
        <w:t>（一）单位职责</w:t>
      </w:r>
    </w:p>
    <w:p w:rsidR="001A62A6" w:rsidRDefault="00F74754">
      <w:pPr>
        <w:spacing w:line="590" w:lineRule="exact"/>
        <w:ind w:firstLineChars="200" w:firstLine="640"/>
        <w:rPr>
          <w:rFonts w:ascii="仿宋" w:eastAsia="仿宋" w:cs="仿宋" w:hint="default"/>
          <w:sz w:val="32"/>
          <w:szCs w:val="32"/>
        </w:rPr>
      </w:pPr>
      <w:r>
        <w:rPr>
          <w:rFonts w:ascii="仿宋" w:eastAsia="仿宋" w:hAnsi="仿宋" w:cs="仿宋"/>
          <w:sz w:val="32"/>
          <w:szCs w:val="32"/>
        </w:rPr>
        <w:t>1.为重度残疾人提供基本生活、基本医疗、基本康复及农疗、工疗等服务。</w:t>
      </w:r>
    </w:p>
    <w:p w:rsidR="001A62A6" w:rsidRDefault="00F74754">
      <w:pPr>
        <w:spacing w:line="590" w:lineRule="exact"/>
        <w:ind w:firstLineChars="200" w:firstLine="640"/>
        <w:rPr>
          <w:rFonts w:ascii="仿宋" w:eastAsia="仿宋" w:cs="仿宋" w:hint="default"/>
          <w:sz w:val="32"/>
          <w:szCs w:val="32"/>
        </w:rPr>
      </w:pPr>
      <w:r>
        <w:rPr>
          <w:rFonts w:ascii="仿宋" w:eastAsia="仿宋" w:hAnsi="仿宋" w:cs="仿宋"/>
          <w:sz w:val="32"/>
          <w:szCs w:val="32"/>
        </w:rPr>
        <w:t>2.为全市居家安养和日间照料重度残疾人提供护理康复指导。</w:t>
      </w:r>
    </w:p>
    <w:p w:rsidR="001A62A6" w:rsidRDefault="00F74754">
      <w:pPr>
        <w:spacing w:line="600" w:lineRule="atLeast"/>
        <w:ind w:firstLineChars="200" w:firstLine="643"/>
        <w:jc w:val="both"/>
        <w:rPr>
          <w:rFonts w:cs="宋体" w:hint="default"/>
        </w:rPr>
      </w:pPr>
      <w:r>
        <w:rPr>
          <w:rStyle w:val="24"/>
          <w:rFonts w:ascii="楷体" w:eastAsia="楷体" w:hAnsi="楷体" w:cs="楷体" w:hint="eastAsia"/>
          <w:sz w:val="32"/>
          <w:szCs w:val="32"/>
        </w:rPr>
        <w:t>（二）机构设置</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从预算单位构成看，本单位是</w:t>
      </w:r>
      <w:r>
        <w:rPr>
          <w:rFonts w:ascii="仿宋_GB2312" w:eastAsia="仿宋_GB2312" w:cs="仿宋_GB2312" w:hint="default"/>
          <w:sz w:val="32"/>
          <w:szCs w:val="32"/>
        </w:rPr>
        <w:t>温岭市残疾人联合会</w:t>
      </w:r>
      <w:r>
        <w:rPr>
          <w:rFonts w:ascii="仿宋" w:eastAsia="仿宋" w:hAnsi="仿宋" w:cs="仿宋"/>
          <w:sz w:val="32"/>
          <w:szCs w:val="32"/>
        </w:rPr>
        <w:t>单位下的二级预算单位。</w:t>
      </w:r>
    </w:p>
    <w:p w:rsidR="001A62A6" w:rsidRDefault="00F74754">
      <w:pPr>
        <w:spacing w:line="600" w:lineRule="atLeast"/>
        <w:ind w:firstLineChars="200" w:firstLine="640"/>
        <w:jc w:val="both"/>
        <w:rPr>
          <w:rFonts w:ascii="仿宋" w:eastAsia="仿宋" w:hAnsi="仿宋" w:cs="Arial" w:hint="default"/>
          <w:sz w:val="32"/>
          <w:szCs w:val="32"/>
        </w:rPr>
      </w:pPr>
      <w:r>
        <w:rPr>
          <w:rFonts w:ascii="仿宋" w:eastAsia="仿宋" w:hAnsi="仿宋" w:cs="仿宋"/>
          <w:sz w:val="32"/>
          <w:szCs w:val="32"/>
        </w:rPr>
        <w:t>从预算单位构成看，本单位内设：办公室、养护办、医康办、综合办。</w:t>
      </w:r>
    </w:p>
    <w:p w:rsidR="001A62A6" w:rsidRDefault="00F74754">
      <w:pPr>
        <w:spacing w:line="600" w:lineRule="atLeast"/>
        <w:ind w:firstLineChars="200" w:firstLine="643"/>
        <w:jc w:val="both"/>
        <w:rPr>
          <w:rFonts w:cs="宋体" w:hint="default"/>
        </w:rPr>
      </w:pPr>
      <w:r>
        <w:rPr>
          <w:rStyle w:val="24"/>
          <w:rFonts w:ascii="黑体" w:eastAsia="黑体" w:hAnsi="宋体" w:cs="黑体" w:hint="eastAsia"/>
          <w:sz w:val="32"/>
          <w:szCs w:val="32"/>
        </w:rPr>
        <w:t>二、2020年度部门（单位）决算公开表</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详见附表。</w:t>
      </w:r>
    </w:p>
    <w:p w:rsidR="001A62A6" w:rsidRDefault="00F74754">
      <w:pPr>
        <w:spacing w:line="600" w:lineRule="atLeast"/>
        <w:ind w:firstLineChars="200" w:firstLine="643"/>
        <w:jc w:val="both"/>
        <w:rPr>
          <w:rFonts w:cs="宋体" w:hint="default"/>
        </w:rPr>
      </w:pPr>
      <w:r>
        <w:rPr>
          <w:rStyle w:val="24"/>
          <w:rFonts w:ascii="黑体" w:eastAsia="黑体" w:hAnsi="宋体" w:cs="黑体" w:hint="eastAsia"/>
          <w:sz w:val="32"/>
          <w:szCs w:val="32"/>
        </w:rPr>
        <w:t>三、2020年度单位决算情况说明</w:t>
      </w:r>
    </w:p>
    <w:p w:rsidR="001A62A6" w:rsidRDefault="00F74754">
      <w:pPr>
        <w:numPr>
          <w:ilvl w:val="0"/>
          <w:numId w:val="2"/>
        </w:numPr>
        <w:spacing w:line="600" w:lineRule="atLeast"/>
        <w:ind w:firstLineChars="200" w:firstLine="643"/>
        <w:jc w:val="both"/>
        <w:rPr>
          <w:rFonts w:ascii="楷体" w:eastAsia="楷体" w:hAnsi="楷体" w:cs="楷体" w:hint="default"/>
          <w:b/>
          <w:sz w:val="32"/>
          <w:szCs w:val="32"/>
        </w:rPr>
      </w:pPr>
      <w:r>
        <w:rPr>
          <w:rStyle w:val="24"/>
          <w:rFonts w:ascii="楷体" w:eastAsia="楷体" w:hAnsi="楷体" w:cs="楷体" w:hint="eastAsia"/>
          <w:sz w:val="32"/>
          <w:szCs w:val="32"/>
        </w:rPr>
        <w:t>收入支出决算总体情况说明</w:t>
      </w:r>
    </w:p>
    <w:p w:rsidR="001A62A6" w:rsidRDefault="00F74754">
      <w:pPr>
        <w:autoSpaceDE w:val="0"/>
        <w:spacing w:line="600" w:lineRule="atLeast"/>
        <w:ind w:firstLineChars="200" w:firstLine="640"/>
        <w:jc w:val="both"/>
        <w:rPr>
          <w:rFonts w:cs="宋体" w:hint="default"/>
        </w:rPr>
      </w:pPr>
      <w:r>
        <w:rPr>
          <w:rFonts w:ascii="仿宋" w:eastAsia="仿宋" w:hAnsi="仿宋" w:cs="仿宋"/>
          <w:sz w:val="32"/>
          <w:szCs w:val="32"/>
        </w:rPr>
        <w:t>2020年度收入总计1,206.43万元，支出总计1,206.43万元,与2019年度相比，各减少26.54万元，下降2.15%。主要原因是：因临聘人员人数降低，基本支出公用经费费用减少，财政拨款收入减少。</w:t>
      </w:r>
    </w:p>
    <w:p w:rsidR="001A62A6" w:rsidRDefault="00F74754">
      <w:pPr>
        <w:spacing w:line="600" w:lineRule="atLeast"/>
        <w:ind w:firstLineChars="200" w:firstLine="643"/>
        <w:jc w:val="both"/>
        <w:rPr>
          <w:rFonts w:cs="宋体" w:hint="default"/>
        </w:rPr>
      </w:pPr>
      <w:r>
        <w:rPr>
          <w:rStyle w:val="24"/>
          <w:rFonts w:ascii="楷体" w:eastAsia="楷体" w:hAnsi="楷体" w:cs="楷体" w:hint="eastAsia"/>
          <w:sz w:val="32"/>
          <w:szCs w:val="32"/>
        </w:rPr>
        <w:t>（二）收入决算情况说明</w:t>
      </w:r>
    </w:p>
    <w:p w:rsidR="001A62A6" w:rsidRDefault="001A62A6">
      <w:pPr>
        <w:rPr>
          <w:rFonts w:ascii="仿宋" w:eastAsia="仿宋" w:hAnsi="仿宋" w:cs="仿宋" w:hint="default"/>
          <w:sz w:val="32"/>
          <w:szCs w:val="32"/>
        </w:rPr>
        <w:sectPr w:rsidR="001A62A6">
          <w:footerReference w:type="default" r:id="rId9"/>
          <w:pgSz w:w="11915" w:h="16851"/>
          <w:pgMar w:top="1440" w:right="1800" w:bottom="1440" w:left="1800" w:header="851" w:footer="992" w:gutter="0"/>
          <w:cols w:space="0"/>
          <w:docGrid w:type="lines" w:linePitch="312"/>
        </w:sectPr>
      </w:pP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lastRenderedPageBreak/>
        <w:t>本年收入合计1,132.35万元；包括财政拨款收入883.94万元（其中，一般公共预算883.94万元，政府性基金预算0万元,国有资本经营预算0万元），占收入合计78.06%；上级补助收入0万元，占收入合计0%；事业收入0万元，占收入合计0%；经营收入0万元，占收入合计0%；附属单位上缴收入0万元，占收入合计0%；其他收入248.41万元，占收入合计21.94%。</w:t>
      </w:r>
    </w:p>
    <w:p w:rsidR="001A62A6" w:rsidRDefault="00F74754">
      <w:pPr>
        <w:spacing w:line="600" w:lineRule="atLeast"/>
        <w:ind w:firstLineChars="200" w:firstLine="643"/>
        <w:jc w:val="both"/>
        <w:rPr>
          <w:rFonts w:cs="宋体" w:hint="default"/>
        </w:rPr>
      </w:pPr>
      <w:r>
        <w:rPr>
          <w:rStyle w:val="24"/>
          <w:rFonts w:ascii="楷体" w:eastAsia="楷体" w:hAnsi="楷体" w:cs="楷体" w:hint="eastAsia"/>
          <w:sz w:val="32"/>
          <w:szCs w:val="32"/>
        </w:rPr>
        <w:t>（三）支出决算情况说明</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本年支出合计1,131.75万元，其中基本支出197.03万元，占17.41%；项目支出934.72万元，占82.59%；上缴上级支出0万元，占0%；经营支出0万元，占0%；对附属单位补助支出0万元，占0%。</w:t>
      </w:r>
    </w:p>
    <w:p w:rsidR="001A62A6" w:rsidRDefault="00F74754">
      <w:pPr>
        <w:spacing w:line="600" w:lineRule="atLeast"/>
        <w:ind w:firstLineChars="200" w:firstLine="643"/>
        <w:jc w:val="both"/>
        <w:rPr>
          <w:rFonts w:ascii="楷体" w:eastAsia="楷体" w:hAnsi="楷体" w:cs="Arial" w:hint="default"/>
          <w:b/>
          <w:sz w:val="32"/>
          <w:szCs w:val="32"/>
        </w:rPr>
      </w:pPr>
      <w:r>
        <w:rPr>
          <w:rStyle w:val="24"/>
          <w:rFonts w:ascii="楷体" w:eastAsia="楷体" w:hAnsi="楷体" w:cs="楷体" w:hint="eastAsia"/>
          <w:sz w:val="32"/>
          <w:szCs w:val="32"/>
        </w:rPr>
        <w:t>（四）财政拨款收入支出决算总体情况说明</w:t>
      </w:r>
    </w:p>
    <w:p w:rsidR="001A62A6" w:rsidRDefault="00F74754">
      <w:pPr>
        <w:autoSpaceDE w:val="0"/>
        <w:spacing w:line="600" w:lineRule="atLeast"/>
        <w:ind w:firstLineChars="200" w:firstLine="640"/>
        <w:jc w:val="both"/>
        <w:rPr>
          <w:rFonts w:cs="宋体" w:hint="default"/>
        </w:rPr>
      </w:pPr>
      <w:r>
        <w:rPr>
          <w:rFonts w:ascii="仿宋" w:eastAsia="仿宋" w:hAnsi="仿宋" w:cs="仿宋"/>
          <w:sz w:val="32"/>
          <w:szCs w:val="32"/>
        </w:rPr>
        <w:t>2020年度财政拨款收入总计883.94万元，支出总计883.94万元，与2019年相比，各减少150.67万元，下降14.56%。主要原因是因临聘人员人数降低，基本支出公用经费费用减少，财政拨款收入减少；财政拨款支出年初预算数842.53万元，完成年初预算的104.91%，主要原因是单位残疾人居多，因疫情影响，残疾人双向转诊就医费用增加，以及物价上涨，购置物资费用增加。</w:t>
      </w:r>
    </w:p>
    <w:p w:rsidR="001A62A6" w:rsidRDefault="00F74754">
      <w:pPr>
        <w:spacing w:line="600" w:lineRule="atLeast"/>
        <w:ind w:firstLineChars="200" w:firstLine="643"/>
        <w:jc w:val="both"/>
        <w:rPr>
          <w:rFonts w:cs="宋体" w:hint="default"/>
        </w:rPr>
      </w:pPr>
      <w:r>
        <w:rPr>
          <w:rStyle w:val="24"/>
          <w:rFonts w:ascii="楷体" w:eastAsia="楷体" w:hAnsi="楷体" w:cs="楷体" w:hint="eastAsia"/>
          <w:sz w:val="32"/>
          <w:szCs w:val="32"/>
        </w:rPr>
        <w:t>（五）一般公共预算财政拨款支出决算情况说明</w:t>
      </w:r>
    </w:p>
    <w:p w:rsidR="001A62A6" w:rsidRDefault="00F74754">
      <w:pPr>
        <w:spacing w:line="600" w:lineRule="atLeast"/>
        <w:ind w:firstLineChars="200" w:firstLine="643"/>
        <w:jc w:val="both"/>
        <w:rPr>
          <w:rFonts w:cs="宋体" w:hint="default"/>
        </w:rPr>
      </w:pPr>
      <w:r>
        <w:rPr>
          <w:rStyle w:val="24"/>
          <w:rFonts w:ascii="仿宋" w:eastAsia="仿宋" w:hAnsi="仿宋" w:cs="仿宋" w:hint="eastAsia"/>
          <w:sz w:val="32"/>
          <w:szCs w:val="32"/>
        </w:rPr>
        <w:t>1.一般公共预算财政拨款支出决算总体情况。</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lastRenderedPageBreak/>
        <w:t>2020年度一般公共预算财政拨款支出883.94万元，占本年支出合计的78.10%。与2019年相比，一般公共预算财政拨款支出减少150.67万元，下降14.56%。主要原因是：临聘人员人数降低，基本支出公用经费费用减少。</w:t>
      </w:r>
    </w:p>
    <w:p w:rsidR="001A62A6" w:rsidRDefault="00F74754">
      <w:pPr>
        <w:spacing w:line="600" w:lineRule="atLeast"/>
        <w:ind w:firstLineChars="200" w:firstLine="643"/>
        <w:jc w:val="both"/>
        <w:rPr>
          <w:rFonts w:cs="宋体" w:hint="default"/>
        </w:rPr>
      </w:pPr>
      <w:r>
        <w:rPr>
          <w:rStyle w:val="24"/>
          <w:rFonts w:ascii="仿宋" w:eastAsia="仿宋" w:hAnsi="仿宋" w:cs="仿宋" w:hint="eastAsia"/>
          <w:sz w:val="32"/>
          <w:szCs w:val="32"/>
        </w:rPr>
        <w:t>2.一般公共预算财政拨款支出决算结构情况。</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2020年度一般公共预算财政拨款支出883.94万元，主要用于以下方面：一般公共服务（类）支出0万元，占0%；国防（类）支出0万元,占0%；公共安全（类）支出0万元,占0%；教育（类）支出0万元,占0%；科学技术（类）支出0万元,占0%；文化旅游体育与传媒（类）支出0万元,占0%；社会保障和就业（类）支出883.94万元,占100.00%；卫生健康（类）支出0万元,占0%；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rsidR="001A62A6" w:rsidRDefault="00F74754">
      <w:pPr>
        <w:spacing w:line="600" w:lineRule="atLeast"/>
        <w:ind w:firstLineChars="200" w:firstLine="643"/>
        <w:jc w:val="both"/>
        <w:rPr>
          <w:rFonts w:cs="宋体" w:hint="default"/>
        </w:rPr>
      </w:pPr>
      <w:r>
        <w:rPr>
          <w:rStyle w:val="24"/>
          <w:rFonts w:ascii="仿宋" w:eastAsia="仿宋" w:hAnsi="仿宋" w:cs="仿宋" w:hint="eastAsia"/>
          <w:sz w:val="32"/>
          <w:szCs w:val="32"/>
        </w:rPr>
        <w:lastRenderedPageBreak/>
        <w:t>3.一般公共预算财政拨款支出决算具体情况。</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2020年度一般公共预算财政拨款支出年初预算为842.53万元，支出决算为883.94万元,完成年初预算的104.91%，主要原因是单位残疾人居多，</w:t>
      </w:r>
      <w:r w:rsidR="007E4407">
        <w:rPr>
          <w:rFonts w:ascii="仿宋" w:eastAsia="仿宋" w:hAnsi="仿宋" w:cs="仿宋"/>
          <w:sz w:val="32"/>
          <w:szCs w:val="32"/>
        </w:rPr>
        <w:t>受</w:t>
      </w:r>
      <w:r>
        <w:rPr>
          <w:rFonts w:ascii="仿宋" w:eastAsia="仿宋" w:hAnsi="仿宋" w:cs="仿宋"/>
          <w:sz w:val="32"/>
          <w:szCs w:val="32"/>
        </w:rPr>
        <w:t>疫情影响，残疾人双向转诊就医费用增加，以及物价上涨，购置物资费用增加，年中追加了41.41万元。其中：</w:t>
      </w:r>
    </w:p>
    <w:p w:rsidR="001A62A6" w:rsidRDefault="00F74754">
      <w:pPr>
        <w:snapToGrid w:val="0"/>
        <w:spacing w:line="600" w:lineRule="atLeast"/>
        <w:ind w:firstLine="640"/>
        <w:jc w:val="both"/>
        <w:rPr>
          <w:rFonts w:cs="宋体" w:hint="default"/>
        </w:rPr>
      </w:pPr>
      <w:r>
        <w:rPr>
          <w:rFonts w:ascii="仿宋" w:eastAsia="仿宋" w:hAnsi="仿宋" w:cs="仿宋"/>
          <w:sz w:val="32"/>
          <w:szCs w:val="32"/>
        </w:rPr>
        <w:t>社会保障和就业（类）行政事业单位养老支出（款）  机关事业单位基本养老保险缴费支出（项）。年初预算为7.82万元，支出决算为7.79万元，完成年初预算的99.62%，决算数小于预算数的主要原因决算数同年初预算数基本一致，是因为严格执行年初预算的计划安排。</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社会保障和就业（类）行政事业单位养老支出（款）机关事业单位职业年金缴费支出（项）。年初预算为3.91万元，支出决算为3.89万元，完成年初预算的99.49%，决算数小于预算数的主要原因决算数同年初预算数基本一致，是因为严格执行年初预算的计划安排。</w:t>
      </w:r>
    </w:p>
    <w:p w:rsidR="001A62A6" w:rsidRDefault="00F74754">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社会保障和就业（类）残疾人事业（款）残疾人生活和护理补贴（项）。年初预算为340.43万元，支出决算为340.43万元，完成年初预算的100%，决算数小于预算数的主要原因决算数同年初预算数基本一致，是因为严格执行年初预算的计划安排。</w:t>
      </w:r>
    </w:p>
    <w:p w:rsidR="001A62A6" w:rsidRDefault="00F74754">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lastRenderedPageBreak/>
        <w:t>社会保障和就业（类）残疾人事业（款）其他残疾人事业支出（项）。年初预算为490.37万元，支出决算为519.57万元，完成年初预算的105.95%，决算数大于预算数的主要原因是单位残疾人居多，因疫情影响，残疾人双向转诊就医费用增加，以及物价上涨，购置物资费用增加。</w:t>
      </w:r>
    </w:p>
    <w:p w:rsidR="001A62A6" w:rsidRDefault="00F74754">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社会保障和就业（类）其他社会保障和就业支出（款）其他社会保障和就业支出（项）。年初预算为0万元，支出决算为12.26万元，完成年初预算的0%，决算数大于预算数的主要原因年中追加人员经费。</w:t>
      </w:r>
    </w:p>
    <w:p w:rsidR="001A62A6" w:rsidRDefault="00F74754">
      <w:pPr>
        <w:spacing w:line="600" w:lineRule="atLeast"/>
        <w:ind w:firstLineChars="200" w:firstLine="643"/>
        <w:jc w:val="both"/>
        <w:rPr>
          <w:rFonts w:cs="宋体" w:hint="default"/>
        </w:rPr>
      </w:pPr>
      <w:r>
        <w:rPr>
          <w:rStyle w:val="24"/>
          <w:rFonts w:ascii="楷体" w:eastAsia="楷体" w:hAnsi="楷体" w:cs="楷体" w:hint="eastAsia"/>
          <w:sz w:val="32"/>
          <w:szCs w:val="32"/>
        </w:rPr>
        <w:t>（六）一般公共预算财政拨款基本支出决算情况说明</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2020年度一般公共预算财政拨款基本支出196.53万元，其中：</w:t>
      </w:r>
    </w:p>
    <w:p w:rsidR="001A62A6" w:rsidRDefault="00F74754">
      <w:pPr>
        <w:snapToGrid w:val="0"/>
        <w:spacing w:line="600" w:lineRule="atLeast"/>
        <w:ind w:firstLine="640"/>
        <w:jc w:val="both"/>
        <w:rPr>
          <w:rFonts w:cs="宋体" w:hint="default"/>
        </w:rPr>
      </w:pPr>
      <w:r>
        <w:rPr>
          <w:rFonts w:ascii="仿宋" w:eastAsia="仿宋" w:hAnsi="仿宋" w:cs="仿宋"/>
          <w:sz w:val="32"/>
          <w:szCs w:val="32"/>
        </w:rPr>
        <w:t>人员经费115.63万元，主要包括：基本工资、奖金、机关事业单位基本养老保险缴费、职业年金缴费、住房公积金、职工基本医疗保险缴费、公务员医疗补助缴费、其他社会保障缴费。</w:t>
      </w:r>
    </w:p>
    <w:p w:rsidR="001A62A6" w:rsidRDefault="00F74754">
      <w:pPr>
        <w:snapToGrid w:val="0"/>
        <w:spacing w:line="600" w:lineRule="atLeast"/>
        <w:ind w:firstLine="640"/>
        <w:jc w:val="both"/>
        <w:rPr>
          <w:rFonts w:cs="宋体" w:hint="default"/>
        </w:rPr>
      </w:pPr>
      <w:r>
        <w:rPr>
          <w:rFonts w:ascii="仿宋" w:eastAsia="仿宋" w:hAnsi="仿宋" w:cs="仿宋"/>
          <w:sz w:val="32"/>
          <w:szCs w:val="32"/>
        </w:rPr>
        <w:t>公用经费80.90万元，主要包括：办公费、邮电费、差旅费、劳务费、工会经费、福利费、其他交通费等。</w:t>
      </w:r>
    </w:p>
    <w:p w:rsidR="001A62A6" w:rsidRDefault="00F74754">
      <w:pPr>
        <w:spacing w:line="600" w:lineRule="atLeast"/>
        <w:ind w:firstLineChars="200" w:firstLine="643"/>
        <w:jc w:val="both"/>
        <w:rPr>
          <w:rFonts w:cs="宋体" w:hint="default"/>
        </w:rPr>
      </w:pPr>
      <w:r>
        <w:rPr>
          <w:rStyle w:val="24"/>
          <w:rFonts w:ascii="楷体" w:eastAsia="楷体" w:hAnsi="楷体" w:cs="楷体" w:hint="eastAsia"/>
          <w:sz w:val="32"/>
          <w:szCs w:val="32"/>
        </w:rPr>
        <w:t>（七）政府性基金预算财政拨款支出决算总体情况</w:t>
      </w:r>
    </w:p>
    <w:p w:rsidR="001A62A6" w:rsidRDefault="00F74754">
      <w:pPr>
        <w:spacing w:line="600" w:lineRule="atLeast"/>
        <w:ind w:firstLineChars="200" w:firstLine="643"/>
        <w:jc w:val="both"/>
        <w:rPr>
          <w:rFonts w:cs="宋体" w:hint="default"/>
        </w:rPr>
      </w:pPr>
      <w:r>
        <w:rPr>
          <w:rStyle w:val="24"/>
          <w:rFonts w:ascii="仿宋" w:eastAsia="仿宋" w:hAnsi="仿宋" w:cs="仿宋" w:hint="eastAsia"/>
          <w:sz w:val="32"/>
          <w:szCs w:val="32"/>
        </w:rPr>
        <w:t>1.政府性基金预算财政拨款支出决算总体情况。</w:t>
      </w:r>
    </w:p>
    <w:p w:rsidR="001A62A6" w:rsidRDefault="00F74754">
      <w:pPr>
        <w:spacing w:line="600" w:lineRule="atLeast"/>
        <w:ind w:firstLineChars="200" w:firstLine="640"/>
        <w:jc w:val="both"/>
        <w:rPr>
          <w:rFonts w:eastAsia="仿宋" w:cs="宋体" w:hint="default"/>
        </w:rPr>
      </w:pPr>
      <w:r>
        <w:rPr>
          <w:rFonts w:ascii="仿宋" w:eastAsia="仿宋" w:hAnsi="仿宋" w:cs="仿宋"/>
          <w:sz w:val="32"/>
          <w:szCs w:val="32"/>
        </w:rPr>
        <w:t>2020年度政府性基金预算财政拨款支出0万元，占本年支出合计的0%。与2019年相比，政府性基金预算财政拨</w:t>
      </w:r>
      <w:r>
        <w:rPr>
          <w:rFonts w:ascii="仿宋" w:eastAsia="仿宋" w:hAnsi="仿宋" w:cs="仿宋"/>
          <w:sz w:val="32"/>
          <w:szCs w:val="32"/>
        </w:rPr>
        <w:lastRenderedPageBreak/>
        <w:t>款支出增加0万元，增长0%。主要原因是：本单位2019年、2020年均没有政府性基金预算财政拨款的预算安排。</w:t>
      </w:r>
    </w:p>
    <w:p w:rsidR="001A62A6" w:rsidRDefault="00F74754">
      <w:pPr>
        <w:spacing w:line="600" w:lineRule="atLeast"/>
        <w:ind w:firstLineChars="200" w:firstLine="643"/>
        <w:jc w:val="both"/>
        <w:rPr>
          <w:rFonts w:cs="宋体" w:hint="default"/>
        </w:rPr>
      </w:pPr>
      <w:r>
        <w:rPr>
          <w:rStyle w:val="24"/>
          <w:rFonts w:ascii="仿宋" w:eastAsia="仿宋" w:hAnsi="仿宋" w:cs="仿宋" w:hint="eastAsia"/>
          <w:sz w:val="32"/>
          <w:szCs w:val="32"/>
        </w:rPr>
        <w:t>2.政府性基金预算财政拨款支出决算结构情况。</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2020年度政府性基金预算财政拨款支出0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其他（类）支出0万元,占0%；债务付息（类）支出0万元,占0%；抗疫特别国债安排（类）支出0万元,占0%。</w:t>
      </w:r>
    </w:p>
    <w:p w:rsidR="001A62A6" w:rsidRDefault="00F74754">
      <w:pPr>
        <w:spacing w:line="600" w:lineRule="atLeast"/>
        <w:ind w:firstLineChars="200" w:firstLine="643"/>
        <w:jc w:val="both"/>
        <w:rPr>
          <w:rFonts w:cs="宋体" w:hint="default"/>
        </w:rPr>
      </w:pPr>
      <w:r>
        <w:rPr>
          <w:rStyle w:val="24"/>
          <w:rFonts w:ascii="仿宋" w:eastAsia="仿宋" w:hAnsi="仿宋" w:cs="仿宋" w:hint="eastAsia"/>
          <w:sz w:val="32"/>
          <w:szCs w:val="32"/>
        </w:rPr>
        <w:t>3.政府性基金预算财政拨款支出决算具体情况。</w:t>
      </w:r>
    </w:p>
    <w:p w:rsidR="001A62A6" w:rsidRDefault="00F74754">
      <w:pPr>
        <w:spacing w:line="600" w:lineRule="atLeast"/>
        <w:ind w:firstLineChars="200" w:firstLine="640"/>
        <w:jc w:val="both"/>
        <w:rPr>
          <w:rFonts w:ascii="仿宋" w:eastAsia="仿宋" w:hAnsi="仿宋" w:cs="仿宋" w:hint="default"/>
          <w:b/>
          <w:sz w:val="32"/>
          <w:szCs w:val="32"/>
        </w:rPr>
      </w:pPr>
      <w:r>
        <w:rPr>
          <w:rFonts w:ascii="仿宋" w:eastAsia="仿宋" w:hAnsi="仿宋" w:cs="仿宋"/>
          <w:sz w:val="32"/>
          <w:szCs w:val="32"/>
        </w:rPr>
        <w:t>本单位2020年度无政府性基金预算财政拨款收支安排，故无相关数据。</w:t>
      </w:r>
    </w:p>
    <w:p w:rsidR="001A62A6" w:rsidRDefault="00F74754">
      <w:pPr>
        <w:numPr>
          <w:ilvl w:val="0"/>
          <w:numId w:val="3"/>
        </w:numPr>
        <w:spacing w:line="600" w:lineRule="atLeast"/>
        <w:ind w:firstLineChars="200" w:firstLine="643"/>
        <w:jc w:val="both"/>
        <w:rPr>
          <w:rFonts w:ascii="楷体" w:eastAsia="楷体" w:hAnsi="楷体" w:cs="楷体" w:hint="default"/>
          <w:b/>
          <w:sz w:val="32"/>
          <w:szCs w:val="32"/>
        </w:rPr>
      </w:pPr>
      <w:r>
        <w:rPr>
          <w:rStyle w:val="24"/>
          <w:rFonts w:ascii="楷体" w:eastAsia="楷体" w:hAnsi="楷体" w:cs="楷体" w:hint="eastAsia"/>
          <w:sz w:val="32"/>
          <w:szCs w:val="32"/>
        </w:rPr>
        <w:t>国有资本经营预算财政拨款支出决算总体情况</w:t>
      </w:r>
    </w:p>
    <w:p w:rsidR="001A62A6" w:rsidRDefault="00F74754">
      <w:pPr>
        <w:spacing w:line="600" w:lineRule="atLeast"/>
        <w:ind w:firstLineChars="200" w:firstLine="643"/>
        <w:jc w:val="both"/>
        <w:rPr>
          <w:rFonts w:cs="宋体" w:hint="default"/>
        </w:rPr>
      </w:pPr>
      <w:r>
        <w:rPr>
          <w:rStyle w:val="24"/>
          <w:rFonts w:ascii="仿宋" w:eastAsia="仿宋" w:hAnsi="仿宋" w:cs="仿宋" w:hint="eastAsia"/>
          <w:sz w:val="32"/>
          <w:szCs w:val="32"/>
        </w:rPr>
        <w:t>1.国有资本经营预算财政拨款支出决算总体情况。</w:t>
      </w:r>
    </w:p>
    <w:p w:rsidR="001A62A6" w:rsidRDefault="00F74754">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本单位2020年度无国有资本经营预算财政拨款收支安排，故无相关数据。</w:t>
      </w:r>
    </w:p>
    <w:p w:rsidR="001A62A6" w:rsidRDefault="00F74754">
      <w:pPr>
        <w:spacing w:line="600" w:lineRule="atLeast"/>
        <w:ind w:firstLineChars="200" w:firstLine="643"/>
        <w:jc w:val="both"/>
        <w:rPr>
          <w:rFonts w:cs="宋体" w:hint="default"/>
        </w:rPr>
      </w:pPr>
      <w:r>
        <w:rPr>
          <w:rStyle w:val="24"/>
          <w:rFonts w:ascii="仿宋" w:eastAsia="仿宋" w:hAnsi="仿宋" w:cs="仿宋" w:hint="eastAsia"/>
          <w:sz w:val="32"/>
          <w:szCs w:val="32"/>
        </w:rPr>
        <w:t>2.国有资本经营预算财政拨款支出决算结构情况。</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lastRenderedPageBreak/>
        <w:t>本单位2020年度无国有资本经营预算财政拨款收支安排，故无相关数据。</w:t>
      </w:r>
    </w:p>
    <w:p w:rsidR="001A62A6" w:rsidRDefault="00F74754">
      <w:pPr>
        <w:spacing w:line="600" w:lineRule="atLeast"/>
        <w:ind w:firstLineChars="200" w:firstLine="643"/>
        <w:jc w:val="both"/>
        <w:rPr>
          <w:rFonts w:cs="宋体" w:hint="default"/>
        </w:rPr>
      </w:pPr>
      <w:r>
        <w:rPr>
          <w:rStyle w:val="24"/>
          <w:rFonts w:ascii="仿宋" w:eastAsia="仿宋" w:hAnsi="仿宋" w:cs="仿宋" w:hint="eastAsia"/>
          <w:sz w:val="32"/>
          <w:szCs w:val="32"/>
        </w:rPr>
        <w:t>3.国有资本经营预算财政拨款支出决算具体情况。</w:t>
      </w:r>
    </w:p>
    <w:p w:rsidR="001A62A6" w:rsidRDefault="00F74754">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本单位2020年度无国有资本经营预算财政拨款收支安排，故无相关数据。</w:t>
      </w:r>
    </w:p>
    <w:p w:rsidR="001A62A6" w:rsidRDefault="00F74754">
      <w:pPr>
        <w:spacing w:line="600" w:lineRule="atLeast"/>
        <w:ind w:firstLineChars="200" w:firstLine="643"/>
        <w:jc w:val="both"/>
        <w:rPr>
          <w:rFonts w:cs="宋体" w:hint="default"/>
        </w:rPr>
      </w:pPr>
      <w:r>
        <w:rPr>
          <w:rStyle w:val="24"/>
          <w:rFonts w:ascii="楷体" w:eastAsia="楷体" w:hAnsi="楷体" w:cs="楷体" w:hint="eastAsia"/>
          <w:sz w:val="32"/>
          <w:szCs w:val="32"/>
        </w:rPr>
        <w:t>（九）一般公共预算财政拨款“三公”经费支出决算情况说明</w:t>
      </w:r>
    </w:p>
    <w:p w:rsidR="001A62A6" w:rsidRDefault="00F74754">
      <w:pPr>
        <w:spacing w:line="600" w:lineRule="atLeast"/>
        <w:ind w:firstLineChars="200" w:firstLine="643"/>
        <w:jc w:val="both"/>
        <w:rPr>
          <w:rFonts w:cs="宋体" w:hint="default"/>
        </w:rPr>
      </w:pPr>
      <w:r>
        <w:rPr>
          <w:rStyle w:val="24"/>
          <w:rFonts w:ascii="仿宋" w:eastAsia="仿宋" w:hAnsi="仿宋" w:cs="仿宋" w:hint="eastAsia"/>
          <w:sz w:val="32"/>
          <w:szCs w:val="32"/>
        </w:rPr>
        <w:t xml:space="preserve">1.“三公”经费一般公共预算财政拨款支出决算总体情况说明。 </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2020年度“三公”经费一般公共预算财政拨款支出预算为1.86万元，支出决算为0.44万元，完成预算的23.66%,2020年度“三公”经费支出决算数小于预算数的主要原因是本年度因疫情原因，公务接待费用减少。</w:t>
      </w:r>
    </w:p>
    <w:p w:rsidR="001A62A6" w:rsidRDefault="00F74754">
      <w:pPr>
        <w:spacing w:line="600" w:lineRule="atLeast"/>
        <w:ind w:firstLineChars="200" w:firstLine="643"/>
        <w:jc w:val="both"/>
        <w:rPr>
          <w:rFonts w:cs="宋体" w:hint="default"/>
        </w:rPr>
      </w:pPr>
      <w:r>
        <w:rPr>
          <w:rStyle w:val="24"/>
          <w:rFonts w:ascii="仿宋" w:eastAsia="仿宋" w:hAnsi="仿宋" w:cs="仿宋" w:hint="eastAsia"/>
          <w:sz w:val="32"/>
          <w:szCs w:val="32"/>
        </w:rPr>
        <w:t>2.“三公”经费一般公共预算财政拨款支出决算具体情况说明。</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2020年度“三公”经费一般公共预算财政拨款支出决算中，因公出国（境）费用支出决算为0万元，占0%，与2019年度相比，增加0万元，增长0%，主要原因是无出国（境）安排；公务用车购置及运行维护费支出决算为0万元，占0%，与2019年度相比，增加0万元，增长0%，主要原因是无公务用车购置及运行维护费支出；公务接待费支出决算为0.44万元，占100.00%，与2019年度相比，减</w:t>
      </w:r>
      <w:r>
        <w:rPr>
          <w:rFonts w:ascii="仿宋" w:eastAsia="仿宋" w:hAnsi="仿宋" w:cs="仿宋"/>
          <w:sz w:val="32"/>
          <w:szCs w:val="32"/>
        </w:rPr>
        <w:lastRenderedPageBreak/>
        <w:t>少0.75万元，下降63.07%，主要原因是本年度因疫情原因，公务接待费用减少。具体情况如下：</w:t>
      </w:r>
    </w:p>
    <w:p w:rsidR="001A62A6" w:rsidRDefault="00F74754">
      <w:pPr>
        <w:numPr>
          <w:ilvl w:val="0"/>
          <w:numId w:val="4"/>
        </w:num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因公出国（境）费预算数为0万元，支出决算为0万元。完成预算的0%。主要用于机关及下属预算单位人员的等公务出国（境）的住宿费、国际旅费、培训费、公杂费等支出。决算数小于预算数的主要原因是无出国（境）安排。全年使用一般公共预算财政拨款支出涉及因公出国(境)团组0个；累计0人次。</w:t>
      </w:r>
    </w:p>
    <w:p w:rsidR="001A62A6" w:rsidRDefault="00F74754">
      <w:pPr>
        <w:autoSpaceDE w:val="0"/>
        <w:spacing w:line="600" w:lineRule="atLeast"/>
        <w:ind w:firstLineChars="200" w:firstLine="640"/>
        <w:jc w:val="both"/>
        <w:rPr>
          <w:rFonts w:cs="宋体" w:hint="default"/>
        </w:rPr>
      </w:pPr>
      <w:r>
        <w:rPr>
          <w:rFonts w:ascii="仿宋" w:eastAsia="仿宋" w:hAnsi="仿宋" w:cs="仿宋"/>
          <w:sz w:val="32"/>
          <w:szCs w:val="32"/>
        </w:rPr>
        <w:t>（2）公务用车购置及运行维护费预算数为0万元，支出决算为0万元，完成预算的0%。决算数小于预算数的主要原因是无公务用车购置及运行维护费支出。</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公务用车购置预算数为0万元，支出决算为0万元（含购置税等附加费用），完成预算的0%。决算数小于预算数的主要原因是无公务用车购置支出。主要用于经批准购置的0辆公务用车；</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公务用车运行维护费预算数为0万元，支出0万元，完成预算的0%。决算数小于预算数的主要原因是无公务运行维护费支出。主要用于特种用车等所需的公务用车燃料费、维修费、过路过桥费、保险费、安全奖励费用等支出；2020年度，本级及所属单位开支一般公共预算财政拨款的公务用车保有量为0辆。</w:t>
      </w:r>
    </w:p>
    <w:p w:rsidR="001A62A6" w:rsidRDefault="00F74754">
      <w:pPr>
        <w:snapToGrid w:val="0"/>
        <w:spacing w:line="600" w:lineRule="atLeast"/>
        <w:ind w:firstLine="640"/>
        <w:jc w:val="both"/>
        <w:rPr>
          <w:rFonts w:cs="宋体" w:hint="default"/>
        </w:rPr>
      </w:pPr>
      <w:r>
        <w:rPr>
          <w:rFonts w:ascii="仿宋" w:eastAsia="仿宋" w:hAnsi="仿宋" w:cs="仿宋"/>
          <w:sz w:val="32"/>
          <w:szCs w:val="32"/>
        </w:rPr>
        <w:lastRenderedPageBreak/>
        <w:t>（3）公务接待费预算数为1.86万元，支出决算为0.44万元，完成预算的23.66%。主要用于接待上级部门的业务指导，各兄弟单位考察业务交流等支出。决算数小于预算数的主要原因是本年度因疫情原因，公务接待费用减少。全年使用一般公共预算财政拨款国内公务接待4团组，累计22人次。</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外宾接待支出0万元，接待0团组，0人次。</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其他国内公务接待支出0.44万元，主要用于上级部门的业务指导，各兄弟单位考察业务交流等支出，接待4团组，22人次。</w:t>
      </w:r>
    </w:p>
    <w:p w:rsidR="001A62A6" w:rsidRDefault="00F74754">
      <w:pPr>
        <w:spacing w:line="600" w:lineRule="atLeast"/>
        <w:ind w:firstLineChars="200" w:firstLine="643"/>
        <w:jc w:val="both"/>
        <w:rPr>
          <w:rFonts w:cs="宋体" w:hint="default"/>
        </w:rPr>
      </w:pPr>
      <w:r>
        <w:rPr>
          <w:rStyle w:val="24"/>
          <w:rFonts w:ascii="楷体" w:eastAsia="楷体" w:hAnsi="楷体" w:cs="楷体" w:hint="eastAsia"/>
          <w:sz w:val="32"/>
          <w:szCs w:val="32"/>
        </w:rPr>
        <w:t>（十）机关运行经费支出说明</w:t>
      </w:r>
    </w:p>
    <w:p w:rsidR="001A62A6" w:rsidRDefault="00F74754">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本单位是非参公的事业单位，无机关运行经费安排，机关运行经费为0万元。</w:t>
      </w:r>
    </w:p>
    <w:p w:rsidR="001A62A6" w:rsidRDefault="00F74754">
      <w:pPr>
        <w:spacing w:line="600" w:lineRule="atLeast"/>
        <w:ind w:firstLineChars="200" w:firstLine="643"/>
        <w:jc w:val="both"/>
        <w:rPr>
          <w:rFonts w:cs="宋体" w:hint="default"/>
        </w:rPr>
      </w:pPr>
      <w:r>
        <w:rPr>
          <w:rStyle w:val="24"/>
          <w:rFonts w:ascii="楷体" w:eastAsia="楷体" w:hAnsi="楷体" w:cs="楷体" w:hint="eastAsia"/>
          <w:sz w:val="32"/>
          <w:szCs w:val="32"/>
        </w:rPr>
        <w:t>（十一）政府采购支出说明</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2020年度政府采购支出总额109.47万元，其中：政府采购货物支出63.59万元、政府采购工程支出45.88万元、政府采购服务支出0万元。授予中小企业合同金额109.47万元，占政府采购支出总额的100.00%。其中，授予小微企业合同金额0万元，占政府采购支出总额的0%。</w:t>
      </w:r>
    </w:p>
    <w:p w:rsidR="001A62A6" w:rsidRDefault="00F74754">
      <w:pPr>
        <w:spacing w:line="600" w:lineRule="atLeast"/>
        <w:ind w:firstLineChars="200" w:firstLine="643"/>
        <w:jc w:val="both"/>
        <w:rPr>
          <w:rFonts w:cs="宋体" w:hint="default"/>
        </w:rPr>
      </w:pPr>
      <w:r>
        <w:rPr>
          <w:rStyle w:val="24"/>
          <w:rFonts w:ascii="楷体" w:eastAsia="楷体" w:hAnsi="楷体" w:cs="楷体" w:hint="eastAsia"/>
          <w:sz w:val="32"/>
          <w:szCs w:val="32"/>
        </w:rPr>
        <w:t>（十二）国有资产占有情况说明</w:t>
      </w:r>
    </w:p>
    <w:p w:rsidR="001A62A6" w:rsidRDefault="00F74754">
      <w:pPr>
        <w:spacing w:line="600" w:lineRule="atLeast"/>
        <w:ind w:firstLineChars="200" w:firstLine="640"/>
        <w:jc w:val="both"/>
        <w:rPr>
          <w:rFonts w:ascii="楷体" w:eastAsia="楷体" w:hAnsi="楷体" w:cs="楷体" w:hint="default"/>
          <w:b/>
          <w:sz w:val="32"/>
          <w:szCs w:val="32"/>
        </w:rPr>
      </w:pPr>
      <w:r>
        <w:rPr>
          <w:rFonts w:ascii="仿宋" w:eastAsia="仿宋" w:hAnsi="仿宋" w:cs="仿宋"/>
          <w:sz w:val="32"/>
          <w:szCs w:val="32"/>
        </w:rPr>
        <w:t>截至2020年12月31日，单位共有车辆1辆，其中，副部（省）级及以上领导用车0辆、主要领导干部用车0</w:t>
      </w:r>
      <w:r>
        <w:rPr>
          <w:rFonts w:ascii="仿宋" w:eastAsia="仿宋" w:hAnsi="仿宋" w:cs="仿宋"/>
          <w:sz w:val="32"/>
          <w:szCs w:val="32"/>
        </w:rPr>
        <w:lastRenderedPageBreak/>
        <w:t xml:space="preserve">辆、机要通信用车0辆、应急保障用车0辆、执法执勤用车0辆、特种专业技术用车0辆、离退休干部用车0辆、其他用车1辆,其他用车主要是残疾人紧急就医临时性用车以及日常业务用车；单价50万元以上通用设备1台（套），单价100万元以上专用设备0台（套）。 </w:t>
      </w:r>
    </w:p>
    <w:p w:rsidR="001A62A6" w:rsidRDefault="00F74754">
      <w:pPr>
        <w:spacing w:line="600" w:lineRule="atLeast"/>
        <w:ind w:firstLineChars="200" w:firstLine="643"/>
        <w:jc w:val="both"/>
        <w:rPr>
          <w:rFonts w:cs="宋体" w:hint="default"/>
        </w:rPr>
      </w:pPr>
      <w:r>
        <w:rPr>
          <w:rStyle w:val="24"/>
          <w:rFonts w:ascii="楷体" w:eastAsia="楷体" w:hAnsi="楷体" w:cs="楷体" w:hint="eastAsia"/>
          <w:sz w:val="32"/>
          <w:szCs w:val="32"/>
        </w:rPr>
        <w:t>（十三）预算绩效情况说明</w:t>
      </w:r>
    </w:p>
    <w:p w:rsidR="001A62A6" w:rsidRDefault="00F74754">
      <w:pPr>
        <w:spacing w:line="600" w:lineRule="atLeast"/>
        <w:ind w:firstLineChars="200" w:firstLine="643"/>
        <w:jc w:val="both"/>
        <w:rPr>
          <w:rFonts w:cs="宋体" w:hint="default"/>
        </w:rPr>
      </w:pPr>
      <w:r>
        <w:rPr>
          <w:rStyle w:val="24"/>
          <w:rFonts w:ascii="仿宋" w:eastAsia="仿宋" w:hAnsi="仿宋" w:cs="仿宋" w:hint="eastAsia"/>
          <w:sz w:val="32"/>
          <w:szCs w:val="32"/>
        </w:rPr>
        <w:t xml:space="preserve">1.预算绩效管理工作开展情况。 </w:t>
      </w:r>
    </w:p>
    <w:p w:rsidR="001A62A6" w:rsidRDefault="00F74754">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根据预算绩效管理要求，单位组织对2020年度一般公共预算项目支出全面开展绩效自评，涉及项目7个，共涉及资金849.56万元，占一般公共预算项目支出总额的100%。</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 xml:space="preserve">本年无政府性基金预算项目。 </w:t>
      </w:r>
    </w:p>
    <w:p w:rsidR="001A62A6" w:rsidRDefault="00F74754">
      <w:pPr>
        <w:spacing w:line="600" w:lineRule="atLeast"/>
        <w:ind w:firstLineChars="200" w:firstLine="640"/>
        <w:jc w:val="both"/>
        <w:rPr>
          <w:rFonts w:eastAsia="仿宋" w:cs="宋体" w:hint="default"/>
        </w:rPr>
      </w:pPr>
      <w:r>
        <w:rPr>
          <w:rFonts w:ascii="仿宋" w:eastAsia="仿宋" w:hAnsi="仿宋" w:cs="仿宋"/>
          <w:sz w:val="32"/>
          <w:szCs w:val="32"/>
        </w:rPr>
        <w:t>本年无部门评价。</w:t>
      </w:r>
    </w:p>
    <w:p w:rsidR="001A62A6" w:rsidRDefault="00F74754">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本年无部门整体支出绩效评价。</w:t>
      </w:r>
    </w:p>
    <w:p w:rsidR="001A62A6" w:rsidRDefault="00F74754">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本年无下属部门或单位整体支出绩效评价。</w:t>
      </w:r>
    </w:p>
    <w:p w:rsidR="001A62A6" w:rsidRDefault="00F74754">
      <w:pPr>
        <w:numPr>
          <w:ilvl w:val="0"/>
          <w:numId w:val="5"/>
        </w:numPr>
        <w:spacing w:line="600" w:lineRule="atLeast"/>
        <w:ind w:firstLineChars="200" w:firstLine="643"/>
        <w:jc w:val="both"/>
        <w:rPr>
          <w:rFonts w:ascii="仿宋" w:eastAsia="仿宋" w:hAnsi="仿宋" w:cs="仿宋" w:hint="default"/>
          <w:b/>
          <w:sz w:val="32"/>
          <w:szCs w:val="32"/>
        </w:rPr>
      </w:pPr>
      <w:r>
        <w:rPr>
          <w:rStyle w:val="24"/>
          <w:rFonts w:ascii="仿宋" w:eastAsia="仿宋" w:hAnsi="仿宋" w:cs="仿宋" w:hint="eastAsia"/>
          <w:sz w:val="32"/>
          <w:szCs w:val="32"/>
        </w:rPr>
        <w:t>单位决算中项目绩效自评结果</w:t>
      </w:r>
    </w:p>
    <w:p w:rsidR="001A62A6" w:rsidRDefault="00F74754">
      <w:pPr>
        <w:autoSpaceDE w:val="0"/>
        <w:spacing w:line="600" w:lineRule="atLeast"/>
        <w:ind w:firstLineChars="200" w:firstLine="640"/>
        <w:jc w:val="both"/>
        <w:rPr>
          <w:rFonts w:cs="宋体" w:hint="default"/>
        </w:rPr>
      </w:pPr>
      <w:r>
        <w:rPr>
          <w:rFonts w:ascii="仿宋" w:eastAsia="仿宋" w:hAnsi="仿宋" w:cs="仿宋"/>
          <w:sz w:val="32"/>
          <w:szCs w:val="32"/>
        </w:rPr>
        <w:t>温岭市残疾人托养中心在2020年度单位决算中反映大楼物业管理费及托养人员医疗康复经费项目绩效自评结果。</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大楼物业管理费项目绩效自评综述：根据年初设定的绩效目标，项目自评得分98分，自评结论为“优”。项目全年预算数为51.7万元，执行数为51.7万元，完成预算的100%。项目绩效目标完成情况：一是服务人数249人；二是设备设施故障率降低36%；三是垃圾清理量达到44万</w:t>
      </w:r>
      <w:r>
        <w:rPr>
          <w:rFonts w:ascii="仿宋" w:eastAsia="仿宋" w:hAnsi="仿宋" w:cs="仿宋"/>
          <w:sz w:val="32"/>
          <w:szCs w:val="32"/>
        </w:rPr>
        <w:lastRenderedPageBreak/>
        <w:t>升；四是绿化环境面积1万平方米。发现的问题及原因：残疾托养人员、中心安全保障仍存在隐患，设备故障率仍存在，项目实施存在盲点。下一步改进措施：进一步加强中心以及残疾托养人员安全，使家属以及社会公众对中心工作放心，将设备运行率达到百分比为目标进行项目实施。</w:t>
      </w:r>
    </w:p>
    <w:p w:rsidR="001A62A6" w:rsidRDefault="00F74754">
      <w:pPr>
        <w:spacing w:line="600" w:lineRule="atLeast"/>
        <w:ind w:firstLineChars="200" w:firstLine="640"/>
        <w:jc w:val="both"/>
        <w:rPr>
          <w:rFonts w:ascii="方正小标宋简体" w:eastAsia="方正小标宋简体" w:hAnsi="华文仿宋" w:cs="方正小标宋简体" w:hint="default"/>
          <w:spacing w:val="7"/>
          <w:sz w:val="44"/>
          <w:szCs w:val="44"/>
        </w:rPr>
      </w:pPr>
      <w:r>
        <w:rPr>
          <w:rFonts w:ascii="仿宋" w:eastAsia="仿宋" w:hAnsi="仿宋" w:cs="仿宋"/>
          <w:sz w:val="32"/>
          <w:szCs w:val="32"/>
        </w:rPr>
        <w:t>托养人员医疗康复经费项目绩效自评综述：根据年初设定的绩效目标，项目自评得分98分，自评结论为“优”。项目全年预算数为41万元，执行数为41万元，完成预算的100%。项目绩效目标完成情况：一是服务人数249人；二是残疾人日常体检、康复费用有所保障。发现的问题及原因：该项目是为了保障残疾人病有所医，日常服药费以及体检费用，家属对此并不了解，有些报销之外的药物费用无所出，项目实施起来并不完善。下一步改进措施：更好的去宣传有关残疾人医疗相关政策，让残疾人以及家属减少经济压力。</w:t>
      </w:r>
    </w:p>
    <w:p w:rsidR="001A62A6" w:rsidRDefault="001A62A6">
      <w:pPr>
        <w:adjustRightInd w:val="0"/>
        <w:snapToGrid w:val="0"/>
        <w:jc w:val="both"/>
        <w:rPr>
          <w:rFonts w:ascii="方正小标宋简体" w:eastAsia="方正小标宋简体" w:hAnsi="华文仿宋" w:cs="方正小标宋简体" w:hint="default"/>
          <w:spacing w:val="7"/>
          <w:sz w:val="44"/>
          <w:szCs w:val="44"/>
        </w:rPr>
      </w:pPr>
    </w:p>
    <w:p w:rsidR="001A62A6" w:rsidRDefault="00F74754">
      <w:pPr>
        <w:adjustRightInd w:val="0"/>
        <w:snapToGrid w:val="0"/>
        <w:jc w:val="center"/>
        <w:rPr>
          <w:rFonts w:ascii="楷体_GB2312" w:eastAsia="楷体_GB2312" w:hAnsi="华文仿宋" w:cs="方正小标宋简体" w:hint="default"/>
          <w:spacing w:val="7"/>
          <w:sz w:val="32"/>
          <w:szCs w:val="32"/>
        </w:rPr>
      </w:pPr>
      <w:r>
        <w:rPr>
          <w:rFonts w:ascii="方正小标宋简体" w:eastAsia="方正小标宋简体" w:hAnsi="方正小标宋简体" w:cs="方正小标宋简体" w:hint="default"/>
          <w:spacing w:val="7"/>
          <w:sz w:val="44"/>
          <w:szCs w:val="44"/>
        </w:rPr>
        <w:t>温岭市项目支出绩效自评表</w:t>
      </w:r>
    </w:p>
    <w:p w:rsidR="001A62A6" w:rsidRDefault="00F74754">
      <w:pPr>
        <w:adjustRightInd w:val="0"/>
        <w:snapToGrid w:val="0"/>
        <w:jc w:val="center"/>
        <w:rPr>
          <w:rFonts w:ascii="楷体_GB2312" w:eastAsia="楷体_GB2312" w:hAnsi="华文仿宋" w:cs="宋体" w:hint="default"/>
          <w:spacing w:val="7"/>
          <w:sz w:val="32"/>
          <w:szCs w:val="32"/>
        </w:rPr>
      </w:pPr>
      <w:r>
        <w:rPr>
          <w:rFonts w:ascii="楷体_GB2312" w:eastAsia="楷体_GB2312" w:hAnsi="华文仿宋" w:cs="楷体_GB2312" w:hint="default"/>
          <w:spacing w:val="7"/>
          <w:sz w:val="32"/>
          <w:szCs w:val="32"/>
        </w:rPr>
        <w:t>（</w:t>
      </w:r>
      <w:r>
        <w:rPr>
          <w:rFonts w:ascii="华文仿宋" w:eastAsia="华文仿宋" w:hAnsi="华文仿宋" w:cs="华文仿宋"/>
          <w:spacing w:val="7"/>
          <w:sz w:val="32"/>
          <w:szCs w:val="32"/>
        </w:rPr>
        <w:t>2020</w:t>
      </w:r>
      <w:r>
        <w:rPr>
          <w:rFonts w:ascii="楷体_GB2312" w:eastAsia="楷体_GB2312" w:hAnsi="华文仿宋" w:cs="楷体_GB2312" w:hint="default"/>
          <w:spacing w:val="7"/>
          <w:sz w:val="32"/>
          <w:szCs w:val="32"/>
        </w:rPr>
        <w:t>年度）</w:t>
      </w:r>
    </w:p>
    <w:tbl>
      <w:tblPr>
        <w:tblW w:w="9090"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383"/>
        <w:gridCol w:w="87"/>
        <w:gridCol w:w="1501"/>
        <w:gridCol w:w="1462"/>
        <w:gridCol w:w="750"/>
        <w:gridCol w:w="750"/>
        <w:gridCol w:w="82"/>
        <w:gridCol w:w="1132"/>
      </w:tblGrid>
      <w:tr w:rsidR="001A62A6">
        <w:trPr>
          <w:trHeight w:val="607"/>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rPr>
            </w:pPr>
            <w:r>
              <w:rPr>
                <w:rFonts w:cs="仿宋_GB2312"/>
              </w:rPr>
              <w:t>项目</w:t>
            </w:r>
          </w:p>
          <w:p w:rsidR="001A62A6" w:rsidRDefault="00F74754">
            <w:pPr>
              <w:adjustRightInd w:val="0"/>
              <w:snapToGrid w:val="0"/>
              <w:jc w:val="center"/>
              <w:rPr>
                <w:rFonts w:cs="仿宋_GB2312" w:hint="default"/>
              </w:rPr>
            </w:pPr>
            <w:r>
              <w:rPr>
                <w:rFonts w:cs="仿宋_GB2312"/>
              </w:rPr>
              <w:t>名称</w:t>
            </w:r>
          </w:p>
        </w:tc>
        <w:tc>
          <w:tcPr>
            <w:tcW w:w="8140" w:type="dxa"/>
            <w:gridSpan w:val="10"/>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大楼物业管理费</w:t>
            </w:r>
          </w:p>
        </w:tc>
      </w:tr>
      <w:tr w:rsidR="001A62A6">
        <w:trPr>
          <w:trHeight w:val="672"/>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主管</w:t>
            </w:r>
          </w:p>
          <w:p w:rsidR="001A62A6" w:rsidRDefault="00F74754">
            <w:pPr>
              <w:adjustRightInd w:val="0"/>
              <w:snapToGrid w:val="0"/>
              <w:jc w:val="center"/>
              <w:rPr>
                <w:rFonts w:cs="仿宋_GB2312" w:hint="default"/>
                <w:spacing w:val="7"/>
              </w:rPr>
            </w:pPr>
            <w:r>
              <w:rPr>
                <w:rFonts w:cs="仿宋_GB2312"/>
                <w:spacing w:val="7"/>
              </w:rPr>
              <w:t>部门</w:t>
            </w:r>
          </w:p>
        </w:tc>
        <w:tc>
          <w:tcPr>
            <w:tcW w:w="396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sz w:val="21"/>
                <w:szCs w:val="21"/>
              </w:rPr>
            </w:pPr>
            <w:r>
              <w:rPr>
                <w:rFonts w:cs="仿宋_GB2312"/>
                <w:spacing w:val="7"/>
              </w:rPr>
              <w:t>温岭市残疾人联合会</w:t>
            </w: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实施单位</w:t>
            </w:r>
          </w:p>
        </w:tc>
        <w:tc>
          <w:tcPr>
            <w:tcW w:w="2714"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温岭市残疾人托养中心</w:t>
            </w:r>
          </w:p>
        </w:tc>
      </w:tr>
      <w:tr w:rsidR="001A62A6">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项目</w:t>
            </w:r>
          </w:p>
          <w:p w:rsidR="001A62A6" w:rsidRDefault="00F74754">
            <w:pPr>
              <w:adjustRightInd w:val="0"/>
              <w:snapToGrid w:val="0"/>
              <w:jc w:val="center"/>
              <w:rPr>
                <w:rFonts w:cs="仿宋_GB2312" w:hint="default"/>
                <w:spacing w:val="7"/>
              </w:rPr>
            </w:pPr>
            <w:r>
              <w:rPr>
                <w:rFonts w:cs="仿宋_GB2312"/>
                <w:spacing w:val="7"/>
              </w:rPr>
              <w:t>资金</w:t>
            </w:r>
            <w:r>
              <w:rPr>
                <w:rFonts w:cs="仿宋_GB2312"/>
                <w:spacing w:val="7"/>
              </w:rPr>
              <w:lastRenderedPageBreak/>
              <w:t>(万元)</w:t>
            </w: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c>
          <w:tcPr>
            <w:tcW w:w="150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年初预算数</w:t>
            </w: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全年预算数</w:t>
            </w:r>
          </w:p>
        </w:tc>
        <w:tc>
          <w:tcPr>
            <w:tcW w:w="1582"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全年执行数</w:t>
            </w:r>
          </w:p>
        </w:tc>
        <w:tc>
          <w:tcPr>
            <w:tcW w:w="113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执行率</w:t>
            </w:r>
          </w:p>
        </w:tc>
      </w:tr>
      <w:tr w:rsidR="001A62A6">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年度资金总额</w:t>
            </w:r>
          </w:p>
        </w:tc>
        <w:tc>
          <w:tcPr>
            <w:tcW w:w="150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51.7</w:t>
            </w: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51.7</w:t>
            </w:r>
          </w:p>
        </w:tc>
        <w:tc>
          <w:tcPr>
            <w:tcW w:w="1582"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51.7</w:t>
            </w:r>
          </w:p>
        </w:tc>
        <w:tc>
          <w:tcPr>
            <w:tcW w:w="113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100%</w:t>
            </w:r>
          </w:p>
        </w:tc>
      </w:tr>
      <w:tr w:rsidR="001A62A6">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其中：当年财政拨款</w:t>
            </w:r>
          </w:p>
        </w:tc>
        <w:tc>
          <w:tcPr>
            <w:tcW w:w="150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51.7</w:t>
            </w: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51.7</w:t>
            </w:r>
          </w:p>
        </w:tc>
        <w:tc>
          <w:tcPr>
            <w:tcW w:w="1582"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51.7</w:t>
            </w:r>
          </w:p>
        </w:tc>
        <w:tc>
          <w:tcPr>
            <w:tcW w:w="113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100%</w:t>
            </w:r>
          </w:p>
        </w:tc>
      </w:tr>
      <w:tr w:rsidR="001A62A6">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 xml:space="preserve">   上年结转资金</w:t>
            </w:r>
          </w:p>
        </w:tc>
        <w:tc>
          <w:tcPr>
            <w:tcW w:w="150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c>
          <w:tcPr>
            <w:tcW w:w="1582"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c>
          <w:tcPr>
            <w:tcW w:w="113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其他资金</w:t>
            </w:r>
          </w:p>
        </w:tc>
        <w:tc>
          <w:tcPr>
            <w:tcW w:w="150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jc w:val="center"/>
              <w:rPr>
                <w:rFonts w:cs="仿宋_GB2312" w:hint="default"/>
                <w:spacing w:val="7"/>
              </w:rPr>
            </w:pP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jc w:val="center"/>
              <w:rPr>
                <w:rFonts w:cs="仿宋_GB2312" w:hint="default"/>
                <w:spacing w:val="7"/>
              </w:rPr>
            </w:pPr>
          </w:p>
        </w:tc>
        <w:tc>
          <w:tcPr>
            <w:tcW w:w="1582"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jc w:val="center"/>
              <w:rPr>
                <w:rFonts w:cs="仿宋_GB2312" w:hint="default"/>
                <w:spacing w:val="7"/>
              </w:rPr>
            </w:pPr>
          </w:p>
        </w:tc>
        <w:tc>
          <w:tcPr>
            <w:tcW w:w="113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年度总体目标</w:t>
            </w:r>
          </w:p>
        </w:tc>
        <w:tc>
          <w:tcPr>
            <w:tcW w:w="396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预期目标</w:t>
            </w:r>
          </w:p>
        </w:tc>
        <w:tc>
          <w:tcPr>
            <w:tcW w:w="4176"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实际完成情况</w:t>
            </w:r>
          </w:p>
        </w:tc>
      </w:tr>
      <w:tr w:rsidR="001A62A6">
        <w:trPr>
          <w:trHeight w:val="958"/>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396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保障残疾托养人员以及中心安全，美化托养环境，维护社会和谐稳定。</w:t>
            </w:r>
          </w:p>
        </w:tc>
        <w:tc>
          <w:tcPr>
            <w:tcW w:w="4176"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中心正常运行，设备设施故障率有所降低。美化环境，托养人员身心健康得以保障。</w:t>
            </w:r>
          </w:p>
        </w:tc>
      </w:tr>
      <w:tr w:rsidR="001A62A6">
        <w:trPr>
          <w:trHeight w:val="540"/>
        </w:trPr>
        <w:tc>
          <w:tcPr>
            <w:tcW w:w="458"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绩效指标</w:t>
            </w:r>
          </w:p>
        </w:tc>
        <w:tc>
          <w:tcPr>
            <w:tcW w:w="49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一级指标</w:t>
            </w: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二级</w:t>
            </w:r>
          </w:p>
          <w:p w:rsidR="001A62A6" w:rsidRDefault="00F74754">
            <w:pPr>
              <w:adjustRightInd w:val="0"/>
              <w:snapToGrid w:val="0"/>
              <w:jc w:val="center"/>
              <w:rPr>
                <w:rFonts w:cs="仿宋_GB2312" w:hint="default"/>
                <w:spacing w:val="7"/>
              </w:rPr>
            </w:pPr>
            <w:r>
              <w:rPr>
                <w:rFonts w:cs="仿宋_GB2312"/>
                <w:spacing w:val="7"/>
              </w:rPr>
              <w:t>指标</w:t>
            </w:r>
          </w:p>
        </w:tc>
        <w:tc>
          <w:tcPr>
            <w:tcW w:w="138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三级</w:t>
            </w:r>
          </w:p>
          <w:p w:rsidR="001A62A6" w:rsidRDefault="00F74754">
            <w:pPr>
              <w:adjustRightInd w:val="0"/>
              <w:snapToGrid w:val="0"/>
              <w:jc w:val="center"/>
              <w:rPr>
                <w:rFonts w:cs="仿宋_GB2312" w:hint="default"/>
                <w:spacing w:val="7"/>
              </w:rPr>
            </w:pPr>
            <w:r>
              <w:rPr>
                <w:rFonts w:cs="仿宋_GB2312"/>
                <w:spacing w:val="7"/>
              </w:rPr>
              <w:t>指标</w:t>
            </w:r>
          </w:p>
        </w:tc>
        <w:tc>
          <w:tcPr>
            <w:tcW w:w="158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年度</w:t>
            </w:r>
          </w:p>
          <w:p w:rsidR="001A62A6" w:rsidRDefault="00F74754">
            <w:pPr>
              <w:adjustRightInd w:val="0"/>
              <w:snapToGrid w:val="0"/>
              <w:jc w:val="center"/>
              <w:rPr>
                <w:rFonts w:cs="仿宋_GB2312" w:hint="default"/>
                <w:spacing w:val="7"/>
              </w:rPr>
            </w:pPr>
            <w:r>
              <w:rPr>
                <w:rFonts w:cs="仿宋_GB2312"/>
                <w:spacing w:val="7"/>
              </w:rPr>
              <w:t>指标值</w:t>
            </w: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实际</w:t>
            </w:r>
          </w:p>
          <w:p w:rsidR="001A62A6" w:rsidRDefault="00F74754">
            <w:pPr>
              <w:adjustRightInd w:val="0"/>
              <w:snapToGrid w:val="0"/>
              <w:jc w:val="center"/>
              <w:rPr>
                <w:rFonts w:cs="仿宋_GB2312" w:hint="default"/>
                <w:spacing w:val="7"/>
              </w:rPr>
            </w:pPr>
            <w:r>
              <w:rPr>
                <w:rFonts w:cs="仿宋_GB2312"/>
                <w:spacing w:val="7"/>
              </w:rPr>
              <w:t>完成值</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权重</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得分</w:t>
            </w:r>
          </w:p>
        </w:tc>
        <w:tc>
          <w:tcPr>
            <w:tcW w:w="121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偏差原因分析及改进措施</w:t>
            </w:r>
          </w:p>
        </w:tc>
      </w:tr>
      <w:tr w:rsidR="001A62A6">
        <w:trPr>
          <w:trHeight w:val="1200"/>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492"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产出指标</w:t>
            </w: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数量</w:t>
            </w:r>
          </w:p>
          <w:p w:rsidR="001A62A6" w:rsidRDefault="00F74754">
            <w:pPr>
              <w:adjustRightInd w:val="0"/>
              <w:snapToGrid w:val="0"/>
              <w:jc w:val="center"/>
              <w:rPr>
                <w:rFonts w:cs="仿宋_GB2312" w:hint="default"/>
                <w:spacing w:val="7"/>
              </w:rPr>
            </w:pPr>
            <w:r>
              <w:rPr>
                <w:rFonts w:cs="仿宋_GB2312"/>
                <w:spacing w:val="7"/>
              </w:rPr>
              <w:t>指标</w:t>
            </w:r>
          </w:p>
        </w:tc>
        <w:tc>
          <w:tcPr>
            <w:tcW w:w="138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服务人数</w:t>
            </w:r>
          </w:p>
        </w:tc>
        <w:tc>
          <w:tcPr>
            <w:tcW w:w="158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255人</w:t>
            </w: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249人</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9</w:t>
            </w:r>
          </w:p>
        </w:tc>
        <w:tc>
          <w:tcPr>
            <w:tcW w:w="121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因疫情影响，新增托养人员减少。</w:t>
            </w:r>
          </w:p>
        </w:tc>
      </w:tr>
      <w:tr w:rsidR="001A62A6">
        <w:trPr>
          <w:trHeight w:val="625"/>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138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设备设施故障率</w:t>
            </w:r>
          </w:p>
        </w:tc>
        <w:tc>
          <w:tcPr>
            <w:tcW w:w="158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≤35%</w:t>
            </w: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≤36%</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w:t>
            </w:r>
          </w:p>
        </w:tc>
        <w:tc>
          <w:tcPr>
            <w:tcW w:w="121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430"/>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138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垃圾清理量</w:t>
            </w:r>
          </w:p>
        </w:tc>
        <w:tc>
          <w:tcPr>
            <w:tcW w:w="158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43.8万升</w:t>
            </w: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44万升</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5</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5</w:t>
            </w:r>
          </w:p>
        </w:tc>
        <w:tc>
          <w:tcPr>
            <w:tcW w:w="121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650"/>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138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绿化环境面积</w:t>
            </w:r>
          </w:p>
        </w:tc>
        <w:tc>
          <w:tcPr>
            <w:tcW w:w="158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1万平方米</w:t>
            </w: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1万平方米</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5</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5</w:t>
            </w:r>
          </w:p>
        </w:tc>
        <w:tc>
          <w:tcPr>
            <w:tcW w:w="121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1455"/>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质量</w:t>
            </w:r>
          </w:p>
          <w:p w:rsidR="001A62A6" w:rsidRDefault="00F74754">
            <w:pPr>
              <w:adjustRightInd w:val="0"/>
              <w:snapToGrid w:val="0"/>
              <w:jc w:val="center"/>
              <w:rPr>
                <w:rFonts w:cs="仿宋_GB2312" w:hint="default"/>
                <w:spacing w:val="7"/>
              </w:rPr>
            </w:pPr>
            <w:r>
              <w:rPr>
                <w:rFonts w:cs="仿宋_GB2312"/>
                <w:spacing w:val="7"/>
              </w:rPr>
              <w:t>指标</w:t>
            </w:r>
          </w:p>
        </w:tc>
        <w:tc>
          <w:tcPr>
            <w:tcW w:w="138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是否符合设备设施修复规定要求以及环境要求</w:t>
            </w:r>
          </w:p>
        </w:tc>
        <w:tc>
          <w:tcPr>
            <w:tcW w:w="158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符合规定要求</w:t>
            </w: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符合规定要求</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w:t>
            </w:r>
          </w:p>
        </w:tc>
        <w:tc>
          <w:tcPr>
            <w:tcW w:w="121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1592"/>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138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政府采购是否符合相关手续要求</w:t>
            </w:r>
          </w:p>
        </w:tc>
        <w:tc>
          <w:tcPr>
            <w:tcW w:w="158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符合政府采购要求</w:t>
            </w: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符合政府采购要求</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w:t>
            </w:r>
          </w:p>
        </w:tc>
        <w:tc>
          <w:tcPr>
            <w:tcW w:w="121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163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49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效益指标</w:t>
            </w: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社会效益指标</w:t>
            </w:r>
          </w:p>
        </w:tc>
        <w:tc>
          <w:tcPr>
            <w:tcW w:w="138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残疾托养人员、中心安全保障率以及设备运行率</w:t>
            </w:r>
          </w:p>
        </w:tc>
        <w:tc>
          <w:tcPr>
            <w:tcW w:w="158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有所提高</w:t>
            </w:r>
          </w:p>
        </w:tc>
        <w:tc>
          <w:tcPr>
            <w:tcW w:w="146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有所提高</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50</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49</w:t>
            </w:r>
          </w:p>
        </w:tc>
        <w:tc>
          <w:tcPr>
            <w:tcW w:w="121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465"/>
        </w:trPr>
        <w:tc>
          <w:tcPr>
            <w:tcW w:w="6376" w:type="dxa"/>
            <w:gridSpan w:val="8"/>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总分</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100</w:t>
            </w:r>
          </w:p>
        </w:tc>
        <w:tc>
          <w:tcPr>
            <w:tcW w:w="7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98</w:t>
            </w:r>
          </w:p>
        </w:tc>
        <w:tc>
          <w:tcPr>
            <w:tcW w:w="121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1428"/>
        </w:trPr>
        <w:tc>
          <w:tcPr>
            <w:tcW w:w="1835"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lastRenderedPageBreak/>
              <w:t>自评结论</w:t>
            </w:r>
          </w:p>
        </w:tc>
        <w:tc>
          <w:tcPr>
            <w:tcW w:w="4541"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color w:val="000000"/>
              </w:rPr>
              <w:t>优</w:t>
            </w:r>
            <w:r>
              <w:rPr>
                <w:rFonts w:cs="宋体"/>
                <w:color w:val="000000"/>
              </w:rPr>
              <w:t>☑</w:t>
            </w:r>
            <w:r>
              <w:rPr>
                <w:rFonts w:cs="仿宋_GB2312"/>
                <w:color w:val="000000"/>
              </w:rPr>
              <w:t xml:space="preserve">       良</w:t>
            </w:r>
            <w:r>
              <w:rPr>
                <w:rFonts w:cs="宋体"/>
                <w:color w:val="000000"/>
              </w:rPr>
              <w:t>□</w:t>
            </w:r>
            <w:r>
              <w:rPr>
                <w:rFonts w:cs="仿宋_GB2312"/>
                <w:color w:val="000000"/>
              </w:rPr>
              <w:t xml:space="preserve">      中□    差□</w:t>
            </w:r>
          </w:p>
        </w:tc>
        <w:tc>
          <w:tcPr>
            <w:tcW w:w="2714"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color w:val="000000"/>
              </w:rPr>
              <w:t>总分高于90分（含）的结论为“优”，90～80分（含）为“良”，80～60分（含）为“中”，低于60分为“差”。</w:t>
            </w:r>
          </w:p>
        </w:tc>
      </w:tr>
    </w:tbl>
    <w:p w:rsidR="001A62A6" w:rsidRDefault="001A62A6">
      <w:pPr>
        <w:spacing w:line="600" w:lineRule="atLeast"/>
        <w:ind w:firstLineChars="200" w:firstLine="640"/>
        <w:jc w:val="both"/>
        <w:rPr>
          <w:rFonts w:ascii="仿宋" w:eastAsia="仿宋" w:hAnsi="仿宋" w:cs="仿宋" w:hint="default"/>
          <w:sz w:val="32"/>
          <w:szCs w:val="32"/>
        </w:rPr>
      </w:pPr>
    </w:p>
    <w:p w:rsidR="001A62A6" w:rsidRDefault="001A62A6">
      <w:pPr>
        <w:spacing w:line="600" w:lineRule="atLeast"/>
        <w:ind w:firstLineChars="200" w:firstLine="640"/>
        <w:jc w:val="both"/>
        <w:rPr>
          <w:rFonts w:ascii="仿宋" w:eastAsia="仿宋" w:hAnsi="仿宋" w:cs="仿宋" w:hint="default"/>
          <w:sz w:val="32"/>
          <w:szCs w:val="32"/>
        </w:rPr>
      </w:pPr>
    </w:p>
    <w:p w:rsidR="001A62A6" w:rsidRDefault="00F74754">
      <w:pPr>
        <w:adjustRightInd w:val="0"/>
        <w:snapToGrid w:val="0"/>
        <w:jc w:val="center"/>
        <w:rPr>
          <w:rFonts w:ascii="楷体_GB2312" w:eastAsia="楷体_GB2312" w:hAnsi="华文仿宋" w:cs="方正小标宋简体" w:hint="default"/>
          <w:spacing w:val="7"/>
          <w:sz w:val="32"/>
          <w:szCs w:val="32"/>
        </w:rPr>
      </w:pPr>
      <w:r>
        <w:rPr>
          <w:rFonts w:ascii="方正小标宋简体" w:eastAsia="方正小标宋简体" w:hAnsi="方正小标宋简体" w:cs="方正小标宋简体" w:hint="default"/>
          <w:spacing w:val="7"/>
          <w:sz w:val="44"/>
          <w:szCs w:val="44"/>
        </w:rPr>
        <w:t>温岭市项目支出绩效自评表</w:t>
      </w:r>
    </w:p>
    <w:p w:rsidR="001A62A6" w:rsidRDefault="00F74754">
      <w:pPr>
        <w:adjustRightInd w:val="0"/>
        <w:snapToGrid w:val="0"/>
        <w:jc w:val="center"/>
        <w:rPr>
          <w:rFonts w:ascii="楷体_GB2312" w:eastAsia="楷体_GB2312" w:hAnsi="华文仿宋" w:cs="宋体" w:hint="default"/>
          <w:spacing w:val="7"/>
          <w:sz w:val="32"/>
          <w:szCs w:val="32"/>
        </w:rPr>
      </w:pPr>
      <w:r>
        <w:rPr>
          <w:rFonts w:ascii="楷体_GB2312" w:eastAsia="楷体_GB2312" w:hAnsi="华文仿宋" w:cs="楷体_GB2312" w:hint="default"/>
          <w:spacing w:val="7"/>
          <w:sz w:val="32"/>
          <w:szCs w:val="32"/>
        </w:rPr>
        <w:t>（</w:t>
      </w:r>
      <w:r>
        <w:rPr>
          <w:rFonts w:ascii="华文仿宋" w:eastAsia="华文仿宋" w:hAnsi="华文仿宋" w:cs="华文仿宋"/>
          <w:spacing w:val="7"/>
          <w:sz w:val="32"/>
          <w:szCs w:val="32"/>
        </w:rPr>
        <w:t>2020</w:t>
      </w:r>
      <w:r>
        <w:rPr>
          <w:rFonts w:ascii="楷体_GB2312" w:eastAsia="楷体_GB2312" w:hAnsi="华文仿宋" w:cs="楷体_GB2312" w:hint="default"/>
          <w:spacing w:val="7"/>
          <w:sz w:val="32"/>
          <w:szCs w:val="32"/>
        </w:rPr>
        <w:t>年度）</w:t>
      </w:r>
    </w:p>
    <w:tbl>
      <w:tblPr>
        <w:tblW w:w="8965"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1461"/>
        <w:gridCol w:w="1224"/>
        <w:gridCol w:w="252"/>
        <w:gridCol w:w="543"/>
        <w:gridCol w:w="765"/>
        <w:gridCol w:w="300"/>
        <w:gridCol w:w="1007"/>
      </w:tblGrid>
      <w:tr w:rsidR="001A62A6">
        <w:trPr>
          <w:trHeight w:val="607"/>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rPr>
            </w:pPr>
            <w:r>
              <w:rPr>
                <w:rFonts w:cs="仿宋_GB2312"/>
              </w:rPr>
              <w:t>项目</w:t>
            </w:r>
          </w:p>
          <w:p w:rsidR="001A62A6" w:rsidRDefault="00F74754">
            <w:pPr>
              <w:adjustRightInd w:val="0"/>
              <w:snapToGrid w:val="0"/>
              <w:jc w:val="center"/>
              <w:rPr>
                <w:rFonts w:cs="仿宋_GB2312" w:hint="default"/>
              </w:rPr>
            </w:pPr>
            <w:r>
              <w:rPr>
                <w:rFonts w:cs="仿宋_GB2312"/>
              </w:rPr>
              <w:t>名称</w:t>
            </w:r>
          </w:p>
        </w:tc>
        <w:tc>
          <w:tcPr>
            <w:tcW w:w="8015" w:type="dxa"/>
            <w:gridSpan w:val="11"/>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托养人员医疗康复经费</w:t>
            </w:r>
          </w:p>
        </w:tc>
      </w:tr>
      <w:tr w:rsidR="001A62A6">
        <w:trPr>
          <w:trHeight w:val="672"/>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主管</w:t>
            </w:r>
          </w:p>
          <w:p w:rsidR="001A62A6" w:rsidRDefault="00F74754">
            <w:pPr>
              <w:adjustRightInd w:val="0"/>
              <w:snapToGrid w:val="0"/>
              <w:jc w:val="center"/>
              <w:rPr>
                <w:rFonts w:cs="仿宋_GB2312" w:hint="default"/>
                <w:spacing w:val="7"/>
              </w:rPr>
            </w:pPr>
            <w:r>
              <w:rPr>
                <w:rFonts w:cs="仿宋_GB2312"/>
                <w:spacing w:val="7"/>
              </w:rPr>
              <w:t>部门</w:t>
            </w:r>
          </w:p>
        </w:tc>
        <w:tc>
          <w:tcPr>
            <w:tcW w:w="392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温岭市残疾人联合会</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实施单位</w:t>
            </w:r>
          </w:p>
        </w:tc>
        <w:tc>
          <w:tcPr>
            <w:tcW w:w="2615"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温岭市残疾人托养中心</w:t>
            </w:r>
          </w:p>
        </w:tc>
      </w:tr>
      <w:tr w:rsidR="001A62A6">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项目</w:t>
            </w:r>
          </w:p>
          <w:p w:rsidR="001A62A6" w:rsidRDefault="00F74754">
            <w:pPr>
              <w:adjustRightInd w:val="0"/>
              <w:snapToGrid w:val="0"/>
              <w:jc w:val="center"/>
              <w:rPr>
                <w:rFonts w:cs="仿宋_GB2312" w:hint="default"/>
                <w:spacing w:val="7"/>
              </w:rPr>
            </w:pPr>
            <w:r>
              <w:rPr>
                <w:rFonts w:cs="仿宋_GB2312"/>
                <w:spacing w:val="7"/>
              </w:rPr>
              <w:t>资金(万元)</w:t>
            </w: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年初预算数</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全年预算数</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全年执行数</w:t>
            </w: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执行率</w:t>
            </w:r>
          </w:p>
        </w:tc>
      </w:tr>
      <w:tr w:rsidR="001A62A6">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年度资金总额</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41</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41</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41</w:t>
            </w: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100%</w:t>
            </w:r>
          </w:p>
        </w:tc>
      </w:tr>
      <w:tr w:rsidR="001A62A6">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其中：当年财政拨款</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41</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41</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41</w:t>
            </w: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100%</w:t>
            </w:r>
          </w:p>
        </w:tc>
      </w:tr>
      <w:tr w:rsidR="001A62A6">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 xml:space="preserve">   上年结转资金</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其他资金</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jc w:val="center"/>
              <w:rPr>
                <w:rFonts w:cs="仿宋_GB2312" w:hint="default"/>
                <w:spacing w:val="7"/>
              </w:rPr>
            </w:pP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jc w:val="center"/>
              <w:rPr>
                <w:rFonts w:cs="仿宋_GB2312" w:hint="default"/>
                <w:spacing w:val="7"/>
              </w:rPr>
            </w:pP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jc w:val="center"/>
              <w:rPr>
                <w:rFonts w:cs="仿宋_GB2312" w:hint="default"/>
                <w:spacing w:val="7"/>
              </w:rPr>
            </w:pP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年度总体目标</w:t>
            </w:r>
          </w:p>
        </w:tc>
        <w:tc>
          <w:tcPr>
            <w:tcW w:w="392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预期目标</w:t>
            </w:r>
          </w:p>
        </w:tc>
        <w:tc>
          <w:tcPr>
            <w:tcW w:w="4091"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实际完成情况</w:t>
            </w:r>
          </w:p>
        </w:tc>
      </w:tr>
      <w:tr w:rsidR="001A62A6">
        <w:trPr>
          <w:trHeight w:val="1363"/>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392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将重度残疾人进行机构托养，切实减轻重度残疾人家属的精神负担和经济压力，解放了重度残疾人家庭的劳动力，增加家庭经济收入。为重度残疾人全面实现小康提供强有力的支持。</w:t>
            </w:r>
          </w:p>
        </w:tc>
        <w:tc>
          <w:tcPr>
            <w:tcW w:w="4091"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保障残疾人日常服药、体检等费用，减轻残疾人家属经济压力，降低精神病人肇事肇祸率，维护社会和谐稳定。</w:t>
            </w:r>
          </w:p>
        </w:tc>
      </w:tr>
      <w:tr w:rsidR="001A62A6">
        <w:trPr>
          <w:trHeight w:val="540"/>
        </w:trPr>
        <w:tc>
          <w:tcPr>
            <w:tcW w:w="458"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绩效指标</w:t>
            </w:r>
          </w:p>
        </w:tc>
        <w:tc>
          <w:tcPr>
            <w:tcW w:w="49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一级指标</w:t>
            </w: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二级</w:t>
            </w:r>
          </w:p>
          <w:p w:rsidR="001A62A6" w:rsidRDefault="00F74754">
            <w:pPr>
              <w:adjustRightInd w:val="0"/>
              <w:snapToGrid w:val="0"/>
              <w:jc w:val="center"/>
              <w:rPr>
                <w:rFonts w:cs="仿宋_GB2312" w:hint="default"/>
                <w:spacing w:val="7"/>
              </w:rPr>
            </w:pPr>
            <w:r>
              <w:rPr>
                <w:rFonts w:cs="仿宋_GB2312"/>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三级</w:t>
            </w:r>
          </w:p>
          <w:p w:rsidR="001A62A6" w:rsidRDefault="00F74754">
            <w:pPr>
              <w:adjustRightInd w:val="0"/>
              <w:snapToGrid w:val="0"/>
              <w:jc w:val="center"/>
              <w:rPr>
                <w:rFonts w:cs="仿宋_GB2312" w:hint="default"/>
                <w:spacing w:val="7"/>
              </w:rPr>
            </w:pPr>
            <w:r>
              <w:rPr>
                <w:rFonts w:cs="仿宋_GB2312"/>
                <w:spacing w:val="7"/>
              </w:rPr>
              <w:t>指标</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年度</w:t>
            </w:r>
          </w:p>
          <w:p w:rsidR="001A62A6" w:rsidRDefault="00F74754">
            <w:pPr>
              <w:adjustRightInd w:val="0"/>
              <w:snapToGrid w:val="0"/>
              <w:jc w:val="center"/>
              <w:rPr>
                <w:rFonts w:cs="仿宋_GB2312" w:hint="default"/>
                <w:spacing w:val="7"/>
              </w:rPr>
            </w:pPr>
            <w:r>
              <w:rPr>
                <w:rFonts w:cs="仿宋_GB2312"/>
                <w:spacing w:val="7"/>
              </w:rPr>
              <w:t>指标值</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实际</w:t>
            </w:r>
          </w:p>
          <w:p w:rsidR="001A62A6" w:rsidRDefault="00F74754">
            <w:pPr>
              <w:adjustRightInd w:val="0"/>
              <w:snapToGrid w:val="0"/>
              <w:jc w:val="center"/>
              <w:rPr>
                <w:rFonts w:cs="仿宋_GB2312" w:hint="default"/>
                <w:spacing w:val="7"/>
              </w:rPr>
            </w:pPr>
            <w:r>
              <w:rPr>
                <w:rFonts w:cs="仿宋_GB2312"/>
                <w:spacing w:val="7"/>
              </w:rPr>
              <w:t>完成值</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权重</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得分</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偏差原因分析及改进措施</w:t>
            </w:r>
          </w:p>
        </w:tc>
      </w:tr>
      <w:tr w:rsidR="001A62A6">
        <w:trPr>
          <w:trHeight w:val="1080"/>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492"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产出指标</w:t>
            </w: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数量</w:t>
            </w:r>
          </w:p>
          <w:p w:rsidR="001A62A6" w:rsidRDefault="00F74754">
            <w:pPr>
              <w:adjustRightInd w:val="0"/>
              <w:snapToGrid w:val="0"/>
              <w:jc w:val="center"/>
              <w:rPr>
                <w:rFonts w:cs="仿宋_GB2312" w:hint="default"/>
                <w:spacing w:val="7"/>
              </w:rPr>
            </w:pPr>
            <w:r>
              <w:rPr>
                <w:rFonts w:cs="仿宋_GB2312"/>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服务人数</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255</w:t>
            </w:r>
            <w:r>
              <w:rPr>
                <w:rFonts w:cs="仿宋_GB2312"/>
                <w:spacing w:val="7"/>
              </w:rPr>
              <w:t>人</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249人</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20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19</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因疫情影响，新增托养人员减少。</w:t>
            </w:r>
          </w:p>
        </w:tc>
      </w:tr>
      <w:tr w:rsidR="001A62A6">
        <w:trPr>
          <w:trHeight w:val="1008"/>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质量</w:t>
            </w:r>
          </w:p>
          <w:p w:rsidR="001A62A6" w:rsidRDefault="00F74754">
            <w:pPr>
              <w:adjustRightInd w:val="0"/>
              <w:snapToGrid w:val="0"/>
              <w:jc w:val="center"/>
              <w:rPr>
                <w:rFonts w:cs="仿宋_GB2312" w:hint="default"/>
                <w:spacing w:val="7"/>
              </w:rPr>
            </w:pPr>
            <w:r>
              <w:rPr>
                <w:rFonts w:cs="仿宋_GB2312"/>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残疾人日常体检、康复费用</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有所保障</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有所保障</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30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30</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1110"/>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1A62A6">
            <w:pPr>
              <w:rPr>
                <w:rFonts w:ascii="Times New Roman" w:hAnsi="Times New Roman" w:hint="default"/>
                <w:sz w:val="20"/>
                <w:szCs w:val="20"/>
              </w:rPr>
            </w:pPr>
          </w:p>
        </w:tc>
        <w:tc>
          <w:tcPr>
            <w:tcW w:w="49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效益指标</w:t>
            </w: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社会效益指标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精神病人肇事肇祸率</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有所降低</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spacing w:val="7"/>
              </w:rPr>
              <w:t>降低发病率</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50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49</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465"/>
        </w:trPr>
        <w:tc>
          <w:tcPr>
            <w:tcW w:w="6098" w:type="dxa"/>
            <w:gridSpan w:val="8"/>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总分</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100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宋体"/>
                <w:spacing w:val="7"/>
              </w:rPr>
              <w:t>98</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1A62A6">
            <w:pPr>
              <w:adjustRightInd w:val="0"/>
              <w:snapToGrid w:val="0"/>
              <w:rPr>
                <w:rFonts w:cs="仿宋_GB2312" w:hint="default"/>
                <w:spacing w:val="7"/>
              </w:rPr>
            </w:pPr>
          </w:p>
        </w:tc>
      </w:tr>
      <w:tr w:rsidR="001A62A6">
        <w:trPr>
          <w:trHeight w:val="1428"/>
        </w:trPr>
        <w:tc>
          <w:tcPr>
            <w:tcW w:w="1835"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spacing w:val="7"/>
              </w:rPr>
              <w:t>自评结论</w:t>
            </w:r>
          </w:p>
        </w:tc>
        <w:tc>
          <w:tcPr>
            <w:tcW w:w="4263"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jc w:val="center"/>
              <w:rPr>
                <w:rFonts w:cs="仿宋_GB2312" w:hint="default"/>
                <w:spacing w:val="7"/>
              </w:rPr>
            </w:pPr>
            <w:r>
              <w:rPr>
                <w:rFonts w:cs="仿宋_GB2312"/>
                <w:color w:val="000000"/>
              </w:rPr>
              <w:t>优</w:t>
            </w:r>
            <w:r>
              <w:rPr>
                <w:rFonts w:cs="宋体"/>
                <w:color w:val="000000"/>
              </w:rPr>
              <w:t>☑</w:t>
            </w:r>
            <w:r>
              <w:rPr>
                <w:rFonts w:cs="仿宋_GB2312"/>
                <w:color w:val="000000"/>
              </w:rPr>
              <w:t xml:space="preserve">       良□      中□    差□</w:t>
            </w:r>
          </w:p>
        </w:tc>
        <w:tc>
          <w:tcPr>
            <w:tcW w:w="2867"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A62A6" w:rsidRDefault="00F74754">
            <w:pPr>
              <w:adjustRightInd w:val="0"/>
              <w:snapToGrid w:val="0"/>
              <w:rPr>
                <w:rFonts w:cs="仿宋_GB2312" w:hint="default"/>
                <w:spacing w:val="7"/>
              </w:rPr>
            </w:pPr>
            <w:r>
              <w:rPr>
                <w:rFonts w:cs="仿宋_GB2312"/>
                <w:color w:val="000000"/>
              </w:rPr>
              <w:t>总分高于90分（含）的结论为“优”，90～80分（含）为“良”，80～60分（含）为“中”，低于60分为“差”。</w:t>
            </w:r>
          </w:p>
        </w:tc>
      </w:tr>
    </w:tbl>
    <w:p w:rsidR="001A62A6" w:rsidRDefault="001A62A6">
      <w:pPr>
        <w:spacing w:line="600" w:lineRule="atLeast"/>
        <w:ind w:firstLineChars="200" w:firstLine="640"/>
        <w:jc w:val="both"/>
        <w:rPr>
          <w:rFonts w:ascii="仿宋" w:eastAsia="仿宋" w:hAnsi="仿宋" w:cs="仿宋" w:hint="default"/>
          <w:sz w:val="32"/>
          <w:szCs w:val="32"/>
        </w:rPr>
      </w:pPr>
    </w:p>
    <w:p w:rsidR="001A62A6" w:rsidRDefault="00F74754">
      <w:pPr>
        <w:numPr>
          <w:ilvl w:val="0"/>
          <w:numId w:val="6"/>
        </w:numPr>
        <w:spacing w:line="600" w:lineRule="atLeast"/>
        <w:ind w:firstLineChars="200" w:firstLine="643"/>
        <w:jc w:val="both"/>
        <w:rPr>
          <w:rFonts w:ascii="仿宋" w:eastAsia="仿宋" w:hAnsi="仿宋" w:cs="仿宋" w:hint="default"/>
          <w:b/>
          <w:sz w:val="32"/>
          <w:szCs w:val="32"/>
        </w:rPr>
      </w:pPr>
      <w:r>
        <w:rPr>
          <w:rStyle w:val="24"/>
          <w:rFonts w:ascii="仿宋" w:eastAsia="仿宋" w:hAnsi="仿宋" w:cs="仿宋" w:hint="eastAsia"/>
          <w:sz w:val="32"/>
          <w:szCs w:val="32"/>
        </w:rPr>
        <w:t>财政评价项目绩效评价结果</w:t>
      </w:r>
    </w:p>
    <w:p w:rsidR="001A62A6" w:rsidRDefault="00F74754" w:rsidP="00AE7CC9">
      <w:pPr>
        <w:spacing w:line="600" w:lineRule="atLeast"/>
        <w:ind w:leftChars="200" w:left="480"/>
        <w:jc w:val="both"/>
        <w:rPr>
          <w:rFonts w:ascii="仿宋" w:eastAsia="仿宋" w:hAnsi="仿宋" w:cs="仿宋" w:hint="default"/>
          <w:sz w:val="32"/>
          <w:szCs w:val="32"/>
        </w:rPr>
      </w:pPr>
      <w:r>
        <w:rPr>
          <w:rFonts w:ascii="仿宋" w:eastAsia="仿宋" w:hAnsi="仿宋" w:cs="仿宋"/>
          <w:sz w:val="32"/>
          <w:szCs w:val="32"/>
        </w:rPr>
        <w:t>无</w:t>
      </w:r>
    </w:p>
    <w:p w:rsidR="001A62A6" w:rsidRDefault="00F74754">
      <w:pPr>
        <w:numPr>
          <w:ilvl w:val="0"/>
          <w:numId w:val="6"/>
        </w:numPr>
        <w:spacing w:line="600" w:lineRule="atLeast"/>
        <w:ind w:firstLineChars="200" w:firstLine="643"/>
        <w:jc w:val="both"/>
        <w:rPr>
          <w:rFonts w:ascii="仿宋" w:eastAsia="仿宋" w:hAnsi="仿宋" w:cs="仿宋" w:hint="default"/>
          <w:b/>
          <w:sz w:val="32"/>
          <w:szCs w:val="32"/>
        </w:rPr>
      </w:pPr>
      <w:r>
        <w:rPr>
          <w:rStyle w:val="24"/>
          <w:rFonts w:ascii="仿宋" w:eastAsia="仿宋" w:hAnsi="仿宋" w:cs="仿宋" w:hint="eastAsia"/>
          <w:sz w:val="32"/>
          <w:szCs w:val="32"/>
        </w:rPr>
        <w:t>部门评价项目绩效评价结果</w:t>
      </w:r>
    </w:p>
    <w:p w:rsidR="001A62A6" w:rsidRDefault="00F74754" w:rsidP="00AE7CC9">
      <w:pPr>
        <w:spacing w:line="600" w:lineRule="atLeast"/>
        <w:ind w:leftChars="200" w:left="480"/>
        <w:jc w:val="both"/>
        <w:rPr>
          <w:rFonts w:ascii="仿宋" w:eastAsia="仿宋" w:hAnsi="仿宋" w:cs="仿宋" w:hint="default"/>
          <w:b/>
          <w:sz w:val="32"/>
          <w:szCs w:val="32"/>
        </w:rPr>
      </w:pPr>
      <w:r>
        <w:rPr>
          <w:rFonts w:ascii="仿宋" w:eastAsia="仿宋" w:hAnsi="仿宋" w:cs="仿宋"/>
          <w:sz w:val="32"/>
          <w:szCs w:val="32"/>
        </w:rPr>
        <w:t>无</w:t>
      </w:r>
    </w:p>
    <w:p w:rsidR="001A62A6" w:rsidRDefault="00F74754">
      <w:pPr>
        <w:spacing w:line="600" w:lineRule="atLeast"/>
        <w:ind w:firstLineChars="200" w:firstLine="640"/>
        <w:jc w:val="both"/>
        <w:rPr>
          <w:rFonts w:ascii="黑体" w:eastAsia="黑体" w:cs="黑体" w:hint="default"/>
          <w:sz w:val="32"/>
          <w:szCs w:val="32"/>
        </w:rPr>
      </w:pPr>
      <w:r>
        <w:rPr>
          <w:rFonts w:ascii="仿宋" w:eastAsia="仿宋" w:hAnsi="仿宋" w:cs="仿宋"/>
          <w:sz w:val="32"/>
          <w:szCs w:val="32"/>
        </w:rPr>
        <w:t>说明：</w:t>
      </w:r>
      <w:r>
        <w:rPr>
          <w:rStyle w:val="24"/>
          <w:rFonts w:ascii="仿宋" w:eastAsia="仿宋" w:hAnsi="仿宋" w:cs="仿宋" w:hint="eastAsia"/>
          <w:sz w:val="32"/>
          <w:szCs w:val="32"/>
        </w:rPr>
        <w:t>部门评价项目</w:t>
      </w:r>
      <w:r>
        <w:rPr>
          <w:rFonts w:ascii="仿宋" w:eastAsia="仿宋" w:hAnsi="仿宋" w:cs="仿宋"/>
          <w:sz w:val="32"/>
          <w:szCs w:val="32"/>
        </w:rPr>
        <w:t>是指本部门自行开展的评价对象为本部门政策、项目、整体支出或下属单位整体支出的绩效评价；</w:t>
      </w:r>
      <w:r>
        <w:rPr>
          <w:rStyle w:val="24"/>
          <w:rFonts w:ascii="仿宋" w:eastAsia="仿宋" w:hAnsi="仿宋" w:cs="仿宋" w:hint="eastAsia"/>
          <w:sz w:val="32"/>
          <w:szCs w:val="32"/>
        </w:rPr>
        <w:t>财政评价项目</w:t>
      </w:r>
      <w:r>
        <w:rPr>
          <w:rFonts w:ascii="仿宋" w:eastAsia="仿宋" w:hAnsi="仿宋" w:cs="仿宋"/>
          <w:sz w:val="32"/>
          <w:szCs w:val="32"/>
        </w:rPr>
        <w:t>是指以由财政部门开展的评价对象为本部门政策、项目或整体支出的绩效评价项目。</w:t>
      </w:r>
    </w:p>
    <w:p w:rsidR="001A62A6" w:rsidRDefault="00F74754">
      <w:pPr>
        <w:spacing w:line="600" w:lineRule="atLeast"/>
        <w:ind w:firstLineChars="200" w:firstLine="640"/>
        <w:jc w:val="both"/>
        <w:rPr>
          <w:rFonts w:cs="宋体" w:hint="default"/>
        </w:rPr>
      </w:pPr>
      <w:r>
        <w:rPr>
          <w:rFonts w:ascii="黑体" w:eastAsia="黑体" w:cs="黑体"/>
          <w:sz w:val="32"/>
          <w:szCs w:val="32"/>
        </w:rPr>
        <w:t>四、名词解释</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1.财政拨款收入：指本级财政部门当年拨付的财政预算资金，包括一般公共预算财政拨款、政府性基金预算财政拨款和国有资本经预算财政拨款。</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2.事业收入：指事业单位开展专业业务活动及辅助活动所取得的收入。</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lastRenderedPageBreak/>
        <w:t>3.经营收入：指事业单位在专业业务活动及辅助活动之外开展非独立核算经营活动取得的收入。</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4.上级补助收入：指事业单位从主管部门和上级单位取得的非财政补助收入。</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5.附属单位上缴收入：指事业单位附属独立核算单位按照有关规定上缴的收入。</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6.其他收入：指预算单位在“财政拨款”、“事业收入”、“经营收入”、“上级补助收入”、“附属单位上缴收入”等之外取得的各项收入。</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7.使用非财政拨款结余：指事业单位使用以前年度积累的非财政拨款结余弥补当年收支差额的金额。</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8.年初结转和结余：指预算单位以前年度尚未完成、结转到本年仍按原规定用途继续使用的资金。</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9.年末结转和结余：指单位按有关规定结转到下年或以后年度继续使用的资金。</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10.基本支出：指预算单位为保障其正常运转，完成日常工作任务所发生的支出，包括人员经费支出和日常公用经费支出。</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11.项目支出：指预算单位为完成其特定的行政工作任务或事业发展目标所发生的支出。</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12.上缴上级支出：填列事业单位按照财政部门和主管部门的规定上缴上级单位的支出。</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lastRenderedPageBreak/>
        <w:t>13.经营支出：指事业单位在专业业务活动及其辅助活动之外开展非独立核算经营活动发生的支出。</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14.附属单位补助支出：填列事业单位用财政补助收入之外的收入对附属单位补助发生的支出。</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A62A6" w:rsidRDefault="00F74754">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17.社会保障和就业（类）行政事业单位养老支出（款）机关事业单位基本养老保险缴费支出（项）：指反映机关</w:t>
      </w:r>
      <w:r>
        <w:rPr>
          <w:rFonts w:ascii="仿宋" w:eastAsia="仿宋" w:hAnsi="仿宋" w:cs="仿宋"/>
          <w:sz w:val="32"/>
          <w:szCs w:val="32"/>
        </w:rPr>
        <w:lastRenderedPageBreak/>
        <w:t>事业单位实施养老保险制度由单位缴纳的基本养老保险费支出。</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18.社会保障和就业（类）行政事业单位养老支出（款）机关事业单位职业年金缴费支出（项）：指反映机关事业单位实施养老保险制度由单位实际缴纳的职业年金支出。</w:t>
      </w:r>
    </w:p>
    <w:p w:rsidR="001A62A6" w:rsidRDefault="00F74754">
      <w:pPr>
        <w:snapToGrid w:val="0"/>
        <w:spacing w:line="600" w:lineRule="atLeast"/>
        <w:ind w:firstLineChars="200" w:firstLine="640"/>
        <w:rPr>
          <w:rFonts w:cs="宋体" w:hint="default"/>
        </w:rPr>
      </w:pPr>
      <w:r>
        <w:rPr>
          <w:rFonts w:ascii="仿宋" w:eastAsia="仿宋" w:hAnsi="仿宋" w:cs="仿宋"/>
          <w:sz w:val="32"/>
          <w:szCs w:val="32"/>
        </w:rPr>
        <w:t>19.社会保障和就业（类）残疾人事业（款）残疾人生活和护理补贴（项）：指反映困难残疾人生活补贴和重度残疾人护理补贴支出。</w:t>
      </w:r>
    </w:p>
    <w:p w:rsidR="001A62A6" w:rsidRDefault="00F74754">
      <w:pPr>
        <w:pStyle w:val="Char"/>
        <w:widowControl w:val="0"/>
        <w:autoSpaceDE w:val="0"/>
        <w:autoSpaceDN w:val="0"/>
        <w:adjustRightInd w:val="0"/>
        <w:snapToGrid w:val="0"/>
        <w:spacing w:beforeAutospacing="0" w:afterAutospacing="0" w:line="600" w:lineRule="atLeast"/>
        <w:ind w:firstLineChars="200" w:firstLine="640"/>
        <w:rPr>
          <w:rFonts w:eastAsia="仿宋" w:cs="宋体" w:hint="default"/>
        </w:rPr>
      </w:pPr>
      <w:r>
        <w:rPr>
          <w:rFonts w:ascii="仿宋" w:eastAsia="仿宋" w:hAnsi="仿宋" w:cs="仿宋"/>
          <w:sz w:val="32"/>
          <w:szCs w:val="32"/>
        </w:rPr>
        <w:t>20.社会保障和就业（类）残疾人事业（款）其他残疾人事业支出（项）：指反映反映除上述项目以外其他用于残疾人事业方面的支出。</w:t>
      </w:r>
    </w:p>
    <w:p w:rsidR="001A62A6" w:rsidRDefault="00F74754">
      <w:pPr>
        <w:spacing w:line="600" w:lineRule="atLeast"/>
        <w:ind w:firstLineChars="200" w:firstLine="640"/>
        <w:jc w:val="both"/>
        <w:rPr>
          <w:rFonts w:cs="宋体" w:hint="default"/>
        </w:rPr>
      </w:pPr>
      <w:r>
        <w:rPr>
          <w:rFonts w:ascii="仿宋" w:eastAsia="仿宋" w:hAnsi="仿宋" w:cs="仿宋"/>
          <w:sz w:val="32"/>
          <w:szCs w:val="32"/>
        </w:rPr>
        <w:t>21.社会保障和就业（类）其他社会保障和就业支出（款）其他社会保障和就业支出（项）：指反映除上述项目以外其他用于社会保障和就业方面的支出。</w:t>
      </w:r>
    </w:p>
    <w:p w:rsidR="001A62A6" w:rsidRDefault="001A62A6">
      <w:pPr>
        <w:ind w:firstLineChars="200" w:firstLine="480"/>
        <w:rPr>
          <w:rFonts w:cs="宋体" w:hint="default"/>
        </w:rPr>
      </w:pPr>
    </w:p>
    <w:p w:rsidR="001A62A6" w:rsidRDefault="001A62A6">
      <w:pPr>
        <w:spacing w:line="600" w:lineRule="atLeast"/>
        <w:ind w:firstLineChars="200" w:firstLine="480"/>
        <w:jc w:val="both"/>
        <w:rPr>
          <w:rFonts w:cs="宋体" w:hint="default"/>
        </w:rPr>
      </w:pPr>
    </w:p>
    <w:sectPr w:rsidR="001A62A6" w:rsidSect="001A62A6">
      <w:footerReference w:type="default" r:id="rId10"/>
      <w:pgSz w:w="11915" w:h="16851"/>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517" w:rsidRDefault="00A73517" w:rsidP="001A62A6">
      <w:pPr>
        <w:rPr>
          <w:rFonts w:hint="default"/>
        </w:rPr>
      </w:pPr>
      <w:r>
        <w:separator/>
      </w:r>
    </w:p>
  </w:endnote>
  <w:endnote w:type="continuationSeparator" w:id="1">
    <w:p w:rsidR="00A73517" w:rsidRDefault="00A73517" w:rsidP="001A62A6">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00"/>
    <w:family w:val="auto"/>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6" w:rsidRDefault="00266208">
    <w:pPr>
      <w:pStyle w:val="a3"/>
      <w:rPr>
        <w:rFonts w:cs="宋体" w:hint="default"/>
      </w:rPr>
    </w:pPr>
    <w:r w:rsidRPr="00266208">
      <w:rPr>
        <w:rFonts w:hint="default"/>
      </w:rPr>
      <w:pict>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p w:rsidR="001A62A6" w:rsidRDefault="00266208">
                <w:pPr>
                  <w:pStyle w:val="a3"/>
                  <w:rPr>
                    <w:rFonts w:hint="default"/>
                  </w:rPr>
                </w:pPr>
                <w:r>
                  <w:fldChar w:fldCharType="begin"/>
                </w:r>
                <w:r w:rsidR="00F74754">
                  <w:instrText xml:space="preserve"> PAGE  \* MERGEFORMAT </w:instrText>
                </w:r>
                <w:r>
                  <w:fldChar w:fldCharType="separate"/>
                </w:r>
                <w:r w:rsidR="007E010D">
                  <w:rPr>
                    <w:rFonts w:hint="default"/>
                    <w:noProof/>
                  </w:rPr>
                  <w:t>1</w:t>
                </w:r>
                <w:r>
                  <w:fldChar w:fldCharType="end"/>
                </w:r>
              </w:p>
            </w:txbxContent>
          </v:textbox>
          <w10:wrap anchorx="margin"/>
        </v:shape>
      </w:pict>
    </w:r>
    <w:r w:rsidR="00F74754">
      <w:rPr>
        <w:rFonts w:cs="宋体"/>
      </w:rPr>
      <w:tab/>
    </w:r>
  </w:p>
  <w:p w:rsidR="001A62A6" w:rsidRDefault="001A62A6">
    <w:pPr>
      <w:pStyle w:val="a3"/>
      <w:rPr>
        <w:rFonts w:cs="宋体"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6" w:rsidRDefault="00266208">
    <w:pPr>
      <w:pStyle w:val="a3"/>
      <w:rPr>
        <w:rFonts w:cs="宋体" w:hint="default"/>
      </w:rPr>
    </w:pPr>
    <w:r w:rsidRPr="00266208">
      <w:rPr>
        <w:rFonts w:hint="default"/>
      </w:rP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filled="f" stroked="f">
          <v:textbox style="mso-fit-shape-to-text:t" inset="0,0,0,0">
            <w:txbxContent>
              <w:p w:rsidR="001A62A6" w:rsidRDefault="00266208">
                <w:pPr>
                  <w:pStyle w:val="a3"/>
                  <w:rPr>
                    <w:rFonts w:hint="default"/>
                  </w:rPr>
                </w:pPr>
                <w:r>
                  <w:fldChar w:fldCharType="begin"/>
                </w:r>
                <w:r w:rsidR="00F74754">
                  <w:instrText xml:space="preserve"> PAGE  \* MERGEFORMAT </w:instrText>
                </w:r>
                <w:r>
                  <w:fldChar w:fldCharType="separate"/>
                </w:r>
                <w:r w:rsidR="007E010D">
                  <w:rPr>
                    <w:rFonts w:hint="default"/>
                    <w:noProof/>
                  </w:rPr>
                  <w:t>2</w:t>
                </w:r>
                <w:r>
                  <w:fldChar w:fldCharType="end"/>
                </w:r>
              </w:p>
            </w:txbxContent>
          </v:textbox>
          <w10:wrap anchorx="margin"/>
        </v:shape>
      </w:pict>
    </w:r>
    <w:r w:rsidR="00F74754">
      <w:rPr>
        <w:rFonts w:cs="宋体"/>
      </w:rPr>
      <w:tab/>
    </w:r>
  </w:p>
  <w:p w:rsidR="001A62A6" w:rsidRDefault="001A62A6">
    <w:pPr>
      <w:pStyle w:val="a3"/>
      <w:rPr>
        <w:rFonts w:cs="宋体" w:hint="defau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6" w:rsidRDefault="00266208">
    <w:pPr>
      <w:pStyle w:val="a3"/>
      <w:rPr>
        <w:rFonts w:cs="宋体" w:hint="default"/>
      </w:rPr>
    </w:pPr>
    <w:r w:rsidRPr="00266208">
      <w:rPr>
        <w:rFonts w:hint="default"/>
      </w:rPr>
      <w:pict>
        <v:shapetype id="_x0000_t202" coordsize="21600,21600" o:spt="202" path="m,l,21600r21600,l21600,xe">
          <v:stroke joinstyle="miter"/>
          <v:path gradientshapeok="t" o:connecttype="rect"/>
        </v:shapetype>
        <v:shape id="_x0000_s2049"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nDISD5wEAAMcD&#10;AAAOAAAAAAAAAAEAIAAAAB4BAABkcnMvZTJvRG9jLnhtbFBLBQYAAAAABgAGAFkBAAB3BQAAAAA=&#10;" filled="f" stroked="f">
          <v:textbox style="mso-fit-shape-to-text:t" inset="0,0,0,0">
            <w:txbxContent>
              <w:p w:rsidR="001A62A6" w:rsidRDefault="00266208">
                <w:pPr>
                  <w:pStyle w:val="a3"/>
                  <w:rPr>
                    <w:rFonts w:hint="default"/>
                  </w:rPr>
                </w:pPr>
                <w:r>
                  <w:fldChar w:fldCharType="begin"/>
                </w:r>
                <w:r w:rsidR="00F74754">
                  <w:instrText xml:space="preserve"> PAGE  \* MERGEFORMAT </w:instrText>
                </w:r>
                <w:r>
                  <w:fldChar w:fldCharType="separate"/>
                </w:r>
                <w:r w:rsidR="007E010D">
                  <w:rPr>
                    <w:rFonts w:hint="default"/>
                    <w:noProof/>
                  </w:rPr>
                  <w:t>3</w:t>
                </w:r>
                <w:r>
                  <w:fldChar w:fldCharType="end"/>
                </w:r>
              </w:p>
            </w:txbxContent>
          </v:textbox>
          <w10:wrap anchorx="margin"/>
        </v:shape>
      </w:pict>
    </w:r>
    <w:r w:rsidR="00F74754">
      <w:rPr>
        <w:rFonts w:cs="宋体"/>
      </w:rPr>
      <w:tab/>
    </w:r>
  </w:p>
  <w:p w:rsidR="001A62A6" w:rsidRDefault="001A62A6">
    <w:pPr>
      <w:pStyle w:val="a3"/>
      <w:rPr>
        <w:rFonts w:cs="宋体"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517" w:rsidRDefault="00A73517">
      <w:pPr>
        <w:rPr>
          <w:rFonts w:hint="default"/>
        </w:rPr>
      </w:pPr>
      <w:r>
        <w:separator/>
      </w:r>
    </w:p>
  </w:footnote>
  <w:footnote w:type="continuationSeparator" w:id="1">
    <w:p w:rsidR="00A73517" w:rsidRDefault="00A73517">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156F62"/>
    <w:multiLevelType w:val="multilevel"/>
    <w:tmpl w:val="82156F62"/>
    <w:lvl w:ilvl="0">
      <w:start w:val="2"/>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BB8E3ED9"/>
    <w:multiLevelType w:val="multilevel"/>
    <w:tmpl w:val="BB8E3ED9"/>
    <w:lvl w:ilvl="0">
      <w:start w:val="8"/>
      <w:numFmt w:val="chineseCounting"/>
      <w:suff w:val="nothing"/>
      <w:lvlText w:val="（%1）"/>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
    <w:nsid w:val="DB097A82"/>
    <w:multiLevelType w:val="multilevel"/>
    <w:tmpl w:val="DB097A82"/>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nsid w:val="094890DD"/>
    <w:multiLevelType w:val="multilevel"/>
    <w:tmpl w:val="094890DD"/>
    <w:lvl w:ilvl="0">
      <w:start w:val="3"/>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
    <w:nsid w:val="3F134AFF"/>
    <w:multiLevelType w:val="multilevel"/>
    <w:tmpl w:val="3F134AFF"/>
    <w:lvl w:ilvl="0">
      <w:start w:val="1"/>
      <w:numFmt w:val="chineseCounting"/>
      <w:suff w:val="nothing"/>
      <w:lvlText w:val="%1、"/>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5">
    <w:nsid w:val="6C1929E3"/>
    <w:multiLevelType w:val="multilevel"/>
    <w:tmpl w:val="6C1929E3"/>
    <w:lvl w:ilvl="0">
      <w:start w:val="1"/>
      <w:numFmt w:val="chineseCounting"/>
      <w:suff w:val="nothing"/>
      <w:lvlText w:val="（%1）"/>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7"/>
  <w:displayHorizontalDrawingGridEvery w:val="0"/>
  <w:displayVerticalDrawingGridEvery w:val="2"/>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1A62A6"/>
    <w:rsid w:val="001A62A6"/>
    <w:rsid w:val="00266208"/>
    <w:rsid w:val="007E010D"/>
    <w:rsid w:val="007E4407"/>
    <w:rsid w:val="00A73517"/>
    <w:rsid w:val="00AE7CC9"/>
    <w:rsid w:val="00F74754"/>
    <w:rsid w:val="06187A11"/>
    <w:rsid w:val="0CEC41FC"/>
    <w:rsid w:val="1AE57B15"/>
    <w:rsid w:val="1D6422F1"/>
    <w:rsid w:val="27B973C4"/>
    <w:rsid w:val="40CD56DE"/>
    <w:rsid w:val="41186929"/>
    <w:rsid w:val="42B46DF5"/>
    <w:rsid w:val="44CF4DD3"/>
    <w:rsid w:val="46DC2379"/>
    <w:rsid w:val="4A32721D"/>
    <w:rsid w:val="4F004279"/>
    <w:rsid w:val="58567AF6"/>
    <w:rsid w:val="65BA1E33"/>
    <w:rsid w:val="678C0946"/>
    <w:rsid w:val="6B3571E8"/>
    <w:rsid w:val="76596F2E"/>
    <w:rsid w:val="7B507B29"/>
    <w:rsid w:val="7FE842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uiPriority="99" w:unhideWhenUsed="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rsid w:val="001A62A6"/>
    <w:rPr>
      <w:rFonts w:ascii="宋体" w:hAnsi="宋体" w:hint="eastAsia"/>
      <w:sz w:val="24"/>
      <w:szCs w:val="24"/>
    </w:rPr>
  </w:style>
  <w:style w:type="paragraph" w:styleId="1">
    <w:name w:val="heading 1"/>
    <w:basedOn w:val="a"/>
    <w:next w:val="a"/>
    <w:qFormat/>
    <w:rsid w:val="001A62A6"/>
    <w:pPr>
      <w:spacing w:beforeAutospacing="1" w:afterAutospacing="1"/>
      <w:outlineLvl w:val="0"/>
    </w:pPr>
    <w:rPr>
      <w:b/>
      <w:bCs/>
      <w:kern w:val="44"/>
      <w:sz w:val="48"/>
      <w:szCs w:val="48"/>
    </w:rPr>
  </w:style>
  <w:style w:type="paragraph" w:styleId="2">
    <w:name w:val="heading 2"/>
    <w:basedOn w:val="a"/>
    <w:next w:val="a"/>
    <w:qFormat/>
    <w:rsid w:val="001A62A6"/>
    <w:pPr>
      <w:spacing w:beforeAutospacing="1" w:afterAutospacing="1"/>
      <w:outlineLvl w:val="1"/>
    </w:pPr>
    <w:rPr>
      <w:b/>
      <w:bCs/>
      <w:sz w:val="36"/>
      <w:szCs w:val="36"/>
    </w:rPr>
  </w:style>
  <w:style w:type="paragraph" w:styleId="3">
    <w:name w:val="heading 3"/>
    <w:basedOn w:val="a"/>
    <w:next w:val="a"/>
    <w:qFormat/>
    <w:rsid w:val="001A62A6"/>
    <w:pPr>
      <w:spacing w:beforeAutospacing="1" w:afterAutospacing="1"/>
      <w:outlineLvl w:val="2"/>
    </w:pPr>
    <w:rPr>
      <w:b/>
      <w:bCs/>
      <w:sz w:val="27"/>
      <w:szCs w:val="27"/>
    </w:rPr>
  </w:style>
  <w:style w:type="paragraph" w:styleId="4">
    <w:name w:val="heading 4"/>
    <w:basedOn w:val="a"/>
    <w:next w:val="a"/>
    <w:qFormat/>
    <w:rsid w:val="001A62A6"/>
    <w:pPr>
      <w:spacing w:beforeAutospacing="1" w:afterAutospacing="1"/>
      <w:outlineLvl w:val="3"/>
    </w:pPr>
    <w:rPr>
      <w:b/>
      <w:bCs/>
    </w:rPr>
  </w:style>
  <w:style w:type="paragraph" w:styleId="5">
    <w:name w:val="heading 5"/>
    <w:basedOn w:val="a"/>
    <w:next w:val="a"/>
    <w:qFormat/>
    <w:rsid w:val="001A62A6"/>
    <w:pPr>
      <w:spacing w:beforeAutospacing="1" w:afterAutospacing="1"/>
      <w:outlineLvl w:val="4"/>
    </w:pPr>
    <w:rPr>
      <w:b/>
      <w:bCs/>
      <w:sz w:val="20"/>
      <w:szCs w:val="20"/>
    </w:rPr>
  </w:style>
  <w:style w:type="paragraph" w:styleId="6">
    <w:name w:val="heading 6"/>
    <w:basedOn w:val="a"/>
    <w:next w:val="a"/>
    <w:qFormat/>
    <w:rsid w:val="001A62A6"/>
    <w:pPr>
      <w:spacing w:beforeAutospacing="1"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2A6"/>
    <w:pPr>
      <w:snapToGrid w:val="0"/>
    </w:pPr>
    <w:rPr>
      <w:sz w:val="18"/>
      <w:szCs w:val="18"/>
    </w:rPr>
  </w:style>
  <w:style w:type="paragraph" w:styleId="a4">
    <w:name w:val="header"/>
    <w:basedOn w:val="a"/>
    <w:rsid w:val="001A62A6"/>
    <w:pPr>
      <w:snapToGrid w:val="0"/>
      <w:jc w:val="both"/>
    </w:pPr>
    <w:rPr>
      <w:sz w:val="18"/>
      <w:szCs w:val="18"/>
    </w:rPr>
  </w:style>
  <w:style w:type="paragraph" w:styleId="HTML">
    <w:name w:val="HTML Preformatted"/>
    <w:basedOn w:val="a"/>
    <w:rsid w:val="001A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5">
    <w:name w:val="Normal (Web)"/>
    <w:basedOn w:val="a"/>
    <w:rsid w:val="001A62A6"/>
    <w:pPr>
      <w:spacing w:beforeAutospacing="1" w:afterAutospacing="1"/>
    </w:pPr>
  </w:style>
  <w:style w:type="character" w:customStyle="1" w:styleId="16">
    <w:name w:val="16"/>
    <w:basedOn w:val="a0"/>
    <w:rsid w:val="001A62A6"/>
    <w:rPr>
      <w:rFonts w:ascii="Times New Roman" w:hAnsi="Times New Roman" w:cs="Times New Roman" w:hint="default"/>
    </w:rPr>
  </w:style>
  <w:style w:type="character" w:customStyle="1" w:styleId="34">
    <w:name w:val="34"/>
    <w:basedOn w:val="a0"/>
    <w:rsid w:val="001A62A6"/>
    <w:rPr>
      <w:rFonts w:ascii="Times New Roman" w:hAnsi="Times New Roman" w:cs="Times New Roman" w:hint="default"/>
    </w:rPr>
  </w:style>
  <w:style w:type="character" w:customStyle="1" w:styleId="36">
    <w:name w:val="36"/>
    <w:basedOn w:val="a0"/>
    <w:rsid w:val="001A62A6"/>
    <w:rPr>
      <w:rFonts w:ascii="宋体" w:eastAsia="宋体" w:hAnsi="宋体" w:cs="宋体" w:hint="eastAsia"/>
      <w:b/>
      <w:bCs/>
      <w:sz w:val="32"/>
      <w:szCs w:val="32"/>
    </w:rPr>
  </w:style>
  <w:style w:type="character" w:customStyle="1" w:styleId="38">
    <w:name w:val="38"/>
    <w:basedOn w:val="a0"/>
    <w:rsid w:val="001A62A6"/>
    <w:rPr>
      <w:rFonts w:ascii="Times New Roman" w:hAnsi="Times New Roman" w:cs="Times New Roman" w:hint="default"/>
      <w:b/>
      <w:bCs/>
    </w:rPr>
  </w:style>
  <w:style w:type="paragraph" w:customStyle="1" w:styleId="HTMLCharChar">
    <w:name w:val="HTML 预设格式 Char Char"/>
    <w:basedOn w:val="a"/>
    <w:rsid w:val="001A62A6"/>
  </w:style>
  <w:style w:type="character" w:customStyle="1" w:styleId="25">
    <w:name w:val="25"/>
    <w:basedOn w:val="a0"/>
    <w:rsid w:val="001A62A6"/>
    <w:rPr>
      <w:rFonts w:ascii="Courier New" w:eastAsia="宋体" w:hAnsi="Courier New" w:cs="Courier New" w:hint="default"/>
    </w:rPr>
  </w:style>
  <w:style w:type="character" w:customStyle="1" w:styleId="10">
    <w:name w:val="10"/>
    <w:basedOn w:val="a0"/>
    <w:rsid w:val="001A62A6"/>
    <w:rPr>
      <w:rFonts w:ascii="Times New Roman" w:hAnsi="Times New Roman" w:cs="Times New Roman" w:hint="default"/>
    </w:rPr>
  </w:style>
  <w:style w:type="character" w:customStyle="1" w:styleId="39">
    <w:name w:val="39"/>
    <w:basedOn w:val="a0"/>
    <w:rsid w:val="001A62A6"/>
    <w:rPr>
      <w:rFonts w:ascii="宋体" w:eastAsia="宋体" w:hAnsi="宋体" w:cs="宋体" w:hint="eastAsia"/>
      <w:sz w:val="18"/>
      <w:szCs w:val="18"/>
    </w:rPr>
  </w:style>
  <w:style w:type="paragraph" w:customStyle="1" w:styleId="HTMLCharCharChar">
    <w:name w:val="HTML 预设格式 Char Char Char"/>
    <w:basedOn w:val="a"/>
    <w:rsid w:val="001A62A6"/>
  </w:style>
  <w:style w:type="character" w:customStyle="1" w:styleId="33">
    <w:name w:val="33"/>
    <w:basedOn w:val="a0"/>
    <w:rsid w:val="001A62A6"/>
    <w:rPr>
      <w:rFonts w:ascii="Times New Roman" w:hAnsi="Times New Roman" w:cs="Times New Roman" w:hint="default"/>
      <w:b/>
    </w:rPr>
  </w:style>
  <w:style w:type="character" w:customStyle="1" w:styleId="26">
    <w:name w:val="26"/>
    <w:basedOn w:val="a0"/>
    <w:rsid w:val="001A62A6"/>
    <w:rPr>
      <w:rFonts w:ascii="Times New Roman" w:hAnsi="Times New Roman" w:cs="Times New Roman" w:hint="default"/>
    </w:rPr>
  </w:style>
  <w:style w:type="paragraph" w:customStyle="1" w:styleId="pChar">
    <w:name w:val="p Char"/>
    <w:basedOn w:val="a"/>
    <w:rsid w:val="001A62A6"/>
    <w:pPr>
      <w:spacing w:beforeAutospacing="1" w:afterAutospacing="1"/>
    </w:pPr>
  </w:style>
  <w:style w:type="character" w:customStyle="1" w:styleId="23">
    <w:name w:val="23"/>
    <w:basedOn w:val="a0"/>
    <w:rsid w:val="001A62A6"/>
    <w:rPr>
      <w:rFonts w:ascii="Cambria" w:eastAsia="宋体" w:hAnsi="Cambria" w:cs="Times New Roman" w:hint="default"/>
      <w:b/>
      <w:bCs/>
      <w:sz w:val="32"/>
      <w:szCs w:val="32"/>
    </w:rPr>
  </w:style>
  <w:style w:type="character" w:customStyle="1" w:styleId="15">
    <w:name w:val="15"/>
    <w:basedOn w:val="a0"/>
    <w:rsid w:val="001A62A6"/>
    <w:rPr>
      <w:rFonts w:ascii="宋体" w:eastAsia="宋体" w:hAnsi="宋体" w:cs="宋体" w:hint="eastAsia"/>
      <w:sz w:val="18"/>
      <w:szCs w:val="18"/>
    </w:rPr>
  </w:style>
  <w:style w:type="character" w:customStyle="1" w:styleId="17">
    <w:name w:val="17"/>
    <w:basedOn w:val="a0"/>
    <w:rsid w:val="001A62A6"/>
    <w:rPr>
      <w:rFonts w:ascii="Times New Roman" w:hAnsi="Times New Roman" w:cs="Times New Roman" w:hint="default"/>
    </w:rPr>
  </w:style>
  <w:style w:type="character" w:customStyle="1" w:styleId="18">
    <w:name w:val="18"/>
    <w:basedOn w:val="a0"/>
    <w:rsid w:val="001A62A6"/>
    <w:rPr>
      <w:rFonts w:ascii="宋体" w:eastAsia="宋体" w:hAnsi="宋体" w:cs="宋体" w:hint="eastAsia"/>
      <w:b/>
      <w:bCs/>
      <w:sz w:val="28"/>
      <w:szCs w:val="28"/>
    </w:rPr>
  </w:style>
  <w:style w:type="character" w:customStyle="1" w:styleId="28">
    <w:name w:val="28"/>
    <w:basedOn w:val="a0"/>
    <w:rsid w:val="001A62A6"/>
    <w:rPr>
      <w:rFonts w:ascii="Wingdings" w:hAnsi="Wingdings" w:cs="Wingdings" w:hint="default"/>
    </w:rPr>
  </w:style>
  <w:style w:type="character" w:customStyle="1" w:styleId="19">
    <w:name w:val="19"/>
    <w:basedOn w:val="a0"/>
    <w:rsid w:val="001A62A6"/>
    <w:rPr>
      <w:rFonts w:ascii="Times New Roman" w:hAnsi="Times New Roman" w:cs="Times New Roman" w:hint="default"/>
    </w:rPr>
  </w:style>
  <w:style w:type="character" w:customStyle="1" w:styleId="20">
    <w:name w:val="20"/>
    <w:basedOn w:val="a0"/>
    <w:rsid w:val="001A62A6"/>
    <w:rPr>
      <w:rFonts w:ascii="Times New Roman" w:hAnsi="Times New Roman" w:cs="Times New Roman" w:hint="default"/>
    </w:rPr>
  </w:style>
  <w:style w:type="character" w:customStyle="1" w:styleId="21">
    <w:name w:val="21"/>
    <w:basedOn w:val="a0"/>
    <w:rsid w:val="001A62A6"/>
    <w:rPr>
      <w:rFonts w:ascii="宋体" w:eastAsia="宋体" w:hAnsi="宋体" w:cs="宋体" w:hint="eastAsia"/>
      <w:sz w:val="18"/>
      <w:szCs w:val="18"/>
    </w:rPr>
  </w:style>
  <w:style w:type="character" w:customStyle="1" w:styleId="22">
    <w:name w:val="22"/>
    <w:basedOn w:val="a0"/>
    <w:rsid w:val="001A62A6"/>
    <w:rPr>
      <w:rFonts w:ascii="Times New Roman" w:hAnsi="Times New Roman" w:cs="Times New Roman" w:hint="default"/>
    </w:rPr>
  </w:style>
  <w:style w:type="character" w:customStyle="1" w:styleId="24">
    <w:name w:val="24"/>
    <w:basedOn w:val="a0"/>
    <w:rsid w:val="001A62A6"/>
    <w:rPr>
      <w:rFonts w:ascii="Wingdings" w:hAnsi="Wingdings" w:cs="Wingdings" w:hint="default"/>
      <w:b/>
    </w:rPr>
  </w:style>
  <w:style w:type="paragraph" w:customStyle="1" w:styleId="Default">
    <w:name w:val="Default"/>
    <w:basedOn w:val="a"/>
    <w:rsid w:val="001A62A6"/>
    <w:pPr>
      <w:widowControl w:val="0"/>
      <w:autoSpaceDE w:val="0"/>
      <w:autoSpaceDN w:val="0"/>
      <w:adjustRightInd w:val="0"/>
    </w:pPr>
    <w:rPr>
      <w:rFonts w:ascii="仿宋_GB2312" w:eastAsia="仿宋_GB2312" w:hAnsi="Times New Roman" w:hint="default"/>
      <w:color w:val="000000"/>
    </w:rPr>
  </w:style>
  <w:style w:type="character" w:customStyle="1" w:styleId="30">
    <w:name w:val="30"/>
    <w:basedOn w:val="a0"/>
    <w:rsid w:val="001A62A6"/>
    <w:rPr>
      <w:rFonts w:ascii="Times New Roman" w:hAnsi="Times New Roman" w:cs="Times New Roman" w:hint="default"/>
    </w:rPr>
  </w:style>
  <w:style w:type="character" w:customStyle="1" w:styleId="27">
    <w:name w:val="27"/>
    <w:basedOn w:val="a0"/>
    <w:rsid w:val="001A62A6"/>
    <w:rPr>
      <w:rFonts w:ascii="Times New Roman" w:hAnsi="Times New Roman" w:cs="Times New Roman" w:hint="default"/>
    </w:rPr>
  </w:style>
  <w:style w:type="character" w:customStyle="1" w:styleId="29">
    <w:name w:val="29"/>
    <w:basedOn w:val="a0"/>
    <w:rsid w:val="001A62A6"/>
    <w:rPr>
      <w:rFonts w:ascii="Cambria" w:eastAsia="宋体" w:hAnsi="Cambria" w:cs="Times New Roman" w:hint="default"/>
      <w:b/>
      <w:bCs/>
      <w:sz w:val="24"/>
      <w:szCs w:val="24"/>
    </w:rPr>
  </w:style>
  <w:style w:type="paragraph" w:customStyle="1" w:styleId="HTMLChar">
    <w:name w:val="HTML 预设格式 Char"/>
    <w:basedOn w:val="a"/>
    <w:rsid w:val="001A62A6"/>
  </w:style>
  <w:style w:type="character" w:customStyle="1" w:styleId="31">
    <w:name w:val="31"/>
    <w:basedOn w:val="a0"/>
    <w:rsid w:val="001A62A6"/>
    <w:rPr>
      <w:rFonts w:ascii="Cambria" w:eastAsia="宋体" w:hAnsi="Cambria" w:cs="Times New Roman" w:hint="default"/>
      <w:b/>
      <w:bCs/>
      <w:sz w:val="28"/>
      <w:szCs w:val="28"/>
    </w:rPr>
  </w:style>
  <w:style w:type="character" w:customStyle="1" w:styleId="32">
    <w:name w:val="32"/>
    <w:basedOn w:val="a0"/>
    <w:rsid w:val="001A62A6"/>
    <w:rPr>
      <w:rFonts w:ascii="Times New Roman" w:hAnsi="Times New Roman" w:cs="Times New Roman" w:hint="default"/>
    </w:rPr>
  </w:style>
  <w:style w:type="character" w:customStyle="1" w:styleId="35">
    <w:name w:val="35"/>
    <w:basedOn w:val="a0"/>
    <w:rsid w:val="001A62A6"/>
    <w:rPr>
      <w:rFonts w:ascii="宋体" w:eastAsia="宋体" w:hAnsi="宋体" w:cs="宋体" w:hint="eastAsia"/>
      <w:b/>
      <w:bCs/>
      <w:kern w:val="44"/>
      <w:sz w:val="44"/>
      <w:szCs w:val="44"/>
    </w:rPr>
  </w:style>
  <w:style w:type="character" w:customStyle="1" w:styleId="37">
    <w:name w:val="37"/>
    <w:basedOn w:val="a0"/>
    <w:rsid w:val="001A62A6"/>
    <w:rPr>
      <w:rFonts w:ascii="Times New Roman" w:hAnsi="Times New Roman" w:cs="Times New Roman" w:hint="default"/>
    </w:rPr>
  </w:style>
  <w:style w:type="paragraph" w:customStyle="1" w:styleId="Char">
    <w:name w:val="普通(网站) Char"/>
    <w:basedOn w:val="a"/>
    <w:rsid w:val="001A62A6"/>
    <w:pPr>
      <w:spacing w:beforeAutospacing="1" w:afterAutospacing="1"/>
    </w:pPr>
  </w:style>
  <w:style w:type="character" w:customStyle="1" w:styleId="40">
    <w:name w:val="40"/>
    <w:basedOn w:val="a0"/>
    <w:rsid w:val="001A62A6"/>
    <w:rPr>
      <w:rFonts w:ascii="Times New Roman" w:hAnsi="Times New Roman" w:cs="Times New Roman" w:hint="default"/>
    </w:rPr>
  </w:style>
  <w:style w:type="paragraph" w:customStyle="1" w:styleId="CharChar">
    <w:name w:val="普通(网站) Char Char"/>
    <w:basedOn w:val="a"/>
    <w:rsid w:val="001A62A6"/>
    <w:pPr>
      <w:spacing w:beforeAutospacing="1" w:afterAutospacing="1"/>
    </w:pPr>
  </w:style>
  <w:style w:type="paragraph" w:customStyle="1" w:styleId="CharCharChar">
    <w:name w:val="普通(网站) Char Char Char"/>
    <w:basedOn w:val="a"/>
    <w:rsid w:val="001A62A6"/>
    <w:pPr>
      <w:spacing w:beforeAutospacing="1" w:afterAutospacing="1"/>
    </w:pPr>
  </w:style>
  <w:style w:type="paragraph" w:customStyle="1" w:styleId="HTMLCharCharCharChar">
    <w:name w:val="HTML 预设格式 Char Char Char Char"/>
    <w:basedOn w:val="a"/>
    <w:rsid w:val="001A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preChar">
    <w:name w:val="pre Char"/>
    <w:basedOn w:val="a"/>
    <w:rsid w:val="001A62A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1457</Words>
  <Characters>8308</Characters>
  <Application>Microsoft Office Word</Application>
  <DocSecurity>0</DocSecurity>
  <Lines>69</Lines>
  <Paragraphs>19</Paragraphs>
  <ScaleCrop>false</ScaleCrop>
  <Company>微软中国</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王朝</cp:lastModifiedBy>
  <cp:revision>5</cp:revision>
  <dcterms:created xsi:type="dcterms:W3CDTF">2021-09-09T07:27:00Z</dcterms:created>
  <dcterms:modified xsi:type="dcterms:W3CDTF">2021-09-29T03:10:00Z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A49A441682EB408CAD4D44C7196E488C</vt:lpwstr>
  </property>
</Properties>
</file>