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DD" w:rsidRDefault="00FA66A5">
      <w:pPr>
        <w:pStyle w:val="Char"/>
        <w:jc w:val="center"/>
      </w:pPr>
      <w:r>
        <w:rPr>
          <w:rStyle w:val="15"/>
          <w:rFonts w:ascii="黑体" w:eastAsia="黑体" w:hAnsi="黑体" w:hint="eastAsia"/>
          <w:sz w:val="44"/>
          <w:szCs w:val="44"/>
        </w:rPr>
        <w:t>温岭市机关事务中心</w:t>
      </w:r>
      <w:r>
        <w:rPr>
          <w:rStyle w:val="15"/>
          <w:rFonts w:ascii="黑体" w:eastAsia="黑体" w:hAnsi="宋体" w:hint="eastAsia"/>
          <w:sz w:val="44"/>
          <w:szCs w:val="44"/>
        </w:rPr>
        <w:t>2020年度部门（单位）决算</w:t>
      </w:r>
    </w:p>
    <w:p w:rsidR="00B353DD" w:rsidRDefault="00B353DD">
      <w:pPr>
        <w:pStyle w:val="Char"/>
        <w:jc w:val="center"/>
        <w:rPr>
          <w:rStyle w:val="15"/>
          <w:rFonts w:ascii="等线" w:eastAsia="等线"/>
          <w:sz w:val="22"/>
          <w:szCs w:val="22"/>
        </w:rPr>
      </w:pPr>
    </w:p>
    <w:p w:rsidR="00B353DD" w:rsidRDefault="00FA66A5">
      <w:pPr>
        <w:pStyle w:val="Char"/>
        <w:jc w:val="center"/>
      </w:pPr>
      <w:r>
        <w:rPr>
          <w:rStyle w:val="15"/>
          <w:rFonts w:ascii="等线" w:eastAsia="等线" w:hint="eastAsia"/>
          <w:sz w:val="22"/>
          <w:szCs w:val="22"/>
        </w:rPr>
        <w:t>目录</w:t>
      </w:r>
    </w:p>
    <w:p w:rsidR="00B353DD" w:rsidRDefault="00FA66A5">
      <w:pPr>
        <w:spacing w:line="600" w:lineRule="atLeast"/>
        <w:jc w:val="both"/>
      </w:pPr>
      <w:r>
        <w:rPr>
          <w:rStyle w:val="15"/>
          <w:rFonts w:ascii="等线" w:eastAsia="等线" w:hint="eastAsia"/>
          <w:sz w:val="22"/>
          <w:szCs w:val="22"/>
        </w:rPr>
        <w:t>一、概况</w:t>
      </w:r>
      <w:r w:rsidR="00A72394">
        <w:rPr>
          <w:rStyle w:val="15"/>
          <w:rFonts w:ascii="等线" w:eastAsia="等线" w:cs="Arial" w:hint="eastAsia"/>
          <w:sz w:val="22"/>
          <w:szCs w:val="22"/>
        </w:rPr>
        <w:t>...........</w:t>
      </w:r>
      <w:r w:rsidR="00C26854">
        <w:rPr>
          <w:rStyle w:val="15"/>
          <w:rFonts w:ascii="等线" w:eastAsia="等线" w:cs="Arial" w:hint="eastAsia"/>
          <w:sz w:val="22"/>
          <w:szCs w:val="22"/>
        </w:rPr>
        <w:t>..................................</w:t>
      </w:r>
      <w:r w:rsidR="00A72394">
        <w:rPr>
          <w:rStyle w:val="15"/>
          <w:rFonts w:ascii="等线" w:eastAsia="等线" w:cs="Arial" w:hint="eastAsia"/>
          <w:sz w:val="22"/>
          <w:szCs w:val="22"/>
        </w:rPr>
        <w:t>.............</w:t>
      </w:r>
      <w:r>
        <w:rPr>
          <w:rStyle w:val="15"/>
          <w:rFonts w:ascii="等线" w:eastAsia="等线" w:cs="Arial" w:hint="eastAsia"/>
          <w:sz w:val="22"/>
          <w:szCs w:val="22"/>
        </w:rPr>
        <w:t>.....(2)</w:t>
      </w:r>
      <w:r w:rsidR="00C26854">
        <w:t xml:space="preserve"> </w:t>
      </w:r>
    </w:p>
    <w:p w:rsidR="00B353DD" w:rsidRDefault="00FA66A5">
      <w:pPr>
        <w:spacing w:line="600" w:lineRule="atLeast"/>
        <w:ind w:firstLineChars="100" w:firstLine="221"/>
        <w:jc w:val="both"/>
      </w:pPr>
      <w:r>
        <w:rPr>
          <w:rStyle w:val="15"/>
          <w:rFonts w:ascii="等线" w:eastAsia="等线" w:hint="eastAsia"/>
          <w:sz w:val="22"/>
          <w:szCs w:val="22"/>
        </w:rPr>
        <w:t>（一）部门（单位）职责</w:t>
      </w:r>
      <w:r w:rsidR="00A72394">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w:t>
      </w:r>
      <w:r w:rsidR="00C26854" w:rsidRPr="00C26854">
        <w:rPr>
          <w:rStyle w:val="15"/>
          <w:rFonts w:ascii="等线" w:eastAsia="等线" w:cs="Arial" w:hint="eastAsia"/>
          <w:sz w:val="22"/>
          <w:szCs w:val="22"/>
        </w:rPr>
        <w:t xml:space="preserve"> </w:t>
      </w:r>
      <w:r w:rsidR="00C26854">
        <w:rPr>
          <w:rStyle w:val="15"/>
          <w:rFonts w:ascii="等线" w:eastAsia="等线" w:cs="Arial" w:hint="eastAsia"/>
          <w:sz w:val="22"/>
          <w:szCs w:val="22"/>
        </w:rPr>
        <w:t>...............................</w:t>
      </w:r>
      <w:r>
        <w:rPr>
          <w:rStyle w:val="15"/>
          <w:rFonts w:ascii="等线" w:eastAsia="等线" w:cs="Arial" w:hint="eastAsia"/>
          <w:sz w:val="22"/>
          <w:szCs w:val="22"/>
        </w:rPr>
        <w:t>..( 2)</w:t>
      </w:r>
    </w:p>
    <w:p w:rsidR="00B353DD" w:rsidRDefault="00FA66A5">
      <w:pPr>
        <w:spacing w:line="600" w:lineRule="atLeast"/>
        <w:ind w:firstLineChars="100" w:firstLine="221"/>
        <w:jc w:val="both"/>
      </w:pPr>
      <w:r>
        <w:rPr>
          <w:rStyle w:val="15"/>
          <w:rFonts w:ascii="等线" w:eastAsia="等线" w:hint="eastAsia"/>
          <w:sz w:val="22"/>
          <w:szCs w:val="22"/>
        </w:rPr>
        <w:t>（二）机构设置</w:t>
      </w:r>
      <w:r>
        <w:rPr>
          <w:rStyle w:val="15"/>
          <w:rFonts w:ascii="等线" w:eastAsia="等线" w:cs="Arial" w:hint="eastAsia"/>
          <w:sz w:val="22"/>
          <w:szCs w:val="22"/>
        </w:rPr>
        <w:t>...............................</w:t>
      </w:r>
      <w:r w:rsidR="00C26854" w:rsidRPr="00C26854">
        <w:rPr>
          <w:rStyle w:val="15"/>
          <w:rFonts w:ascii="等线" w:eastAsia="等线" w:cs="Arial" w:hint="eastAsia"/>
          <w:sz w:val="22"/>
          <w:szCs w:val="22"/>
        </w:rPr>
        <w:t xml:space="preserve"> </w:t>
      </w:r>
      <w:r w:rsidR="00C26854">
        <w:rPr>
          <w:rStyle w:val="15"/>
          <w:rFonts w:ascii="等线" w:eastAsia="等线" w:cs="Arial" w:hint="eastAsia"/>
          <w:sz w:val="22"/>
          <w:szCs w:val="22"/>
        </w:rPr>
        <w:t>...........</w:t>
      </w:r>
      <w:r w:rsidR="00A72394">
        <w:rPr>
          <w:rStyle w:val="15"/>
          <w:rFonts w:ascii="等线" w:eastAsia="等线" w:cs="Arial" w:hint="eastAsia"/>
          <w:sz w:val="22"/>
          <w:szCs w:val="22"/>
        </w:rPr>
        <w:t>.....</w:t>
      </w:r>
      <w:r>
        <w:rPr>
          <w:rStyle w:val="15"/>
          <w:rFonts w:ascii="等线" w:eastAsia="等线" w:cs="Arial" w:hint="eastAsia"/>
          <w:sz w:val="22"/>
          <w:szCs w:val="22"/>
        </w:rPr>
        <w:t xml:space="preserve">.......(3 ) </w:t>
      </w:r>
    </w:p>
    <w:p w:rsidR="00B353DD" w:rsidRDefault="00FA66A5">
      <w:pPr>
        <w:spacing w:line="600" w:lineRule="atLeast"/>
        <w:jc w:val="both"/>
      </w:pPr>
      <w:r>
        <w:rPr>
          <w:rStyle w:val="15"/>
          <w:rFonts w:ascii="等线" w:eastAsia="等线" w:hint="eastAsia"/>
          <w:sz w:val="22"/>
          <w:szCs w:val="22"/>
        </w:rPr>
        <w:t>二、</w:t>
      </w:r>
      <w:r>
        <w:rPr>
          <w:rStyle w:val="15"/>
          <w:rFonts w:ascii="等线" w:eastAsia="等线" w:cs="Arial" w:hint="eastAsia"/>
          <w:sz w:val="22"/>
          <w:szCs w:val="22"/>
        </w:rPr>
        <w:t>2020年度部门（单位）决算公开表.....................</w:t>
      </w:r>
      <w:r w:rsidR="00C26854" w:rsidRPr="00C26854">
        <w:rPr>
          <w:rStyle w:val="15"/>
          <w:rFonts w:ascii="等线" w:eastAsia="等线" w:cs="Arial" w:hint="eastAsia"/>
          <w:sz w:val="22"/>
          <w:szCs w:val="22"/>
        </w:rPr>
        <w:t xml:space="preserve"> </w:t>
      </w:r>
      <w:r w:rsidR="00A72394">
        <w:rPr>
          <w:rStyle w:val="15"/>
          <w:rFonts w:ascii="等线" w:eastAsia="等线" w:cs="Arial" w:hint="eastAsia"/>
          <w:sz w:val="22"/>
          <w:szCs w:val="22"/>
        </w:rPr>
        <w:t>........</w:t>
      </w:r>
      <w:r>
        <w:rPr>
          <w:rStyle w:val="15"/>
          <w:rFonts w:ascii="等线" w:eastAsia="等线" w:cs="Arial" w:hint="eastAsia"/>
          <w:sz w:val="22"/>
          <w:szCs w:val="22"/>
        </w:rPr>
        <w:t>..........(3)</w:t>
      </w:r>
    </w:p>
    <w:p w:rsidR="00B353DD" w:rsidRDefault="00FA66A5">
      <w:pPr>
        <w:spacing w:line="600" w:lineRule="atLeast"/>
        <w:jc w:val="both"/>
      </w:pPr>
      <w:r>
        <w:rPr>
          <w:rStyle w:val="15"/>
          <w:rFonts w:ascii="等线" w:eastAsia="等线" w:hint="eastAsia"/>
          <w:sz w:val="22"/>
          <w:szCs w:val="22"/>
        </w:rPr>
        <w:t>三、</w:t>
      </w:r>
      <w:r>
        <w:rPr>
          <w:rStyle w:val="15"/>
          <w:rFonts w:ascii="等线" w:eastAsia="等线" w:cs="Arial" w:hint="eastAsia"/>
          <w:sz w:val="22"/>
          <w:szCs w:val="22"/>
        </w:rPr>
        <w:t>2020年度部门（单位）决算情况说明......................</w:t>
      </w:r>
      <w:r w:rsidR="00C26854" w:rsidRPr="00C26854">
        <w:rPr>
          <w:rStyle w:val="15"/>
          <w:rFonts w:ascii="等线" w:eastAsia="等线" w:cs="Arial" w:hint="eastAsia"/>
          <w:sz w:val="22"/>
          <w:szCs w:val="22"/>
        </w:rPr>
        <w:t xml:space="preserve"> </w:t>
      </w:r>
      <w:r w:rsidR="00C26854">
        <w:rPr>
          <w:rStyle w:val="15"/>
          <w:rFonts w:ascii="等线" w:eastAsia="等线" w:cs="Arial" w:hint="eastAsia"/>
          <w:sz w:val="22"/>
          <w:szCs w:val="22"/>
        </w:rPr>
        <w:t>..........</w:t>
      </w:r>
      <w:r>
        <w:rPr>
          <w:rStyle w:val="15"/>
          <w:rFonts w:ascii="等线" w:eastAsia="等线" w:cs="Arial" w:hint="eastAsia"/>
          <w:sz w:val="22"/>
          <w:szCs w:val="22"/>
        </w:rPr>
        <w:t xml:space="preserve">..( 3) </w:t>
      </w:r>
    </w:p>
    <w:p w:rsidR="00B353DD" w:rsidRDefault="00FA66A5">
      <w:pPr>
        <w:spacing w:line="600" w:lineRule="atLeast"/>
        <w:ind w:firstLineChars="100" w:firstLine="221"/>
        <w:jc w:val="both"/>
      </w:pPr>
      <w:r>
        <w:rPr>
          <w:rStyle w:val="15"/>
          <w:rFonts w:ascii="等线" w:eastAsia="等线" w:hint="eastAsia"/>
          <w:sz w:val="22"/>
          <w:szCs w:val="22"/>
        </w:rPr>
        <w:t>（一）收入支出决算总体情况说明</w:t>
      </w:r>
      <w:r w:rsidR="00A72394">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..........(3)</w:t>
      </w:r>
    </w:p>
    <w:p w:rsidR="00B353DD" w:rsidRDefault="00FA66A5">
      <w:pPr>
        <w:spacing w:line="600" w:lineRule="atLeast"/>
        <w:ind w:firstLineChars="100" w:firstLine="221"/>
        <w:jc w:val="both"/>
      </w:pPr>
      <w:r>
        <w:rPr>
          <w:rStyle w:val="15"/>
          <w:rFonts w:ascii="等线" w:eastAsia="等线" w:hint="eastAsia"/>
          <w:sz w:val="22"/>
          <w:szCs w:val="22"/>
        </w:rPr>
        <w:t>（二）收入决算情况说明</w:t>
      </w:r>
      <w:r w:rsidR="00A72394">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...........(4)</w:t>
      </w:r>
    </w:p>
    <w:p w:rsidR="00B353DD" w:rsidRDefault="00FA66A5">
      <w:pPr>
        <w:spacing w:line="600" w:lineRule="atLeast"/>
        <w:ind w:firstLineChars="100" w:firstLine="221"/>
        <w:jc w:val="both"/>
      </w:pPr>
      <w:r>
        <w:rPr>
          <w:rStyle w:val="15"/>
          <w:rFonts w:ascii="等线" w:eastAsia="等线" w:hint="eastAsia"/>
          <w:sz w:val="22"/>
          <w:szCs w:val="22"/>
        </w:rPr>
        <w:t>（三）支出决算情况说明</w:t>
      </w:r>
      <w:r>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..................(4)</w:t>
      </w:r>
    </w:p>
    <w:p w:rsidR="00B353DD" w:rsidRDefault="00FA66A5">
      <w:pPr>
        <w:spacing w:line="600" w:lineRule="atLeast"/>
        <w:ind w:firstLineChars="100" w:firstLine="221"/>
        <w:jc w:val="both"/>
      </w:pPr>
      <w:r>
        <w:rPr>
          <w:rStyle w:val="15"/>
          <w:rFonts w:ascii="等线" w:eastAsia="等线" w:hint="eastAsia"/>
          <w:sz w:val="22"/>
          <w:szCs w:val="22"/>
        </w:rPr>
        <w:t>（四）财政拨款收入支出决算总体情况说明</w:t>
      </w:r>
      <w:r>
        <w:rPr>
          <w:rStyle w:val="15"/>
          <w:rFonts w:ascii="等线" w:eastAsia="等线" w:cs="Arial" w:hint="eastAsia"/>
          <w:sz w:val="22"/>
          <w:szCs w:val="22"/>
        </w:rPr>
        <w:t>.</w:t>
      </w:r>
      <w:r w:rsidR="00C26854" w:rsidRPr="00C26854">
        <w:rPr>
          <w:rStyle w:val="15"/>
          <w:rFonts w:ascii="等线" w:eastAsia="等线" w:cs="Arial" w:hint="eastAsia"/>
          <w:sz w:val="22"/>
          <w:szCs w:val="22"/>
        </w:rPr>
        <w:t xml:space="preserve"> </w:t>
      </w:r>
      <w:r w:rsidR="00C26854">
        <w:rPr>
          <w:rStyle w:val="15"/>
          <w:rFonts w:ascii="等线" w:eastAsia="等线" w:cs="Arial" w:hint="eastAsia"/>
          <w:sz w:val="22"/>
          <w:szCs w:val="22"/>
        </w:rPr>
        <w:t>..........................</w:t>
      </w:r>
      <w:r>
        <w:rPr>
          <w:rStyle w:val="15"/>
          <w:rFonts w:ascii="等线" w:eastAsia="等线" w:cs="Arial" w:hint="eastAsia"/>
          <w:sz w:val="22"/>
          <w:szCs w:val="22"/>
        </w:rPr>
        <w:t>...(4)</w:t>
      </w:r>
    </w:p>
    <w:p w:rsidR="00B353DD" w:rsidRDefault="00FA66A5">
      <w:pPr>
        <w:spacing w:line="600" w:lineRule="atLeast"/>
        <w:ind w:firstLineChars="100" w:firstLine="221"/>
        <w:jc w:val="both"/>
      </w:pPr>
      <w:r>
        <w:rPr>
          <w:rStyle w:val="15"/>
          <w:rFonts w:ascii="等线" w:eastAsia="等线" w:hint="eastAsia"/>
          <w:sz w:val="22"/>
          <w:szCs w:val="22"/>
        </w:rPr>
        <w:t>（五）一般公共预算财政拨款支出决算情况说明</w:t>
      </w:r>
      <w:r>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...(5)</w:t>
      </w:r>
    </w:p>
    <w:p w:rsidR="00B353DD" w:rsidRDefault="00FA66A5">
      <w:pPr>
        <w:spacing w:line="600" w:lineRule="atLeast"/>
        <w:ind w:firstLineChars="100" w:firstLine="221"/>
        <w:jc w:val="both"/>
      </w:pPr>
      <w:r>
        <w:rPr>
          <w:rStyle w:val="15"/>
          <w:rFonts w:ascii="等线" w:eastAsia="等线" w:hint="eastAsia"/>
          <w:sz w:val="22"/>
          <w:szCs w:val="22"/>
        </w:rPr>
        <w:t>（六）一般公共预算财政拨款基本支出决算情况说明</w:t>
      </w:r>
      <w:r>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...............(8)</w:t>
      </w:r>
    </w:p>
    <w:p w:rsidR="00B353DD" w:rsidRDefault="00FA66A5">
      <w:pPr>
        <w:spacing w:line="600" w:lineRule="atLeast"/>
        <w:ind w:firstLineChars="100" w:firstLine="221"/>
        <w:jc w:val="both"/>
      </w:pPr>
      <w:r>
        <w:rPr>
          <w:rStyle w:val="15"/>
          <w:rFonts w:ascii="等线" w:eastAsia="等线" w:hint="eastAsia"/>
          <w:sz w:val="22"/>
          <w:szCs w:val="22"/>
        </w:rPr>
        <w:t>（七）政府性基金预算财政拨款支出决算总体情况说明</w:t>
      </w:r>
      <w:r w:rsidR="00A72394">
        <w:rPr>
          <w:rStyle w:val="15"/>
          <w:rFonts w:ascii="等线" w:eastAsia="等线" w:cs="Arial" w:hint="eastAsia"/>
          <w:sz w:val="22"/>
          <w:szCs w:val="22"/>
        </w:rPr>
        <w:t>..............</w:t>
      </w:r>
      <w:r>
        <w:rPr>
          <w:rStyle w:val="15"/>
          <w:rFonts w:ascii="等线" w:eastAsia="等线" w:cs="Arial" w:hint="eastAsia"/>
          <w:sz w:val="22"/>
          <w:szCs w:val="22"/>
        </w:rPr>
        <w:t>........(9)</w:t>
      </w:r>
    </w:p>
    <w:p w:rsidR="00B353DD" w:rsidRDefault="00FA66A5">
      <w:pPr>
        <w:spacing w:line="600" w:lineRule="atLeast"/>
        <w:ind w:firstLineChars="100" w:firstLine="221"/>
        <w:jc w:val="both"/>
      </w:pPr>
      <w:r>
        <w:rPr>
          <w:rStyle w:val="15"/>
          <w:rFonts w:ascii="等线" w:eastAsia="等线" w:hint="eastAsia"/>
          <w:sz w:val="22"/>
          <w:szCs w:val="22"/>
        </w:rPr>
        <w:t>（八）国有资本经营预算财政拨款支出决算总体情况说明</w:t>
      </w:r>
      <w:r w:rsidR="00A72394">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...........(10)</w:t>
      </w:r>
    </w:p>
    <w:p w:rsidR="00B353DD" w:rsidRDefault="00FA66A5">
      <w:pPr>
        <w:spacing w:line="600" w:lineRule="atLeast"/>
        <w:ind w:firstLineChars="100" w:firstLine="221"/>
        <w:jc w:val="both"/>
      </w:pPr>
      <w:r>
        <w:rPr>
          <w:rStyle w:val="15"/>
          <w:rFonts w:ascii="等线" w:eastAsia="等线" w:hint="eastAsia"/>
          <w:sz w:val="22"/>
          <w:szCs w:val="22"/>
        </w:rPr>
        <w:t>（九）一般公共预算财政拨款</w:t>
      </w:r>
      <w:r>
        <w:rPr>
          <w:rStyle w:val="15"/>
          <w:rFonts w:ascii="等线" w:eastAsia="等线" w:cs="Arial" w:hint="eastAsia"/>
          <w:sz w:val="22"/>
          <w:szCs w:val="22"/>
        </w:rPr>
        <w:t>“三公”经费支出决算情况说明.....</w:t>
      </w:r>
      <w:r w:rsidR="00C26854">
        <w:rPr>
          <w:rStyle w:val="15"/>
          <w:rFonts w:ascii="等线" w:eastAsia="等线" w:cs="Arial" w:hint="eastAsia"/>
          <w:sz w:val="22"/>
          <w:szCs w:val="22"/>
        </w:rPr>
        <w:t>.......</w:t>
      </w:r>
      <w:r>
        <w:rPr>
          <w:rStyle w:val="15"/>
          <w:rFonts w:ascii="等线" w:eastAsia="等线" w:cs="Arial" w:hint="eastAsia"/>
          <w:sz w:val="22"/>
          <w:szCs w:val="22"/>
        </w:rPr>
        <w:t>.....(11)</w:t>
      </w:r>
    </w:p>
    <w:p w:rsidR="00B353DD" w:rsidRDefault="00FA66A5">
      <w:pPr>
        <w:spacing w:line="600" w:lineRule="atLeast"/>
        <w:ind w:firstLineChars="100" w:firstLine="221"/>
        <w:jc w:val="both"/>
      </w:pPr>
      <w:r>
        <w:rPr>
          <w:rStyle w:val="15"/>
          <w:rFonts w:ascii="等线" w:eastAsia="等线" w:hint="eastAsia"/>
          <w:sz w:val="22"/>
          <w:szCs w:val="22"/>
        </w:rPr>
        <w:t>（十）机关运行经费支出说明</w:t>
      </w:r>
      <w:r w:rsidR="00A72394">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..........(12)</w:t>
      </w:r>
    </w:p>
    <w:p w:rsidR="00B353DD" w:rsidRDefault="00FA66A5">
      <w:pPr>
        <w:spacing w:line="600" w:lineRule="atLeast"/>
        <w:ind w:firstLineChars="100" w:firstLine="221"/>
        <w:jc w:val="both"/>
      </w:pPr>
      <w:r>
        <w:rPr>
          <w:rStyle w:val="15"/>
          <w:rFonts w:ascii="等线" w:eastAsia="等线" w:hint="eastAsia"/>
          <w:sz w:val="22"/>
          <w:szCs w:val="22"/>
        </w:rPr>
        <w:t>（十一）政府采购支出说明</w:t>
      </w:r>
      <w:r w:rsidR="00A72394">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.............(12)</w:t>
      </w:r>
    </w:p>
    <w:p w:rsidR="00B353DD" w:rsidRDefault="00FA66A5">
      <w:pPr>
        <w:spacing w:line="600" w:lineRule="atLeast"/>
        <w:ind w:firstLineChars="100" w:firstLine="221"/>
        <w:jc w:val="both"/>
      </w:pPr>
      <w:r>
        <w:rPr>
          <w:rStyle w:val="15"/>
          <w:rFonts w:ascii="等线" w:eastAsia="等线" w:hint="eastAsia"/>
          <w:sz w:val="22"/>
          <w:szCs w:val="22"/>
        </w:rPr>
        <w:t>（十二）国有资产占有情况说明</w:t>
      </w:r>
      <w:r>
        <w:rPr>
          <w:rStyle w:val="15"/>
          <w:rFonts w:ascii="等线" w:eastAsia="等线" w:cs="Arial" w:hint="eastAsia"/>
          <w:sz w:val="22"/>
          <w:szCs w:val="22"/>
        </w:rPr>
        <w:t>......</w:t>
      </w:r>
      <w:r w:rsidR="00C26854">
        <w:rPr>
          <w:rStyle w:val="15"/>
          <w:rFonts w:ascii="等线" w:eastAsia="等线" w:cs="Arial" w:hint="eastAsia"/>
          <w:sz w:val="22"/>
          <w:szCs w:val="22"/>
        </w:rPr>
        <w:t>.........................</w:t>
      </w:r>
      <w:r>
        <w:rPr>
          <w:rStyle w:val="15"/>
          <w:rFonts w:ascii="等线" w:eastAsia="等线" w:cs="Arial" w:hint="eastAsia"/>
          <w:sz w:val="22"/>
          <w:szCs w:val="22"/>
        </w:rPr>
        <w:t>..........(13)</w:t>
      </w:r>
    </w:p>
    <w:p w:rsidR="00B353DD" w:rsidRDefault="00FA66A5">
      <w:pPr>
        <w:spacing w:line="600" w:lineRule="atLeast"/>
        <w:ind w:firstLineChars="100" w:firstLine="221"/>
        <w:jc w:val="both"/>
      </w:pPr>
      <w:r>
        <w:rPr>
          <w:rStyle w:val="15"/>
          <w:rFonts w:ascii="等线" w:eastAsia="等线" w:hint="eastAsia"/>
          <w:sz w:val="22"/>
          <w:szCs w:val="22"/>
        </w:rPr>
        <w:t>（十三）预算绩效情况说明</w:t>
      </w:r>
      <w:r>
        <w:rPr>
          <w:rStyle w:val="15"/>
          <w:rFonts w:ascii="等线" w:eastAsia="等线" w:cs="Arial" w:hint="eastAsia"/>
          <w:sz w:val="22"/>
          <w:szCs w:val="22"/>
        </w:rPr>
        <w:t>............................</w:t>
      </w:r>
      <w:r w:rsidR="00A72394">
        <w:rPr>
          <w:rStyle w:val="15"/>
          <w:rFonts w:ascii="等线" w:eastAsia="等线" w:cs="Arial" w:hint="eastAsia"/>
          <w:sz w:val="22"/>
          <w:szCs w:val="22"/>
        </w:rPr>
        <w:t>.............</w:t>
      </w:r>
      <w:r>
        <w:rPr>
          <w:rStyle w:val="15"/>
          <w:rFonts w:ascii="等线" w:eastAsia="等线" w:cs="Arial" w:hint="eastAsia"/>
          <w:sz w:val="22"/>
          <w:szCs w:val="22"/>
        </w:rPr>
        <w:t>....(13)</w:t>
      </w:r>
    </w:p>
    <w:p w:rsidR="00B353DD" w:rsidRDefault="00FA66A5">
      <w:pPr>
        <w:spacing w:line="600" w:lineRule="atLeast"/>
        <w:ind w:firstLine="640"/>
        <w:jc w:val="both"/>
      </w:pPr>
      <w:r>
        <w:rPr>
          <w:rStyle w:val="15"/>
          <w:rFonts w:ascii="等线" w:eastAsia="等线" w:hint="eastAsia"/>
          <w:sz w:val="22"/>
          <w:szCs w:val="22"/>
        </w:rPr>
        <w:lastRenderedPageBreak/>
        <w:t>四、名词解释</w:t>
      </w:r>
      <w:r>
        <w:rPr>
          <w:rStyle w:val="15"/>
          <w:rFonts w:ascii="等线" w:eastAsia="等线" w:cs="Arial" w:hint="eastAsia"/>
          <w:sz w:val="22"/>
          <w:szCs w:val="22"/>
        </w:rPr>
        <w:t>...........................</w:t>
      </w:r>
      <w:r w:rsidR="00A72394">
        <w:rPr>
          <w:rStyle w:val="15"/>
          <w:rFonts w:ascii="等线" w:eastAsia="等线" w:cs="Arial" w:hint="eastAsia"/>
          <w:sz w:val="22"/>
          <w:szCs w:val="22"/>
        </w:rPr>
        <w:t>..................</w:t>
      </w:r>
      <w:r>
        <w:rPr>
          <w:rStyle w:val="15"/>
          <w:rFonts w:ascii="等线" w:eastAsia="等线" w:cs="Arial" w:hint="eastAsia"/>
          <w:sz w:val="22"/>
          <w:szCs w:val="22"/>
        </w:rPr>
        <w:t>........(19)</w:t>
      </w:r>
    </w:p>
    <w:p w:rsidR="00B353DD" w:rsidRDefault="00FA66A5">
      <w:pPr>
        <w:spacing w:line="600" w:lineRule="atLeast"/>
        <w:ind w:firstLine="640"/>
        <w:jc w:val="both"/>
      </w:pPr>
      <w:r>
        <w:rPr>
          <w:rStyle w:val="15"/>
          <w:rFonts w:ascii="黑体" w:eastAsia="黑体" w:hAnsi="黑体" w:hint="eastAsia"/>
          <w:sz w:val="32"/>
          <w:szCs w:val="32"/>
        </w:rPr>
        <w:t>一、概况</w:t>
      </w:r>
    </w:p>
    <w:p w:rsidR="00B353DD" w:rsidRDefault="00FA66A5">
      <w:pPr>
        <w:spacing w:line="600" w:lineRule="atLeast"/>
        <w:ind w:firstLine="640"/>
        <w:jc w:val="both"/>
      </w:pPr>
      <w:r>
        <w:rPr>
          <w:rStyle w:val="15"/>
          <w:rFonts w:ascii="楷体" w:eastAsia="楷体" w:hAnsi="楷体" w:hint="eastAsia"/>
          <w:sz w:val="32"/>
          <w:szCs w:val="32"/>
        </w:rPr>
        <w:t>（一）部门（单位）职责</w:t>
      </w:r>
    </w:p>
    <w:p w:rsidR="00B353DD" w:rsidRDefault="00FA66A5">
      <w:pPr>
        <w:spacing w:line="600" w:lineRule="atLeast"/>
        <w:ind w:firstLine="640"/>
        <w:jc w:val="both"/>
        <w:rPr>
          <w:rFonts w:ascii="仿宋" w:eastAsia="仿宋" w:hAnsi="仿宋"/>
          <w:sz w:val="32"/>
          <w:szCs w:val="32"/>
        </w:rPr>
      </w:pPr>
      <w:r>
        <w:rPr>
          <w:rFonts w:ascii="仿宋" w:eastAsia="仿宋" w:hAnsi="仿宋"/>
          <w:sz w:val="32"/>
          <w:szCs w:val="32"/>
        </w:rPr>
        <w:t>市机关事务中心贯彻落实党中央、省委、台州市委和温岭市委关于机关事务工作的方针政策和决策部署，在履职过程中坚持和加强党对机关事务工作的集中统一领导。主要职责是：</w:t>
      </w:r>
    </w:p>
    <w:p w:rsidR="00B353DD" w:rsidRDefault="00FA66A5">
      <w:pPr>
        <w:spacing w:line="600" w:lineRule="atLeast"/>
        <w:ind w:firstLine="640"/>
        <w:jc w:val="both"/>
        <w:rPr>
          <w:rFonts w:ascii="仿宋" w:eastAsia="仿宋" w:hAnsi="仿宋"/>
          <w:sz w:val="32"/>
          <w:szCs w:val="32"/>
        </w:rPr>
      </w:pPr>
      <w:r>
        <w:rPr>
          <w:rFonts w:ascii="仿宋" w:eastAsia="仿宋" w:hAnsi="仿宋"/>
          <w:sz w:val="32"/>
          <w:szCs w:val="32"/>
        </w:rPr>
        <w:t>1.拟订全市机关事务政策、规划和标准并组织实施，监督指导全市机关事务工作，负责市级机关事务的管理、服务、保障工作。</w:t>
      </w:r>
    </w:p>
    <w:p w:rsidR="00B353DD" w:rsidRDefault="00FA66A5">
      <w:pPr>
        <w:spacing w:line="600" w:lineRule="atLeast"/>
        <w:ind w:firstLine="640"/>
        <w:jc w:val="both"/>
        <w:rPr>
          <w:rFonts w:ascii="仿宋" w:eastAsia="仿宋" w:hAnsi="仿宋"/>
          <w:sz w:val="32"/>
          <w:szCs w:val="32"/>
        </w:rPr>
      </w:pPr>
      <w:r>
        <w:rPr>
          <w:rFonts w:ascii="仿宋" w:eastAsia="仿宋" w:hAnsi="仿宋"/>
          <w:sz w:val="32"/>
          <w:szCs w:val="32"/>
        </w:rPr>
        <w:t>2.负责市府办委托的办公用房管理和节能管理工作。负责市级行政事业单位办公用房调剂分配、规范使用的统一管理。负责全市公共机构节能管理工作，落实公共机构节能目标任务。制定和实施全市公共机构节能规划，指导相关部门开展本级系统内公共机构节能工作。</w:t>
      </w:r>
    </w:p>
    <w:p w:rsidR="00B353DD" w:rsidRDefault="00FA66A5">
      <w:pPr>
        <w:spacing w:line="600" w:lineRule="atLeast"/>
        <w:ind w:firstLine="640"/>
        <w:jc w:val="both"/>
        <w:rPr>
          <w:rFonts w:ascii="仿宋" w:eastAsia="仿宋" w:hAnsi="仿宋"/>
          <w:sz w:val="32"/>
          <w:szCs w:val="32"/>
        </w:rPr>
      </w:pPr>
      <w:r>
        <w:rPr>
          <w:rFonts w:ascii="仿宋" w:eastAsia="仿宋" w:hAnsi="仿宋"/>
          <w:sz w:val="32"/>
          <w:szCs w:val="32"/>
        </w:rPr>
        <w:t>3.负责市有关重大活动和重要会议的总务和相关保障。</w:t>
      </w:r>
    </w:p>
    <w:p w:rsidR="00B353DD" w:rsidRDefault="00FA66A5">
      <w:pPr>
        <w:spacing w:line="600" w:lineRule="atLeast"/>
        <w:ind w:firstLine="640"/>
        <w:jc w:val="both"/>
        <w:rPr>
          <w:rFonts w:ascii="仿宋" w:eastAsia="仿宋" w:hAnsi="仿宋"/>
          <w:sz w:val="32"/>
          <w:szCs w:val="32"/>
        </w:rPr>
      </w:pPr>
      <w:r>
        <w:rPr>
          <w:rFonts w:ascii="仿宋" w:eastAsia="仿宋" w:hAnsi="仿宋"/>
          <w:sz w:val="32"/>
          <w:szCs w:val="32"/>
        </w:rPr>
        <w:t>4.会同有关部门拟订全市公务用车管理制度并组织实施。按照分工实行统一编制、统一标准、统一购置经费、统一采购配备。指导监督全市党政机关公务用车管理工作。</w:t>
      </w:r>
    </w:p>
    <w:p w:rsidR="00B353DD" w:rsidRDefault="00FA66A5">
      <w:pPr>
        <w:spacing w:line="600" w:lineRule="atLeast"/>
        <w:ind w:firstLine="640"/>
        <w:jc w:val="both"/>
        <w:rPr>
          <w:rFonts w:ascii="仿宋" w:eastAsia="仿宋" w:hAnsi="仿宋"/>
          <w:sz w:val="32"/>
          <w:szCs w:val="32"/>
        </w:rPr>
      </w:pPr>
      <w:r>
        <w:rPr>
          <w:rFonts w:ascii="仿宋" w:eastAsia="仿宋" w:hAnsi="仿宋"/>
          <w:sz w:val="32"/>
          <w:szCs w:val="32"/>
        </w:rPr>
        <w:t>5.负责做好市行政中心等管理区域的日常综合安全管理，配合做好市重大活动、重要会议的安全保卫工作。</w:t>
      </w:r>
    </w:p>
    <w:p w:rsidR="00B353DD" w:rsidRDefault="00FA66A5">
      <w:pPr>
        <w:spacing w:line="600" w:lineRule="atLeast"/>
        <w:ind w:firstLine="640"/>
        <w:jc w:val="both"/>
        <w:rPr>
          <w:rFonts w:ascii="仿宋" w:eastAsia="仿宋" w:hAnsi="仿宋"/>
          <w:sz w:val="32"/>
          <w:szCs w:val="32"/>
        </w:rPr>
      </w:pPr>
      <w:r>
        <w:rPr>
          <w:rFonts w:ascii="仿宋" w:eastAsia="仿宋" w:hAnsi="仿宋"/>
          <w:sz w:val="32"/>
          <w:szCs w:val="32"/>
        </w:rPr>
        <w:lastRenderedPageBreak/>
        <w:t>6.负责市行政中心等集中办公区域的规划、管理工作，负责市行政中心等集中办公区域有关后勤管理服务保障工作。</w:t>
      </w:r>
    </w:p>
    <w:p w:rsidR="00B353DD" w:rsidRDefault="00FA66A5">
      <w:pPr>
        <w:spacing w:line="600" w:lineRule="atLeast"/>
        <w:ind w:firstLine="640"/>
        <w:jc w:val="both"/>
        <w:rPr>
          <w:rFonts w:ascii="仿宋" w:eastAsia="仿宋" w:hAnsi="仿宋"/>
          <w:sz w:val="32"/>
          <w:szCs w:val="32"/>
        </w:rPr>
      </w:pPr>
      <w:r>
        <w:rPr>
          <w:rFonts w:ascii="仿宋" w:eastAsia="仿宋" w:hAnsi="仿宋"/>
          <w:sz w:val="32"/>
          <w:szCs w:val="32"/>
        </w:rPr>
        <w:t>7.完成市委、市政府交办的其他任务。</w:t>
      </w:r>
    </w:p>
    <w:p w:rsidR="00B353DD" w:rsidRDefault="00FA66A5">
      <w:pPr>
        <w:spacing w:line="600" w:lineRule="atLeast"/>
        <w:ind w:firstLine="640"/>
        <w:jc w:val="both"/>
      </w:pPr>
      <w:r>
        <w:rPr>
          <w:rStyle w:val="15"/>
          <w:rFonts w:ascii="楷体" w:eastAsia="楷体" w:hAnsi="楷体" w:hint="eastAsia"/>
          <w:sz w:val="32"/>
          <w:szCs w:val="32"/>
        </w:rPr>
        <w:t>（二）机构设置</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从预算单位构成看，温岭市机关事务中心部门预算包括：中心本级预算（原市级机关服务中心及市级机关公务用车保障中心改为相关科室并入事务中心）。</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纳入台州市温岭市机关事务中心2020年度部门决算编制范围的二级预算单位包括：本单位没有以部门决算编制范围的二级预算单位。</w:t>
      </w:r>
    </w:p>
    <w:p w:rsidR="00C26854" w:rsidRDefault="00351635">
      <w:pPr>
        <w:spacing w:line="600" w:lineRule="atLeast"/>
        <w:ind w:firstLine="640"/>
        <w:jc w:val="both"/>
        <w:rPr>
          <w:rFonts w:ascii="仿宋" w:eastAsia="仿宋" w:hAnsi="仿宋"/>
          <w:sz w:val="32"/>
          <w:szCs w:val="32"/>
        </w:rPr>
      </w:pPr>
      <w:r>
        <w:rPr>
          <w:rFonts w:ascii="仿宋" w:eastAsia="仿宋" w:hAnsi="仿宋" w:hint="eastAsia"/>
          <w:sz w:val="32"/>
          <w:szCs w:val="32"/>
        </w:rPr>
        <w:t>从预算单位构成看，本单位内设：办公室、公共服务科、膳食科、资产管理科、公务用车保障科、后勤服务科、安全保卫科</w:t>
      </w:r>
      <w:r w:rsidR="005B06D2">
        <w:rPr>
          <w:rFonts w:ascii="仿宋" w:eastAsia="仿宋" w:hAnsi="仿宋" w:hint="eastAsia"/>
          <w:sz w:val="32"/>
          <w:szCs w:val="32"/>
        </w:rPr>
        <w:t>。</w:t>
      </w:r>
    </w:p>
    <w:p w:rsidR="00B353DD" w:rsidRDefault="00FA66A5">
      <w:pPr>
        <w:spacing w:line="600" w:lineRule="atLeast"/>
        <w:ind w:firstLine="640"/>
        <w:jc w:val="both"/>
      </w:pPr>
      <w:r>
        <w:rPr>
          <w:rStyle w:val="15"/>
          <w:rFonts w:ascii="黑体" w:eastAsia="黑体" w:hAnsi="黑体" w:hint="eastAsia"/>
          <w:sz w:val="32"/>
          <w:szCs w:val="32"/>
        </w:rPr>
        <w:t>二、</w:t>
      </w:r>
      <w:r>
        <w:rPr>
          <w:rStyle w:val="15"/>
          <w:rFonts w:ascii="黑体" w:eastAsia="黑体" w:hint="eastAsia"/>
          <w:sz w:val="32"/>
          <w:szCs w:val="32"/>
        </w:rPr>
        <w:t>2020年度部门（单位）决算公开表</w:t>
      </w:r>
    </w:p>
    <w:p w:rsidR="00B353DD" w:rsidRDefault="00FA66A5">
      <w:pPr>
        <w:spacing w:line="600" w:lineRule="atLeast"/>
        <w:ind w:firstLine="640"/>
        <w:jc w:val="both"/>
      </w:pPr>
      <w:r>
        <w:rPr>
          <w:rFonts w:ascii="仿宋" w:eastAsia="仿宋" w:hAnsi="仿宋" w:hint="eastAsia"/>
          <w:sz w:val="32"/>
          <w:szCs w:val="32"/>
        </w:rPr>
        <w:t>详见附表。</w:t>
      </w:r>
    </w:p>
    <w:p w:rsidR="00B353DD" w:rsidRDefault="00FA66A5">
      <w:pPr>
        <w:spacing w:line="600" w:lineRule="atLeast"/>
        <w:ind w:firstLine="640"/>
        <w:jc w:val="both"/>
      </w:pPr>
      <w:r>
        <w:rPr>
          <w:rStyle w:val="15"/>
          <w:rFonts w:ascii="黑体" w:eastAsia="黑体" w:hAnsi="黑体" w:hint="eastAsia"/>
          <w:sz w:val="32"/>
          <w:szCs w:val="32"/>
        </w:rPr>
        <w:t>三、</w:t>
      </w:r>
      <w:r>
        <w:rPr>
          <w:rStyle w:val="15"/>
          <w:rFonts w:ascii="黑体" w:eastAsia="黑体" w:hint="eastAsia"/>
          <w:sz w:val="32"/>
          <w:szCs w:val="32"/>
        </w:rPr>
        <w:t>2020年度部门（单位）决算情况说明</w:t>
      </w:r>
    </w:p>
    <w:p w:rsidR="00B353DD" w:rsidRDefault="00FA66A5">
      <w:pPr>
        <w:numPr>
          <w:ilvl w:val="0"/>
          <w:numId w:val="1"/>
        </w:numPr>
        <w:spacing w:line="600" w:lineRule="atLeast"/>
        <w:ind w:firstLine="640"/>
        <w:jc w:val="both"/>
        <w:rPr>
          <w:rStyle w:val="15"/>
          <w:rFonts w:ascii="楷体" w:eastAsia="楷体" w:hAnsi="楷体"/>
          <w:sz w:val="32"/>
          <w:szCs w:val="32"/>
        </w:rPr>
      </w:pPr>
      <w:r>
        <w:rPr>
          <w:rStyle w:val="15"/>
          <w:rFonts w:ascii="楷体" w:eastAsia="楷体" w:hAnsi="楷体" w:hint="eastAsia"/>
          <w:sz w:val="32"/>
          <w:szCs w:val="32"/>
        </w:rPr>
        <w:t>收入支出决算总体情况说明</w:t>
      </w:r>
    </w:p>
    <w:p w:rsidR="00B353DD" w:rsidRDefault="00FA66A5">
      <w:pPr>
        <w:spacing w:line="600" w:lineRule="atLeast"/>
        <w:ind w:firstLineChars="300" w:firstLine="960"/>
        <w:jc w:val="both"/>
        <w:rPr>
          <w:rFonts w:eastAsia="仿宋"/>
        </w:rPr>
      </w:pPr>
      <w:r>
        <w:rPr>
          <w:rFonts w:ascii="仿宋" w:eastAsia="仿宋" w:hAnsi="仿宋" w:hint="eastAsia"/>
          <w:sz w:val="32"/>
          <w:szCs w:val="32"/>
        </w:rPr>
        <w:t>2020年度收入总计3,806.75万元，支出总计3,806.75万元,与2019年度相比，各减少1,056.64万元，下降21.73%。主要原因是：与2019年相比，很多项目支出缩减；取消了农贸城综合处理工作组办案经费32.74万元、</w:t>
      </w:r>
      <w:r>
        <w:rPr>
          <w:rFonts w:ascii="仿宋" w:eastAsia="仿宋" w:hAnsi="仿宋" w:hint="eastAsia"/>
          <w:sz w:val="32"/>
          <w:szCs w:val="32"/>
        </w:rPr>
        <w:lastRenderedPageBreak/>
        <w:t>消防救援培训基地建设经费233.54万元、行政中心大会堂设备设施改造经费64.91万元；缩减了消防救援培训基地改造经费384.71万元等。</w:t>
      </w:r>
    </w:p>
    <w:p w:rsidR="00B353DD" w:rsidRDefault="00FA66A5">
      <w:pPr>
        <w:spacing w:line="600" w:lineRule="atLeast"/>
        <w:ind w:firstLine="640"/>
        <w:jc w:val="both"/>
      </w:pPr>
      <w:r>
        <w:rPr>
          <w:rStyle w:val="15"/>
          <w:rFonts w:ascii="楷体" w:eastAsia="楷体" w:hAnsi="楷体" w:hint="eastAsia"/>
          <w:sz w:val="32"/>
          <w:szCs w:val="32"/>
        </w:rPr>
        <w:t>（二）收入决算情况说明</w:t>
      </w:r>
    </w:p>
    <w:p w:rsidR="00B353DD" w:rsidRDefault="00FA66A5">
      <w:pPr>
        <w:spacing w:line="600" w:lineRule="atLeast"/>
        <w:ind w:firstLine="640"/>
        <w:jc w:val="both"/>
      </w:pPr>
      <w:r>
        <w:rPr>
          <w:rFonts w:ascii="仿宋" w:eastAsia="仿宋" w:hAnsi="仿宋" w:hint="eastAsia"/>
          <w:sz w:val="32"/>
          <w:szCs w:val="32"/>
        </w:rPr>
        <w:t>本年收入合计3,806.75万元；包括财政拨款收入3,806.75万元（其中，一般公共预算3,806.75万元，政府性基金预算0万元,国有资本经营预算0万元），占收入合计100.00%；上级补助收入0万元，占收入合计0%；事业收入0万元，占收入合计0%；经营收入0万元，占收入合计0%；附属单位上缴收入0万元，占收入合计0%；其他收入0万元，占收入合计0%。</w:t>
      </w:r>
    </w:p>
    <w:p w:rsidR="00B353DD" w:rsidRDefault="00FA66A5">
      <w:pPr>
        <w:spacing w:line="600" w:lineRule="atLeast"/>
        <w:ind w:firstLine="640"/>
        <w:jc w:val="both"/>
      </w:pPr>
      <w:r>
        <w:rPr>
          <w:rStyle w:val="15"/>
          <w:rFonts w:ascii="楷体" w:eastAsia="楷体" w:hAnsi="楷体" w:hint="eastAsia"/>
          <w:sz w:val="32"/>
          <w:szCs w:val="32"/>
        </w:rPr>
        <w:t>（三）支出决算情况说明</w:t>
      </w:r>
    </w:p>
    <w:p w:rsidR="00B353DD" w:rsidRDefault="00FA66A5">
      <w:pPr>
        <w:spacing w:line="600" w:lineRule="atLeast"/>
        <w:ind w:firstLine="640"/>
        <w:jc w:val="both"/>
      </w:pPr>
      <w:r>
        <w:rPr>
          <w:rFonts w:ascii="仿宋" w:eastAsia="仿宋" w:hAnsi="仿宋" w:hint="eastAsia"/>
          <w:sz w:val="32"/>
          <w:szCs w:val="32"/>
        </w:rPr>
        <w:t>本年支出合计3,806.75万元，其中基本支出670.23万元，占17.61%；项目支出3,136.52万元，占82.39%；上缴上级支出0万元，占0%；经营支出0万元，占0%；对附属单位补助支出0万元，占0%。</w:t>
      </w:r>
    </w:p>
    <w:p w:rsidR="00B353DD" w:rsidRDefault="00FA66A5">
      <w:pPr>
        <w:spacing w:line="600" w:lineRule="atLeast"/>
        <w:ind w:firstLine="640"/>
        <w:jc w:val="both"/>
        <w:rPr>
          <w:rStyle w:val="15"/>
          <w:rFonts w:ascii="楷体" w:eastAsia="楷体" w:hAnsi="楷体"/>
          <w:sz w:val="32"/>
          <w:szCs w:val="32"/>
        </w:rPr>
      </w:pPr>
      <w:r>
        <w:rPr>
          <w:rStyle w:val="15"/>
          <w:rFonts w:ascii="楷体" w:eastAsia="楷体" w:hAnsi="楷体" w:hint="eastAsia"/>
          <w:sz w:val="32"/>
          <w:szCs w:val="32"/>
        </w:rPr>
        <w:t>（四）财政拨款收入支出决算总体情况说明</w:t>
      </w:r>
    </w:p>
    <w:p w:rsidR="00B353DD" w:rsidRDefault="00FA66A5">
      <w:pPr>
        <w:spacing w:line="600" w:lineRule="atLeast"/>
        <w:ind w:firstLine="640"/>
        <w:jc w:val="both"/>
      </w:pPr>
      <w:r>
        <w:rPr>
          <w:rFonts w:ascii="仿宋" w:eastAsia="仿宋" w:hAnsi="仿宋" w:hint="eastAsia"/>
          <w:sz w:val="32"/>
          <w:szCs w:val="32"/>
        </w:rPr>
        <w:t>2020年度财政拨款收入总计3,806.75万元，支出总计3,806.75万元，与2019年相比，各减少1,056.64万元，下降21.73%。主要原因是与2019年相比，很多项目支出缩减:取消了农贸城综合处理工作组办案经费32.74万元、消防救援培训基地建设经费233.54万元、行政中心大会堂设备设</w:t>
      </w:r>
      <w:r>
        <w:rPr>
          <w:rFonts w:ascii="仿宋" w:eastAsia="仿宋" w:hAnsi="仿宋" w:hint="eastAsia"/>
          <w:sz w:val="32"/>
          <w:szCs w:val="32"/>
        </w:rPr>
        <w:lastRenderedPageBreak/>
        <w:t>施改造经费64.91万元；缩减了消防救援培训基地改造经费384.71万元等。财政拨款支出年初预算数4731.32万元，完成年初预算的80.46%，主要原因是2020年基本支出决算数670.23万元，完成年初预算数的93.17%；项目支出决算3136.52万元，完成年初预算数的78.18%。</w:t>
      </w:r>
    </w:p>
    <w:p w:rsidR="00B353DD" w:rsidRDefault="00FA66A5">
      <w:pPr>
        <w:spacing w:line="600" w:lineRule="atLeast"/>
        <w:ind w:firstLine="640"/>
        <w:jc w:val="both"/>
      </w:pPr>
      <w:r>
        <w:rPr>
          <w:rStyle w:val="15"/>
          <w:rFonts w:ascii="楷体" w:eastAsia="楷体" w:hAnsi="楷体" w:hint="eastAsia"/>
          <w:sz w:val="32"/>
          <w:szCs w:val="32"/>
        </w:rPr>
        <w:t>（五）一般公共预算财政拨款支出决算情况说明</w:t>
      </w:r>
    </w:p>
    <w:p w:rsidR="00B353DD" w:rsidRDefault="00FA66A5">
      <w:pPr>
        <w:spacing w:line="600" w:lineRule="atLeast"/>
        <w:ind w:firstLine="640"/>
        <w:jc w:val="both"/>
        <w:rPr>
          <w:rStyle w:val="15"/>
          <w:rFonts w:ascii="仿宋" w:eastAsia="仿宋" w:hAnsi="仿宋"/>
          <w:sz w:val="32"/>
          <w:szCs w:val="32"/>
        </w:rPr>
      </w:pPr>
      <w:r>
        <w:rPr>
          <w:rStyle w:val="15"/>
          <w:rFonts w:ascii="仿宋" w:eastAsia="仿宋" w:hAnsi="仿宋" w:hint="eastAsia"/>
          <w:sz w:val="32"/>
          <w:szCs w:val="32"/>
        </w:rPr>
        <w:t>1.一般公共预算财政拨款支出决算总体情况。</w:t>
      </w:r>
    </w:p>
    <w:p w:rsidR="00B353DD" w:rsidRDefault="00FA66A5">
      <w:pPr>
        <w:spacing w:line="600" w:lineRule="atLeast"/>
        <w:ind w:firstLine="640"/>
        <w:jc w:val="both"/>
        <w:rPr>
          <w:rFonts w:eastAsia="仿宋"/>
        </w:rPr>
      </w:pPr>
      <w:r>
        <w:rPr>
          <w:rFonts w:ascii="仿宋" w:eastAsia="仿宋" w:hAnsi="仿宋" w:hint="eastAsia"/>
          <w:sz w:val="32"/>
          <w:szCs w:val="32"/>
        </w:rPr>
        <w:t>2020年度一般公共预算财政拨款支出3,806.75万元，占本年支出合计的100.00%。与2019年相比，一般公共预算财政拨款支出减少823.09万元，下降17.78%。主要原因是：与2019年相比，很多项目支出缩减：取消了农贸城综合处理工作组办案经费32.74万元、消防救援培训基地建设经费233.54万元、行政中心大会堂设备设施改造经费64.91万元；缩减了消防救援培训基地改造经费384.71万元等，2019年决算支出还包括政府性财政拨款支出233.54万元，2020年无此经费安排。</w:t>
      </w:r>
    </w:p>
    <w:p w:rsidR="00B353DD" w:rsidRDefault="00FA66A5">
      <w:pPr>
        <w:spacing w:line="600" w:lineRule="atLeast"/>
        <w:ind w:firstLine="640"/>
        <w:jc w:val="both"/>
      </w:pPr>
      <w:r>
        <w:rPr>
          <w:rStyle w:val="15"/>
          <w:rFonts w:ascii="仿宋" w:eastAsia="仿宋" w:hAnsi="仿宋" w:hint="eastAsia"/>
          <w:sz w:val="32"/>
          <w:szCs w:val="32"/>
        </w:rPr>
        <w:t>2.一般公共预算财政拨款支出决算结构情况。</w:t>
      </w:r>
    </w:p>
    <w:p w:rsidR="00B353DD" w:rsidRDefault="00FA66A5">
      <w:pPr>
        <w:spacing w:line="600" w:lineRule="atLeast"/>
        <w:ind w:firstLine="640"/>
        <w:jc w:val="both"/>
      </w:pPr>
      <w:r>
        <w:rPr>
          <w:rFonts w:ascii="仿宋" w:eastAsia="仿宋" w:hAnsi="仿宋" w:hint="eastAsia"/>
          <w:sz w:val="32"/>
          <w:szCs w:val="32"/>
        </w:rPr>
        <w:t>2020年度一般公共预算财政拨款支出3,806.75万元，主要用于以下方面：一般公共服务（类）支出3,759.15万元，占98.75%；国防（类）支出0万元,占0%；公共安全（类）支出0万元,占0%；教育（类）支出0万元,占0%；科学技术（类）支出0万元,占0%；文化旅游体育与传媒（类）支</w:t>
      </w:r>
      <w:r>
        <w:rPr>
          <w:rFonts w:ascii="仿宋" w:eastAsia="仿宋" w:hAnsi="仿宋" w:hint="eastAsia"/>
          <w:sz w:val="32"/>
          <w:szCs w:val="32"/>
        </w:rPr>
        <w:lastRenderedPageBreak/>
        <w:t>出0万元,占0%；社会保障和就业（类）支出47.60万元,占1.25%；卫生健康（类）支出0万元,占0%；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rsidR="00B353DD" w:rsidRDefault="00FA66A5">
      <w:pPr>
        <w:numPr>
          <w:ilvl w:val="0"/>
          <w:numId w:val="2"/>
        </w:numPr>
        <w:spacing w:line="600" w:lineRule="atLeast"/>
        <w:ind w:firstLine="640"/>
        <w:jc w:val="both"/>
        <w:rPr>
          <w:rStyle w:val="15"/>
          <w:rFonts w:ascii="仿宋" w:eastAsia="仿宋" w:hAnsi="仿宋"/>
          <w:sz w:val="32"/>
          <w:szCs w:val="32"/>
        </w:rPr>
      </w:pPr>
      <w:r>
        <w:rPr>
          <w:rStyle w:val="15"/>
          <w:rFonts w:ascii="仿宋" w:eastAsia="仿宋" w:hAnsi="仿宋" w:hint="eastAsia"/>
          <w:sz w:val="32"/>
          <w:szCs w:val="32"/>
        </w:rPr>
        <w:t>一般公共预算财政拨款支出决算具体情况。</w:t>
      </w:r>
    </w:p>
    <w:p w:rsidR="00B353DD" w:rsidRDefault="00FA66A5">
      <w:pPr>
        <w:spacing w:line="600" w:lineRule="atLeast"/>
        <w:ind w:firstLineChars="200" w:firstLine="640"/>
        <w:jc w:val="both"/>
      </w:pPr>
      <w:r>
        <w:rPr>
          <w:rFonts w:ascii="仿宋" w:eastAsia="仿宋" w:hAnsi="仿宋" w:hint="eastAsia"/>
          <w:sz w:val="32"/>
          <w:szCs w:val="32"/>
        </w:rPr>
        <w:t>2020年度一般公共预算财政拨款支出年初预算为4731.32万元，支出决算为3,806.75万元,完成年初预算的80.46%，主要原因是2020年基本支出决算数670.23万元，完成年初预算数的93.17%；项目支出决算3136.52万元，完成年初预算数的78.18%。其中项目支出缩减：取消了农贸城综合处理工作组办案经费32.74万元、消防救援培训基地建设经费233.54万元、行政中心大会堂设备设施改造经费64.91万元；缩减了消防救援培训基地改造经费384.71万元等。</w:t>
      </w:r>
    </w:p>
    <w:p w:rsidR="00B353DD" w:rsidRDefault="00FA66A5">
      <w:pPr>
        <w:spacing w:line="600" w:lineRule="atLeast"/>
        <w:ind w:firstLine="640"/>
        <w:jc w:val="both"/>
      </w:pPr>
      <w:r>
        <w:rPr>
          <w:rFonts w:ascii="仿宋" w:eastAsia="仿宋" w:hAnsi="仿宋" w:hint="eastAsia"/>
          <w:sz w:val="32"/>
          <w:szCs w:val="32"/>
        </w:rPr>
        <w:lastRenderedPageBreak/>
        <w:t>其中：</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201一般公共服务支出(类）20103政府办公厅（室）及相关机构事务（款）2010302一般行政管理事务（项）年初预算为3994万元，支出决算为3089.88万元，完成年初预算的77.36%,决算数小于预算数的主要原因是各项目经费实际支出数比年初预算数少，略有结余。</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201一般公共服务支出（类）20103政府办公厅（室）及相关机构事务（款）2010350事业运行（项）年初预算为536.13万元，支出决算为391.64万元，完成年初预算的73.05%，决算数小于预算数的主要原因是</w:t>
      </w:r>
      <w:bookmarkStart w:id="0" w:name="_GoBack"/>
      <w:bookmarkEnd w:id="0"/>
      <w:r>
        <w:rPr>
          <w:rFonts w:ascii="仿宋" w:eastAsia="仿宋" w:hAnsi="仿宋" w:hint="eastAsia"/>
          <w:sz w:val="32"/>
          <w:szCs w:val="32"/>
        </w:rPr>
        <w:t>支出有结余，严控日常经费支出。</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201一般公共服务支出(类）20131党委办公厅（室）及相关机构事务（款）2013150事业运行（项）年初预算为135.59万元，支出决算为133.59万元，完成年初预算的98.52%，决算数同年初预算数基本一致，是因为严格执行年初预算的计划安排。</w:t>
      </w:r>
    </w:p>
    <w:p w:rsidR="00B353DD" w:rsidRDefault="00FA66A5">
      <w:pPr>
        <w:snapToGrid w:val="0"/>
        <w:spacing w:line="600" w:lineRule="atLeast"/>
        <w:ind w:firstLine="640"/>
        <w:jc w:val="both"/>
        <w:rPr>
          <w:rFonts w:ascii="仿宋" w:eastAsia="仿宋" w:hAnsi="仿宋"/>
          <w:sz w:val="32"/>
          <w:szCs w:val="32"/>
        </w:rPr>
      </w:pPr>
      <w:r>
        <w:rPr>
          <w:rFonts w:ascii="仿宋" w:eastAsia="仿宋" w:hAnsi="仿宋" w:hint="eastAsia"/>
          <w:sz w:val="32"/>
          <w:szCs w:val="32"/>
        </w:rPr>
        <w:t>208社会保障和就业支出（类）20805行政事业单位离退休（款）2080505机关事业单位基本养老保险缴费支出（项）年初预算为31.73万元，支出决算为31.73万元，完成年初预算的100%，决算数同年初预算数基本一致，是因为严格执行年初预算的计划安排。</w:t>
      </w:r>
    </w:p>
    <w:p w:rsidR="00B353DD" w:rsidRDefault="00FA66A5">
      <w:pPr>
        <w:snapToGrid w:val="0"/>
        <w:spacing w:line="600" w:lineRule="atLeast"/>
        <w:ind w:firstLine="640"/>
        <w:jc w:val="both"/>
        <w:rPr>
          <w:rFonts w:ascii="仿宋" w:eastAsia="仿宋" w:hAnsi="仿宋"/>
          <w:sz w:val="32"/>
          <w:szCs w:val="32"/>
        </w:rPr>
      </w:pPr>
      <w:r>
        <w:rPr>
          <w:rFonts w:ascii="仿宋" w:eastAsia="仿宋" w:hAnsi="仿宋" w:hint="eastAsia"/>
          <w:sz w:val="32"/>
          <w:szCs w:val="32"/>
        </w:rPr>
        <w:lastRenderedPageBreak/>
        <w:t>208社会保障和就业支出（类）20805行政事业单位离退休（款）2080506机关事业单位职业年金缴费支出（项）年初预算为15.87万元，支出决算为15.87万元，完成年初预算的100%，决算数同年初预算数基本一致，是因为严格执行年初预算的计划安排。</w:t>
      </w:r>
    </w:p>
    <w:p w:rsidR="00B353DD" w:rsidRDefault="00FA66A5">
      <w:pPr>
        <w:spacing w:line="600" w:lineRule="atLeast"/>
        <w:ind w:firstLine="640"/>
        <w:jc w:val="both"/>
      </w:pPr>
      <w:r>
        <w:rPr>
          <w:rStyle w:val="15"/>
          <w:rFonts w:ascii="楷体" w:eastAsia="楷体" w:hAnsi="楷体" w:hint="eastAsia"/>
          <w:sz w:val="32"/>
          <w:szCs w:val="32"/>
        </w:rPr>
        <w:t>（六）一般公共预算财政拨款基本支出决算情况说明</w:t>
      </w:r>
    </w:p>
    <w:p w:rsidR="00B353DD" w:rsidRDefault="00FA66A5">
      <w:pPr>
        <w:spacing w:line="600" w:lineRule="atLeast"/>
        <w:ind w:firstLine="640"/>
        <w:jc w:val="both"/>
      </w:pPr>
      <w:r>
        <w:rPr>
          <w:rFonts w:ascii="仿宋" w:eastAsia="仿宋" w:hAnsi="仿宋" w:hint="eastAsia"/>
          <w:sz w:val="32"/>
          <w:szCs w:val="32"/>
        </w:rPr>
        <w:t>2020年度一般公共预算财政拨款基本支出670.23万元，其中：</w:t>
      </w:r>
    </w:p>
    <w:p w:rsidR="00B353DD" w:rsidRDefault="00FA66A5">
      <w:pPr>
        <w:snapToGrid w:val="0"/>
        <w:spacing w:line="600" w:lineRule="atLeast"/>
        <w:ind w:firstLine="640"/>
        <w:jc w:val="both"/>
        <w:rPr>
          <w:rFonts w:ascii="仿宋" w:eastAsia="仿宋" w:hAnsi="仿宋"/>
          <w:sz w:val="32"/>
          <w:szCs w:val="32"/>
        </w:rPr>
      </w:pPr>
      <w:r>
        <w:rPr>
          <w:rFonts w:ascii="仿宋" w:eastAsia="仿宋" w:hAnsi="仿宋" w:hint="eastAsia"/>
          <w:sz w:val="32"/>
          <w:szCs w:val="32"/>
        </w:rPr>
        <w:t>人员经费516.99万元，主要包括：基本工资、津贴补贴、奖金、社会保障缴费、绩效工资、其他工资福利支出、生活补助、医疗费、奖励金、住房公积金、其他对个人和家庭的补助支出。</w:t>
      </w:r>
    </w:p>
    <w:p w:rsidR="00B353DD" w:rsidRDefault="00FA66A5">
      <w:pPr>
        <w:snapToGrid w:val="0"/>
        <w:spacing w:line="600" w:lineRule="atLeast"/>
        <w:ind w:firstLine="640"/>
        <w:jc w:val="both"/>
        <w:rPr>
          <w:rFonts w:ascii="仿宋" w:eastAsia="仿宋" w:hAnsi="仿宋"/>
          <w:sz w:val="32"/>
          <w:szCs w:val="32"/>
        </w:rPr>
      </w:pPr>
      <w:r>
        <w:rPr>
          <w:rFonts w:ascii="仿宋" w:eastAsia="仿宋" w:hAnsi="仿宋" w:hint="eastAsia"/>
          <w:sz w:val="32"/>
          <w:szCs w:val="32"/>
        </w:rPr>
        <w:t>公用经费153.24万元，主要包括：办公费、印刷费、手续费、邮电费、差旅费、因公出国（境）费用、维修（护）费、会议费、培训费、公务接待费、劳务费、工会经费、福利费、公务用车运行维护费、其他交通费用、其他商品和服务支出。</w:t>
      </w:r>
    </w:p>
    <w:p w:rsidR="00B353DD" w:rsidRDefault="00FA66A5">
      <w:pPr>
        <w:spacing w:line="600" w:lineRule="atLeast"/>
        <w:ind w:firstLine="640"/>
        <w:jc w:val="both"/>
      </w:pPr>
      <w:r>
        <w:rPr>
          <w:rStyle w:val="15"/>
          <w:rFonts w:ascii="楷体" w:eastAsia="楷体" w:hAnsi="楷体" w:hint="eastAsia"/>
          <w:sz w:val="32"/>
          <w:szCs w:val="32"/>
        </w:rPr>
        <w:t>（七）政府性基金预算财政拨款支出决算总体情况</w:t>
      </w:r>
    </w:p>
    <w:p w:rsidR="00B353DD" w:rsidRDefault="00FA66A5">
      <w:pPr>
        <w:spacing w:line="600" w:lineRule="atLeast"/>
        <w:ind w:firstLine="640"/>
        <w:jc w:val="both"/>
      </w:pPr>
      <w:r>
        <w:rPr>
          <w:rStyle w:val="15"/>
          <w:rFonts w:ascii="仿宋" w:eastAsia="仿宋" w:hAnsi="仿宋" w:hint="eastAsia"/>
          <w:sz w:val="32"/>
          <w:szCs w:val="32"/>
        </w:rPr>
        <w:t>1.政府性基金预算财政拨款支出决算总体情况。</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2020年度政府性基金预算财政拨款支出0万元，占本年支出合计的0%。与2019年相比，政府性基金预算财政拨款支出减少233.55万元，下降100.00%。主要原因是：2019</w:t>
      </w:r>
      <w:r>
        <w:rPr>
          <w:rFonts w:ascii="仿宋" w:eastAsia="仿宋" w:hAnsi="仿宋" w:hint="eastAsia"/>
          <w:sz w:val="32"/>
          <w:szCs w:val="32"/>
        </w:rPr>
        <w:lastRenderedPageBreak/>
        <w:t>年政府性基金预算财政拨款支出233.55万元，2020年没有政府性基金预算财政拨款的预算安排。</w:t>
      </w:r>
    </w:p>
    <w:p w:rsidR="00B353DD" w:rsidRDefault="00FA66A5">
      <w:pPr>
        <w:spacing w:line="600" w:lineRule="atLeast"/>
        <w:ind w:firstLine="640"/>
        <w:jc w:val="both"/>
      </w:pPr>
      <w:r>
        <w:rPr>
          <w:rStyle w:val="15"/>
          <w:rFonts w:ascii="仿宋" w:eastAsia="仿宋" w:hAnsi="仿宋" w:hint="eastAsia"/>
          <w:sz w:val="32"/>
          <w:szCs w:val="32"/>
        </w:rPr>
        <w:t>2.政府性基金预算财政拨款支出决算结构情况。</w:t>
      </w:r>
    </w:p>
    <w:p w:rsidR="00B353DD" w:rsidRDefault="00FA66A5">
      <w:pPr>
        <w:spacing w:line="600" w:lineRule="atLeast"/>
        <w:ind w:firstLine="640"/>
        <w:jc w:val="both"/>
      </w:pPr>
      <w:r>
        <w:rPr>
          <w:rFonts w:ascii="仿宋" w:eastAsia="仿宋" w:hAnsi="仿宋" w:hint="eastAsia"/>
          <w:sz w:val="32"/>
          <w:szCs w:val="32"/>
        </w:rPr>
        <w:t>2020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0万元,占0%；债务付息（类）支出0万元,占0%；抗疫特别国债安排（类）支出0万元,占0%。</w:t>
      </w:r>
    </w:p>
    <w:p w:rsidR="00B353DD" w:rsidRDefault="00FA66A5">
      <w:pPr>
        <w:numPr>
          <w:ilvl w:val="0"/>
          <w:numId w:val="3"/>
        </w:numPr>
        <w:spacing w:line="600" w:lineRule="atLeast"/>
        <w:ind w:firstLine="640"/>
        <w:jc w:val="both"/>
        <w:rPr>
          <w:rStyle w:val="15"/>
          <w:rFonts w:ascii="仿宋" w:eastAsia="仿宋" w:hAnsi="仿宋"/>
          <w:sz w:val="32"/>
          <w:szCs w:val="32"/>
        </w:rPr>
      </w:pPr>
      <w:r>
        <w:rPr>
          <w:rStyle w:val="15"/>
          <w:rFonts w:ascii="仿宋" w:eastAsia="仿宋" w:hAnsi="仿宋" w:hint="eastAsia"/>
          <w:sz w:val="32"/>
          <w:szCs w:val="32"/>
        </w:rPr>
        <w:t>政府性基金预算财政拨款支出决算具体情况。</w:t>
      </w:r>
    </w:p>
    <w:p w:rsidR="00B353DD" w:rsidRDefault="00FA66A5">
      <w:pPr>
        <w:spacing w:line="600" w:lineRule="atLeast"/>
        <w:ind w:firstLine="640"/>
        <w:jc w:val="both"/>
      </w:pPr>
      <w:r>
        <w:rPr>
          <w:rFonts w:ascii="仿宋" w:eastAsia="仿宋" w:hAnsi="仿宋" w:hint="eastAsia"/>
          <w:sz w:val="32"/>
          <w:szCs w:val="32"/>
        </w:rPr>
        <w:t>本单位2020年度无政府性基金预算财政拨款收支安排，故无相关数据。</w:t>
      </w:r>
    </w:p>
    <w:p w:rsidR="00B353DD" w:rsidRDefault="00FA66A5">
      <w:pPr>
        <w:numPr>
          <w:ilvl w:val="0"/>
          <w:numId w:val="4"/>
        </w:numPr>
        <w:spacing w:line="600" w:lineRule="atLeast"/>
        <w:ind w:firstLine="640"/>
        <w:jc w:val="both"/>
        <w:rPr>
          <w:rStyle w:val="15"/>
          <w:rFonts w:ascii="楷体" w:eastAsia="楷体" w:hAnsi="楷体"/>
          <w:sz w:val="32"/>
          <w:szCs w:val="32"/>
        </w:rPr>
      </w:pPr>
      <w:r>
        <w:rPr>
          <w:rStyle w:val="15"/>
          <w:rFonts w:ascii="楷体" w:eastAsia="楷体" w:hAnsi="楷体" w:hint="eastAsia"/>
          <w:sz w:val="32"/>
          <w:szCs w:val="32"/>
        </w:rPr>
        <w:t>国有资本经营预算财政拨款支出决算总体情况</w:t>
      </w:r>
    </w:p>
    <w:p w:rsidR="00B353DD" w:rsidRDefault="00FA66A5">
      <w:pPr>
        <w:spacing w:line="600" w:lineRule="atLeast"/>
        <w:ind w:firstLineChars="200" w:firstLine="643"/>
        <w:jc w:val="both"/>
      </w:pPr>
      <w:r>
        <w:rPr>
          <w:rStyle w:val="15"/>
          <w:rFonts w:ascii="仿宋" w:eastAsia="仿宋" w:hAnsi="仿宋" w:hint="eastAsia"/>
          <w:sz w:val="32"/>
          <w:szCs w:val="32"/>
        </w:rPr>
        <w:t>1.国有资本经营预算财政拨款支出决算总体情况。</w:t>
      </w:r>
    </w:p>
    <w:p w:rsidR="00B353DD" w:rsidRDefault="00FA66A5">
      <w:pPr>
        <w:spacing w:line="600" w:lineRule="atLeast"/>
        <w:ind w:firstLine="640"/>
        <w:jc w:val="both"/>
      </w:pPr>
      <w:r>
        <w:rPr>
          <w:rFonts w:ascii="仿宋" w:eastAsia="仿宋" w:hAnsi="仿宋" w:hint="eastAsia"/>
          <w:sz w:val="32"/>
          <w:szCs w:val="32"/>
        </w:rPr>
        <w:t>2020年度国有资本经营预算财政拨款支出0万元，占本年支出合计的0%。</w:t>
      </w:r>
    </w:p>
    <w:p w:rsidR="00B353DD" w:rsidRDefault="00FA66A5">
      <w:pPr>
        <w:spacing w:line="600" w:lineRule="atLeast"/>
        <w:ind w:firstLine="640"/>
        <w:jc w:val="both"/>
      </w:pPr>
      <w:r>
        <w:rPr>
          <w:rStyle w:val="15"/>
          <w:rFonts w:ascii="仿宋" w:eastAsia="仿宋" w:hAnsi="仿宋" w:hint="eastAsia"/>
          <w:sz w:val="32"/>
          <w:szCs w:val="32"/>
        </w:rPr>
        <w:t>2.国有资本经营预算财政拨款支出决算结构情况。</w:t>
      </w:r>
    </w:p>
    <w:p w:rsidR="00B353DD" w:rsidRDefault="00FA66A5">
      <w:pPr>
        <w:spacing w:line="600" w:lineRule="atLeast"/>
        <w:ind w:firstLine="640"/>
        <w:jc w:val="both"/>
      </w:pPr>
      <w:r>
        <w:rPr>
          <w:rFonts w:ascii="仿宋" w:eastAsia="仿宋" w:hAnsi="仿宋" w:hint="eastAsia"/>
          <w:sz w:val="32"/>
          <w:szCs w:val="32"/>
        </w:rPr>
        <w:t>2020年度国有资本经营预算财政拨款支出0万元，主要用于以下方面：国有资本经营（类）支出0万元,占0%。</w:t>
      </w:r>
    </w:p>
    <w:p w:rsidR="00B353DD" w:rsidRDefault="00FA66A5">
      <w:pPr>
        <w:numPr>
          <w:ilvl w:val="0"/>
          <w:numId w:val="3"/>
        </w:numPr>
        <w:spacing w:line="600" w:lineRule="atLeast"/>
        <w:ind w:firstLine="640"/>
        <w:jc w:val="both"/>
        <w:rPr>
          <w:rStyle w:val="15"/>
          <w:rFonts w:ascii="仿宋" w:eastAsia="仿宋" w:hAnsi="仿宋"/>
          <w:sz w:val="32"/>
          <w:szCs w:val="32"/>
        </w:rPr>
      </w:pPr>
      <w:r>
        <w:rPr>
          <w:rStyle w:val="15"/>
          <w:rFonts w:ascii="仿宋" w:eastAsia="仿宋" w:hAnsi="仿宋" w:hint="eastAsia"/>
          <w:sz w:val="32"/>
          <w:szCs w:val="32"/>
        </w:rPr>
        <w:lastRenderedPageBreak/>
        <w:t>国有资本经营预算财政拨款支出决算具体情况。</w:t>
      </w:r>
    </w:p>
    <w:p w:rsidR="00B353DD" w:rsidRDefault="00FA66A5">
      <w:pPr>
        <w:spacing w:line="600" w:lineRule="atLeast"/>
        <w:ind w:firstLine="640"/>
        <w:jc w:val="both"/>
        <w:rPr>
          <w:rStyle w:val="15"/>
          <w:rFonts w:ascii="仿宋" w:eastAsia="仿宋" w:hAnsi="仿宋"/>
          <w:sz w:val="32"/>
          <w:szCs w:val="32"/>
        </w:rPr>
      </w:pPr>
      <w:r>
        <w:rPr>
          <w:rFonts w:ascii="仿宋" w:eastAsia="仿宋" w:hAnsi="仿宋" w:hint="eastAsia"/>
          <w:sz w:val="32"/>
          <w:szCs w:val="32"/>
        </w:rPr>
        <w:t>本单位2020年度无国有资本经营预算财政拨款收支安排，故无相关数据。</w:t>
      </w:r>
    </w:p>
    <w:p w:rsidR="00B353DD" w:rsidRDefault="00FA66A5">
      <w:pPr>
        <w:spacing w:line="600" w:lineRule="atLeast"/>
        <w:ind w:firstLine="640"/>
        <w:jc w:val="both"/>
      </w:pPr>
      <w:r>
        <w:rPr>
          <w:rStyle w:val="15"/>
          <w:rFonts w:ascii="楷体" w:eastAsia="楷体" w:hAnsi="楷体" w:hint="eastAsia"/>
          <w:sz w:val="32"/>
          <w:szCs w:val="32"/>
        </w:rPr>
        <w:t>（九）一般公共预算财政拨款“三公”经费支出决算情况说明</w:t>
      </w:r>
    </w:p>
    <w:p w:rsidR="00B353DD" w:rsidRDefault="00FA66A5">
      <w:pPr>
        <w:spacing w:line="600" w:lineRule="atLeast"/>
        <w:ind w:firstLine="640"/>
        <w:jc w:val="both"/>
        <w:rPr>
          <w:rStyle w:val="15"/>
          <w:rFonts w:ascii="仿宋" w:eastAsia="仿宋" w:hAnsi="仿宋"/>
          <w:sz w:val="32"/>
          <w:szCs w:val="32"/>
        </w:rPr>
      </w:pPr>
      <w:r>
        <w:rPr>
          <w:rStyle w:val="15"/>
          <w:rFonts w:ascii="仿宋" w:eastAsia="仿宋" w:hAnsi="仿宋" w:hint="eastAsia"/>
          <w:sz w:val="32"/>
          <w:szCs w:val="32"/>
        </w:rPr>
        <w:t>1.“三公”经费一般公共预算财政拨款支出决算总体情况说明。</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2020年度“三公”经费一般公共预算财政拨款支出预算为186.59万元，支出决算为163.37万元，完成预算的87.56%,2020年度“三公”经费支出决算数小于预算数的主要原因是倡导厉行节约，公务接待减少。公务用车改革后车辆实行统一管理、调配，公务用车运行经费总体下降,新车购置数量减少。</w:t>
      </w:r>
    </w:p>
    <w:p w:rsidR="00B353DD" w:rsidRDefault="00FA66A5">
      <w:pPr>
        <w:spacing w:line="600" w:lineRule="atLeast"/>
        <w:ind w:firstLine="640"/>
        <w:jc w:val="both"/>
      </w:pPr>
      <w:r>
        <w:rPr>
          <w:rStyle w:val="15"/>
          <w:rFonts w:ascii="仿宋" w:eastAsia="仿宋" w:hAnsi="仿宋" w:hint="eastAsia"/>
          <w:sz w:val="32"/>
          <w:szCs w:val="32"/>
        </w:rPr>
        <w:t>2.“三公”经费一般公共预算财政拨款支出决算具体情况说明。</w:t>
      </w:r>
    </w:p>
    <w:p w:rsidR="00B353DD" w:rsidRDefault="00FA66A5">
      <w:pPr>
        <w:snapToGrid w:val="0"/>
        <w:spacing w:line="600" w:lineRule="atLeast"/>
        <w:ind w:firstLine="640"/>
        <w:jc w:val="both"/>
      </w:pPr>
      <w:r>
        <w:rPr>
          <w:rFonts w:ascii="仿宋" w:eastAsia="仿宋" w:hAnsi="仿宋" w:hint="eastAsia"/>
          <w:sz w:val="32"/>
          <w:szCs w:val="32"/>
        </w:rPr>
        <w:t>2020年度“三公”经费一般公共预算财政拨款支出决算中，因公出国（境）费用支出决算为0万元，占0%，与2019年度相比，增加0万元，增长0%，主要原因是2019年与2020年均无安排因公出国（境）费用支出；公务用车购置及运行维护费支出决算为162.24万元，占99.31%，与2019年度相比，减少5.85万元，下降3.48%，主要原因是公务用车改革后车辆实行统一管理、调配，公务用车运行经费总体下降。</w:t>
      </w:r>
      <w:r>
        <w:rPr>
          <w:rFonts w:ascii="仿宋" w:eastAsia="仿宋" w:hAnsi="仿宋" w:hint="eastAsia"/>
          <w:sz w:val="32"/>
          <w:szCs w:val="32"/>
        </w:rPr>
        <w:lastRenderedPageBreak/>
        <w:t>公务接待费支出决算为1.13万元，占0.69%，与2019年度相比，增加0.54万元，增长91.77%，主要原因是公务接待虽较上年有所增加，但总体支出还是远低于预算。具体情况如下：</w:t>
      </w:r>
    </w:p>
    <w:p w:rsidR="00B353DD" w:rsidRDefault="00FA66A5">
      <w:pPr>
        <w:numPr>
          <w:ilvl w:val="0"/>
          <w:numId w:val="5"/>
        </w:numPr>
        <w:spacing w:line="600" w:lineRule="atLeast"/>
        <w:ind w:firstLine="640"/>
        <w:jc w:val="both"/>
        <w:rPr>
          <w:rFonts w:ascii="仿宋" w:eastAsia="仿宋" w:hAnsi="仿宋"/>
          <w:sz w:val="32"/>
          <w:szCs w:val="32"/>
        </w:rPr>
      </w:pPr>
      <w:r>
        <w:rPr>
          <w:rFonts w:ascii="仿宋" w:eastAsia="仿宋" w:hAnsi="仿宋" w:hint="eastAsia"/>
          <w:sz w:val="32"/>
          <w:szCs w:val="32"/>
        </w:rPr>
        <w:t>因公出国（境）费预算数为0万元，支出决算为0万元。</w:t>
      </w:r>
      <w:r w:rsidR="00C26854">
        <w:rPr>
          <w:rFonts w:ascii="仿宋" w:eastAsia="仿宋" w:hAnsi="仿宋" w:cs="Arial" w:hint="eastAsia"/>
          <w:sz w:val="32"/>
          <w:szCs w:val="32"/>
        </w:rPr>
        <w:t>完成预算的100%。</w:t>
      </w:r>
      <w:r>
        <w:rPr>
          <w:rFonts w:ascii="仿宋" w:eastAsia="仿宋" w:hAnsi="仿宋" w:hint="eastAsia"/>
          <w:sz w:val="32"/>
          <w:szCs w:val="32"/>
        </w:rPr>
        <w:t>主要用于机关及下属预算单位人员的公务出国（境）的住宿费、国际旅费、培训费、公杂费等支出。决算数等于预算数的主要原因是无出国预算安排，也没有出国境费用支出。</w:t>
      </w:r>
      <w:r w:rsidR="00C26854">
        <w:rPr>
          <w:rFonts w:ascii="仿宋" w:eastAsia="仿宋" w:hAnsi="仿宋" w:cs="Arial" w:hint="eastAsia"/>
          <w:sz w:val="32"/>
          <w:szCs w:val="32"/>
        </w:rPr>
        <w:t>全年使用一般公共预算财政拨款支出涉及因公出国(境)团组0个；累计0人次。无开支内容。</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（2）公务用车购置及运行维护费预算数为173.33万元，支出决算为162.24万元，完成预算的93.60%。决算数小于预算数的主要原因是严控公车运行成本，节约支出。</w:t>
      </w:r>
    </w:p>
    <w:p w:rsidR="00B353DD" w:rsidRDefault="00FA66A5">
      <w:pPr>
        <w:spacing w:line="600" w:lineRule="atLeast"/>
        <w:ind w:firstLine="640"/>
        <w:jc w:val="both"/>
        <w:rPr>
          <w:rFonts w:eastAsia="仿宋"/>
        </w:rPr>
      </w:pPr>
      <w:r>
        <w:rPr>
          <w:rFonts w:ascii="仿宋" w:eastAsia="仿宋" w:hAnsi="仿宋" w:hint="eastAsia"/>
          <w:sz w:val="32"/>
          <w:szCs w:val="32"/>
        </w:rPr>
        <w:t>公务用车购置预算数为46.64万元，支出决算为46.64万元（含购置税等附加费用），完成预算的100%。决算数等于预算数的主要原因是购车预算为年中追加。主要用于经批准购置的2辆公务用车。</w:t>
      </w:r>
    </w:p>
    <w:p w:rsidR="00B353DD" w:rsidRDefault="00FA66A5">
      <w:pPr>
        <w:spacing w:line="600" w:lineRule="atLeast"/>
        <w:ind w:firstLine="640"/>
        <w:jc w:val="both"/>
      </w:pPr>
      <w:r>
        <w:rPr>
          <w:rFonts w:ascii="仿宋" w:eastAsia="仿宋" w:hAnsi="仿宋" w:hint="eastAsia"/>
          <w:sz w:val="32"/>
          <w:szCs w:val="32"/>
        </w:rPr>
        <w:t>公务用车运行维护费预算数为126.69万元，支出115.60万元，完成预算的91.25%。决算数小于预算数的主要原因是公务用车改革后车辆实行统一管理、调配，公务用车运行经费总体下降。主要用于车改后公务用车保障中心保障车辆所需的公务用车燃料费、维修费、过路过桥费、保险费、安全</w:t>
      </w:r>
      <w:r>
        <w:rPr>
          <w:rFonts w:ascii="仿宋" w:eastAsia="仿宋" w:hAnsi="仿宋" w:hint="eastAsia"/>
          <w:sz w:val="32"/>
          <w:szCs w:val="32"/>
        </w:rPr>
        <w:lastRenderedPageBreak/>
        <w:t>奖励费用等支出；2020年度，本级及所属单位开支一般公共预算财政拨款的公务用车保有量为73辆。</w:t>
      </w:r>
    </w:p>
    <w:p w:rsidR="00B353DD" w:rsidRDefault="00FA66A5">
      <w:pPr>
        <w:snapToGrid w:val="0"/>
        <w:spacing w:line="600" w:lineRule="atLeast"/>
        <w:ind w:firstLine="640"/>
        <w:jc w:val="both"/>
      </w:pPr>
      <w:r>
        <w:rPr>
          <w:rFonts w:ascii="仿宋" w:eastAsia="仿宋" w:hAnsi="仿宋" w:hint="eastAsia"/>
          <w:sz w:val="32"/>
          <w:szCs w:val="32"/>
        </w:rPr>
        <w:t>（3）公务接待费预算数为13.26万元，支出决算为1.13万元，完成预算的0.85%。主要用于中心公务接待支出。决算数小于预算数的主要原因是公务接待骤减。全年使用一般公共预算财政拨款国内公务接待8团组，累计79人次。</w:t>
      </w:r>
    </w:p>
    <w:p w:rsidR="00B353DD" w:rsidRDefault="00FA66A5">
      <w:pPr>
        <w:spacing w:line="600" w:lineRule="atLeast"/>
        <w:ind w:firstLine="640"/>
        <w:jc w:val="both"/>
      </w:pPr>
      <w:r>
        <w:rPr>
          <w:rFonts w:ascii="仿宋" w:eastAsia="仿宋" w:hAnsi="仿宋" w:hint="eastAsia"/>
          <w:sz w:val="32"/>
          <w:szCs w:val="32"/>
        </w:rPr>
        <w:t>外宾接待支出0万元，主要用于中心接待外宾支出。接待0团组，0人次。</w:t>
      </w:r>
    </w:p>
    <w:p w:rsidR="00B353DD" w:rsidRDefault="00FA66A5">
      <w:pPr>
        <w:spacing w:line="600" w:lineRule="atLeast"/>
        <w:ind w:firstLine="640"/>
        <w:jc w:val="both"/>
      </w:pPr>
      <w:r>
        <w:rPr>
          <w:rFonts w:ascii="仿宋" w:eastAsia="仿宋" w:hAnsi="仿宋" w:hint="eastAsia"/>
          <w:sz w:val="32"/>
          <w:szCs w:val="32"/>
        </w:rPr>
        <w:t>其他国内公务接待支出1.13万元，主要用于中心国内公务接待支出。接待8团组，79人次。</w:t>
      </w:r>
    </w:p>
    <w:p w:rsidR="00B353DD" w:rsidRDefault="00FA66A5">
      <w:pPr>
        <w:spacing w:line="600" w:lineRule="atLeast"/>
        <w:ind w:firstLine="640"/>
        <w:jc w:val="both"/>
        <w:rPr>
          <w:rStyle w:val="15"/>
          <w:rFonts w:ascii="楷体" w:eastAsia="楷体" w:hAnsi="楷体"/>
          <w:sz w:val="32"/>
          <w:szCs w:val="32"/>
        </w:rPr>
      </w:pPr>
      <w:r>
        <w:rPr>
          <w:rStyle w:val="15"/>
          <w:rFonts w:ascii="楷体" w:eastAsia="楷体" w:hAnsi="楷体" w:hint="eastAsia"/>
          <w:sz w:val="32"/>
          <w:szCs w:val="32"/>
        </w:rPr>
        <w:t>（十）机关运行经费支出说明</w:t>
      </w:r>
    </w:p>
    <w:p w:rsidR="00B353DD" w:rsidRDefault="00FA66A5">
      <w:pPr>
        <w:spacing w:line="600" w:lineRule="atLeast"/>
        <w:ind w:firstLine="640"/>
        <w:jc w:val="both"/>
        <w:rPr>
          <w:rStyle w:val="15"/>
          <w:rFonts w:ascii="楷体" w:eastAsia="仿宋" w:hAnsi="楷体" w:cs="楷体"/>
          <w:sz w:val="32"/>
          <w:szCs w:val="32"/>
        </w:rPr>
      </w:pPr>
      <w:r>
        <w:rPr>
          <w:rFonts w:ascii="仿宋" w:eastAsia="仿宋" w:hAnsi="仿宋" w:hint="eastAsia"/>
          <w:sz w:val="32"/>
          <w:szCs w:val="32"/>
        </w:rPr>
        <w:t>2020年度机关运行经费年初预算数为0万元，支出决算为0万元。本单位是非参公的事业单位，无机关运行经费安排，机关运行经费为0万元。</w:t>
      </w:r>
    </w:p>
    <w:p w:rsidR="00B353DD" w:rsidRDefault="00FA66A5">
      <w:pPr>
        <w:spacing w:line="600" w:lineRule="atLeast"/>
        <w:ind w:firstLine="640"/>
        <w:jc w:val="both"/>
      </w:pPr>
      <w:r>
        <w:rPr>
          <w:rStyle w:val="15"/>
          <w:rFonts w:ascii="楷体" w:eastAsia="楷体" w:hAnsi="楷体" w:hint="eastAsia"/>
          <w:sz w:val="32"/>
          <w:szCs w:val="32"/>
        </w:rPr>
        <w:t>（十一）政府采购支出说明</w:t>
      </w:r>
    </w:p>
    <w:p w:rsidR="00B353DD" w:rsidRDefault="00FA66A5">
      <w:pPr>
        <w:spacing w:line="600" w:lineRule="atLeast"/>
        <w:ind w:firstLine="640"/>
        <w:jc w:val="both"/>
      </w:pPr>
      <w:r>
        <w:rPr>
          <w:rFonts w:ascii="仿宋" w:eastAsia="仿宋" w:hAnsi="仿宋" w:hint="eastAsia"/>
          <w:sz w:val="32"/>
          <w:szCs w:val="32"/>
        </w:rPr>
        <w:t>2020年度政府采购支出总额262.64万元，其中：政府采购货物支出262.64万元、政府采购工程支出0万元、政府采购服务支出0万元。授予中小企业合同金额210.11万元，占政府采购支出总额的80.00%。其中，授予小微企业合同金额210.11万元，占政府采购支出总额的80.00%。</w:t>
      </w:r>
    </w:p>
    <w:p w:rsidR="00B353DD" w:rsidRDefault="00FA66A5">
      <w:pPr>
        <w:spacing w:line="600" w:lineRule="atLeast"/>
        <w:ind w:firstLine="640"/>
        <w:jc w:val="both"/>
      </w:pPr>
      <w:r>
        <w:rPr>
          <w:rStyle w:val="15"/>
          <w:rFonts w:ascii="楷体" w:eastAsia="楷体" w:hAnsi="楷体" w:hint="eastAsia"/>
          <w:sz w:val="32"/>
          <w:szCs w:val="32"/>
        </w:rPr>
        <w:t>（十二）国有资产占有情况说明</w:t>
      </w:r>
    </w:p>
    <w:p w:rsidR="00B353DD" w:rsidRDefault="00FA66A5">
      <w:pPr>
        <w:spacing w:line="600" w:lineRule="atLeast"/>
        <w:ind w:firstLine="640"/>
        <w:jc w:val="both"/>
      </w:pPr>
      <w:r>
        <w:rPr>
          <w:rFonts w:ascii="仿宋" w:eastAsia="仿宋" w:hAnsi="仿宋" w:hint="eastAsia"/>
          <w:sz w:val="32"/>
          <w:szCs w:val="32"/>
        </w:rPr>
        <w:lastRenderedPageBreak/>
        <w:t xml:space="preserve">截至2020年12月31日，XX本级及所属各单位共有车辆73辆，其中，副部（省）级及以上领导用车0辆、主要领导干部用车0辆、机要通信用车0辆、应急保障用车0辆、执法执勤用车0辆、特种专业技术用车0辆、离退休干部用车0辆、其他用车73辆,其他用车主要是中心保障“四套班子”出行公务用车；单价50万元以上通用设备0台（套），单价100万元以上专用设备0台（套）。 </w:t>
      </w:r>
    </w:p>
    <w:p w:rsidR="00B353DD" w:rsidRDefault="00FA66A5">
      <w:pPr>
        <w:spacing w:line="600" w:lineRule="atLeast"/>
        <w:ind w:firstLine="640"/>
        <w:jc w:val="both"/>
      </w:pPr>
      <w:r>
        <w:rPr>
          <w:rStyle w:val="15"/>
          <w:rFonts w:ascii="楷体" w:eastAsia="楷体" w:hAnsi="楷体" w:hint="eastAsia"/>
          <w:sz w:val="32"/>
          <w:szCs w:val="32"/>
        </w:rPr>
        <w:t>（十三）预算绩效情况说明</w:t>
      </w:r>
    </w:p>
    <w:p w:rsidR="00B353DD" w:rsidRDefault="00FA66A5">
      <w:pPr>
        <w:spacing w:line="600" w:lineRule="atLeast"/>
        <w:ind w:firstLine="640"/>
        <w:jc w:val="both"/>
      </w:pPr>
      <w:r>
        <w:rPr>
          <w:rStyle w:val="15"/>
          <w:rFonts w:ascii="仿宋" w:eastAsia="仿宋" w:hAnsi="仿宋" w:hint="eastAsia"/>
          <w:sz w:val="32"/>
          <w:szCs w:val="32"/>
        </w:rPr>
        <w:t xml:space="preserve">1.预算绩效管理工作开展情况。 </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根据预算绩效管理要求，财政局组织对2020年度一般公共预算项目支出全面开展绩效自评，涉及项目11个，共涉及资金3994万元，占一般公共预算项目支出总额的100%。2020年无政府性基金预算项目。</w:t>
      </w:r>
    </w:p>
    <w:p w:rsidR="00B353DD" w:rsidRDefault="00FA66A5">
      <w:pPr>
        <w:spacing w:line="600" w:lineRule="atLeast"/>
        <w:ind w:firstLine="640"/>
        <w:jc w:val="both"/>
      </w:pPr>
      <w:r>
        <w:rPr>
          <w:rFonts w:ascii="仿宋" w:eastAsia="仿宋" w:hAnsi="仿宋" w:hint="eastAsia"/>
          <w:sz w:val="32"/>
          <w:szCs w:val="32"/>
        </w:rPr>
        <w:t>本年无部门评价。</w:t>
      </w:r>
    </w:p>
    <w:p w:rsidR="00B353DD" w:rsidRDefault="00FA66A5">
      <w:pPr>
        <w:spacing w:line="600" w:lineRule="atLeast"/>
        <w:ind w:firstLine="640"/>
        <w:jc w:val="both"/>
      </w:pPr>
      <w:r>
        <w:rPr>
          <w:rFonts w:ascii="仿宋" w:eastAsia="仿宋" w:hAnsi="仿宋" w:hint="eastAsia"/>
          <w:sz w:val="32"/>
          <w:szCs w:val="32"/>
        </w:rPr>
        <w:t>组织对本单位开展整体支出绩效评价试点，从评价情况来看，从评价情况来看，为保障项目的有效实施，执行中心内部财务管理制度，资金拨付有规范完整的审批程序和手续。中心严格履行法定的项目建设程序，落实招投标制、合同制等制度，规范使用资金，加强内控管理，建立健全相关制度、流程规范。社会满意度较高。大楼运行整体平稳高效，消防救援项目大大推进消防救援后备力量建设，提高了我市消防</w:t>
      </w:r>
      <w:r>
        <w:rPr>
          <w:rFonts w:ascii="仿宋" w:eastAsia="仿宋" w:hAnsi="仿宋" w:hint="eastAsia"/>
          <w:sz w:val="32"/>
          <w:szCs w:val="32"/>
        </w:rPr>
        <w:lastRenderedPageBreak/>
        <w:t>救援应急战斗力，对加强社全安定、提升民兵预备役正规化建设水平具有重要意义。</w:t>
      </w:r>
    </w:p>
    <w:p w:rsidR="00B353DD" w:rsidRDefault="00FA66A5">
      <w:pPr>
        <w:spacing w:line="600" w:lineRule="atLeast"/>
        <w:ind w:firstLine="640"/>
        <w:jc w:val="both"/>
      </w:pPr>
      <w:r>
        <w:rPr>
          <w:rFonts w:ascii="仿宋" w:eastAsia="仿宋" w:hAnsi="仿宋" w:hint="eastAsia"/>
          <w:sz w:val="32"/>
          <w:szCs w:val="32"/>
        </w:rPr>
        <w:t>本年无下属部门或单位整体支出绩效评价。</w:t>
      </w:r>
    </w:p>
    <w:p w:rsidR="00B353DD" w:rsidRDefault="00FA66A5">
      <w:pPr>
        <w:spacing w:line="600" w:lineRule="atLeast"/>
        <w:ind w:firstLine="640"/>
        <w:jc w:val="both"/>
      </w:pPr>
      <w:r>
        <w:rPr>
          <w:rStyle w:val="15"/>
          <w:rFonts w:ascii="仿宋" w:eastAsia="仿宋" w:hAnsi="仿宋" w:hint="eastAsia"/>
          <w:sz w:val="32"/>
          <w:szCs w:val="32"/>
        </w:rPr>
        <w:t>2.部门（单位）决算中项目绩效自评结果</w:t>
      </w:r>
      <w:r>
        <w:rPr>
          <w:rFonts w:ascii="仿宋" w:eastAsia="仿宋" w:hAnsi="仿宋" w:hint="eastAsia"/>
          <w:sz w:val="32"/>
          <w:szCs w:val="32"/>
        </w:rPr>
        <w:t>。</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温岭市机关事务中心在2020年度部门（单位）决算中反映市消防救援培训基地室外附属工程及温岭市消防救援培训登高塔楼及射击改造工程项目绩效自评结果。</w:t>
      </w:r>
    </w:p>
    <w:p w:rsidR="00B353DD" w:rsidRDefault="00FA66A5">
      <w:pPr>
        <w:spacing w:line="600" w:lineRule="atLeast"/>
        <w:ind w:firstLine="640"/>
        <w:jc w:val="both"/>
      </w:pPr>
      <w:r>
        <w:rPr>
          <w:rFonts w:ascii="仿宋" w:eastAsia="仿宋" w:hAnsi="仿宋" w:hint="eastAsia"/>
          <w:sz w:val="32"/>
          <w:szCs w:val="32"/>
        </w:rPr>
        <w:t>市消防救援培训基地室外附属工程项目绩效自评综述：根据年初设定的绩效目标，项目自评得分90分，自评结论为“良好”。项目全年预算数为130万元，执行数为104.07万元，完成预算的80.05%。项目绩效目标完成情况：一是提升消防救援培训正规化建设水平；二是征兵工作人群满意率。发现的问题及原因：无。</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温岭市消防救援培训登高塔楼及射击改造工程项目绩效自评综述：根据年初设定的绩效目标，项目自评得分81分，自评结论为“良好”。项目全年预算数为560万元，执行数为289.47万元，完成预算的51.69%。项目绩效目标完成情况：一是提高我市消防救援应急能力；二是消防救援培训人群满意率。发现的问题及原因：无。</w:t>
      </w:r>
    </w:p>
    <w:p w:rsidR="00B353DD" w:rsidRDefault="00FA66A5">
      <w:pPr>
        <w:adjustRightInd w:val="0"/>
        <w:snapToGrid w:val="0"/>
        <w:jc w:val="both"/>
        <w:rPr>
          <w:rFonts w:ascii="楷体_GB2312" w:hAnsi="华文仿宋" w:cs="方正小标宋简体"/>
          <w:spacing w:val="7"/>
          <w:sz w:val="32"/>
          <w:szCs w:val="32"/>
        </w:rPr>
      </w:pPr>
      <w:r>
        <w:rPr>
          <w:rFonts w:ascii="方正小标宋简体" w:hAnsi="方正小标宋简体"/>
          <w:spacing w:val="7"/>
          <w:sz w:val="44"/>
          <w:szCs w:val="44"/>
        </w:rPr>
        <w:t>温岭市项目支出绩效自评表</w:t>
      </w:r>
    </w:p>
    <w:p w:rsidR="00B353DD" w:rsidRDefault="00FA66A5">
      <w:pPr>
        <w:adjustRightInd w:val="0"/>
        <w:snapToGrid w:val="0"/>
        <w:jc w:val="both"/>
        <w:rPr>
          <w:rFonts w:ascii="楷体_GB2312" w:hAnsi="华文仿宋"/>
          <w:spacing w:val="7"/>
          <w:sz w:val="32"/>
          <w:szCs w:val="32"/>
        </w:rPr>
      </w:pPr>
      <w:r>
        <w:rPr>
          <w:rFonts w:ascii="楷体_GB2312" w:hAnsi="楷体_GB2312"/>
          <w:spacing w:val="7"/>
          <w:sz w:val="32"/>
          <w:szCs w:val="32"/>
        </w:rPr>
        <w:t>（</w:t>
      </w:r>
      <w:r>
        <w:rPr>
          <w:rFonts w:ascii="华文仿宋" w:eastAsia="华文仿宋" w:hAnsi="华文仿宋"/>
          <w:spacing w:val="7"/>
          <w:sz w:val="32"/>
          <w:szCs w:val="32"/>
        </w:rPr>
        <w:t xml:space="preserve">   2020</w:t>
      </w:r>
      <w:r>
        <w:rPr>
          <w:rFonts w:ascii="楷体_GB2312" w:hAnsi="楷体_GB2312"/>
          <w:spacing w:val="7"/>
          <w:sz w:val="32"/>
          <w:szCs w:val="32"/>
        </w:rPr>
        <w:t>年度）</w:t>
      </w:r>
    </w:p>
    <w:tbl>
      <w:tblPr>
        <w:tblW w:w="911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255"/>
        <w:gridCol w:w="1423"/>
        <w:gridCol w:w="48"/>
        <w:gridCol w:w="1461"/>
        <w:gridCol w:w="1224"/>
        <w:gridCol w:w="252"/>
        <w:gridCol w:w="543"/>
        <w:gridCol w:w="765"/>
        <w:gridCol w:w="300"/>
        <w:gridCol w:w="1007"/>
      </w:tblGrid>
      <w:tr w:rsidR="00B353DD">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rPr>
            </w:pPr>
            <w:r>
              <w:rPr>
                <w:rFonts w:cs="仿宋_GB2312" w:hint="eastAsia"/>
              </w:rPr>
              <w:t>项目</w:t>
            </w:r>
          </w:p>
          <w:p w:rsidR="00B353DD" w:rsidRDefault="00FA66A5">
            <w:pPr>
              <w:adjustRightInd w:val="0"/>
              <w:snapToGrid w:val="0"/>
              <w:jc w:val="center"/>
              <w:rPr>
                <w:rFonts w:cs="仿宋_GB2312"/>
              </w:rPr>
            </w:pPr>
            <w:r>
              <w:rPr>
                <w:rFonts w:cs="仿宋_GB2312" w:hint="eastAsia"/>
              </w:rPr>
              <w:t>名称</w:t>
            </w:r>
          </w:p>
        </w:tc>
        <w:tc>
          <w:tcPr>
            <w:tcW w:w="816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市消防救援培训基地室外附属工程</w:t>
            </w:r>
          </w:p>
        </w:tc>
      </w:tr>
      <w:tr w:rsidR="00B353DD">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lastRenderedPageBreak/>
              <w:t>主管</w:t>
            </w:r>
          </w:p>
          <w:p w:rsidR="00B353DD" w:rsidRDefault="00FA66A5">
            <w:pPr>
              <w:adjustRightInd w:val="0"/>
              <w:snapToGrid w:val="0"/>
              <w:jc w:val="center"/>
              <w:rPr>
                <w:rFonts w:cs="仿宋_GB2312"/>
                <w:spacing w:val="7"/>
              </w:rPr>
            </w:pPr>
            <w:r>
              <w:rPr>
                <w:rFonts w:cs="仿宋_GB2312" w:hint="eastAsia"/>
                <w:spacing w:val="7"/>
              </w:rPr>
              <w:t>部门</w:t>
            </w:r>
          </w:p>
        </w:tc>
        <w:tc>
          <w:tcPr>
            <w:tcW w:w="4072"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实施单位</w:t>
            </w:r>
          </w:p>
        </w:tc>
        <w:tc>
          <w:tcPr>
            <w:tcW w:w="26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温岭市机关事务中心</w:t>
            </w:r>
          </w:p>
        </w:tc>
      </w:tr>
      <w:tr w:rsidR="00B353DD">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项目</w:t>
            </w:r>
          </w:p>
          <w:p w:rsidR="00B353DD" w:rsidRDefault="00FA66A5">
            <w:pPr>
              <w:adjustRightInd w:val="0"/>
              <w:snapToGrid w:val="0"/>
              <w:jc w:val="center"/>
              <w:rPr>
                <w:rFonts w:cs="仿宋_GB2312"/>
                <w:spacing w:val="7"/>
              </w:rPr>
            </w:pPr>
            <w:r>
              <w:rPr>
                <w:rFonts w:cs="仿宋_GB2312" w:hint="eastAsia"/>
                <w:spacing w:val="7"/>
              </w:rPr>
              <w:t>资金(万元)</w:t>
            </w: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年初预算数</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全年预算数</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全年执行数</w:t>
            </w: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执行率</w:t>
            </w:r>
          </w:p>
        </w:tc>
      </w:tr>
      <w:tr w:rsidR="00B353DD">
        <w:trPr>
          <w:trHeight w:val="454"/>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年度资金总额</w:t>
            </w: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130</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130</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104.07</w:t>
            </w: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80.05%</w:t>
            </w:r>
          </w:p>
        </w:tc>
      </w:tr>
      <w:tr w:rsidR="00B353DD">
        <w:trPr>
          <w:trHeight w:val="454"/>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其中：当年财政拨款</w:t>
            </w: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130</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130</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104.07</w:t>
            </w: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80.05%</w:t>
            </w:r>
          </w:p>
        </w:tc>
      </w:tr>
      <w:tr w:rsidR="00B353DD">
        <w:trPr>
          <w:trHeight w:val="454"/>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   上年结转资金</w:t>
            </w: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454"/>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其他资金</w:t>
            </w: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jc w:val="center"/>
              <w:rPr>
                <w:rFonts w:cs="仿宋_GB2312"/>
                <w:spacing w:val="7"/>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jc w:val="center"/>
              <w:rPr>
                <w:rFonts w:cs="仿宋_GB2312"/>
                <w:spacing w:val="7"/>
              </w:rPr>
            </w:pP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jc w:val="center"/>
              <w:rPr>
                <w:rFonts w:cs="仿宋_GB2312"/>
                <w:spacing w:val="7"/>
              </w:rPr>
            </w:pP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年度总体目标</w:t>
            </w:r>
          </w:p>
        </w:tc>
        <w:tc>
          <w:tcPr>
            <w:tcW w:w="4072"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预期目标</w:t>
            </w:r>
          </w:p>
        </w:tc>
        <w:tc>
          <w:tcPr>
            <w:tcW w:w="409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实际完成情况</w:t>
            </w:r>
          </w:p>
        </w:tc>
      </w:tr>
      <w:tr w:rsidR="00B353DD">
        <w:trPr>
          <w:trHeight w:val="1363"/>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4072"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2020年度新增项目，按建设程序完成立项、招标、施工、竣工验收合格后投入使用，并完成工程结算。</w:t>
            </w:r>
          </w:p>
        </w:tc>
        <w:tc>
          <w:tcPr>
            <w:tcW w:w="409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工程顺利完工，竣工验收合格，并已投入使用，各方反映良好。</w:t>
            </w:r>
          </w:p>
        </w:tc>
      </w:tr>
      <w:tr w:rsidR="00B353DD">
        <w:trPr>
          <w:trHeight w:val="540"/>
        </w:trPr>
        <w:tc>
          <w:tcPr>
            <w:tcW w:w="458"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绩效指标</w:t>
            </w:r>
          </w:p>
        </w:tc>
        <w:tc>
          <w:tcPr>
            <w:tcW w:w="49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一级指标</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二级</w:t>
            </w:r>
          </w:p>
          <w:p w:rsidR="00B353DD" w:rsidRDefault="00FA66A5">
            <w:pPr>
              <w:adjustRightInd w:val="0"/>
              <w:snapToGrid w:val="0"/>
              <w:jc w:val="center"/>
              <w:rPr>
                <w:rFonts w:cs="仿宋_GB2312"/>
                <w:spacing w:val="7"/>
              </w:rPr>
            </w:pPr>
            <w:r>
              <w:rPr>
                <w:rFonts w:cs="仿宋_GB2312" w:hint="eastAsia"/>
                <w:spacing w:val="7"/>
              </w:rPr>
              <w:t>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三级</w:t>
            </w:r>
          </w:p>
          <w:p w:rsidR="00B353DD" w:rsidRDefault="00FA66A5">
            <w:pPr>
              <w:adjustRightInd w:val="0"/>
              <w:snapToGrid w:val="0"/>
              <w:jc w:val="center"/>
              <w:rPr>
                <w:rFonts w:cs="仿宋_GB2312"/>
                <w:spacing w:val="7"/>
              </w:rPr>
            </w:pPr>
            <w:r>
              <w:rPr>
                <w:rFonts w:cs="仿宋_GB2312" w:hint="eastAsia"/>
                <w:spacing w:val="7"/>
              </w:rPr>
              <w:t>指标</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年度</w:t>
            </w:r>
          </w:p>
          <w:p w:rsidR="00B353DD" w:rsidRDefault="00FA66A5">
            <w:pPr>
              <w:adjustRightInd w:val="0"/>
              <w:snapToGrid w:val="0"/>
              <w:jc w:val="center"/>
              <w:rPr>
                <w:rFonts w:cs="仿宋_GB2312"/>
                <w:spacing w:val="7"/>
              </w:rPr>
            </w:pPr>
            <w:r>
              <w:rPr>
                <w:rFonts w:cs="仿宋_GB2312" w:hint="eastAsia"/>
                <w:spacing w:val="7"/>
              </w:rPr>
              <w:t>指标值</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实际</w:t>
            </w:r>
          </w:p>
          <w:p w:rsidR="00B353DD" w:rsidRDefault="00FA66A5">
            <w:pPr>
              <w:adjustRightInd w:val="0"/>
              <w:snapToGrid w:val="0"/>
              <w:jc w:val="center"/>
              <w:rPr>
                <w:rFonts w:cs="仿宋_GB2312"/>
                <w:spacing w:val="7"/>
              </w:rPr>
            </w:pPr>
            <w:r>
              <w:rPr>
                <w:rFonts w:cs="仿宋_GB2312" w:hint="eastAsia"/>
                <w:spacing w:val="7"/>
              </w:rPr>
              <w:t>完成值</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权重</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得分</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偏差原因分析及改进措施</w:t>
            </w:r>
          </w:p>
        </w:tc>
      </w:tr>
      <w:tr w:rsidR="00B353DD">
        <w:trPr>
          <w:trHeight w:val="1187"/>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492"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产出指标</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数量</w:t>
            </w:r>
          </w:p>
          <w:p w:rsidR="00B353DD" w:rsidRDefault="00FA66A5">
            <w:pPr>
              <w:adjustRightInd w:val="0"/>
              <w:snapToGrid w:val="0"/>
              <w:jc w:val="center"/>
              <w:rPr>
                <w:rFonts w:cs="仿宋_GB2312"/>
                <w:spacing w:val="7"/>
              </w:rPr>
            </w:pPr>
            <w:r>
              <w:rPr>
                <w:rFonts w:cs="仿宋_GB2312" w:hint="eastAsia"/>
                <w:spacing w:val="7"/>
              </w:rPr>
              <w:t>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完成投资90%以上</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130*0.9=114万</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104.07万</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sz w:val="20"/>
                <w:szCs w:val="20"/>
              </w:rPr>
            </w:pPr>
            <w:r>
              <w:rPr>
                <w:rFonts w:cs="仿宋_GB2312" w:hint="eastAsia"/>
                <w:spacing w:val="7"/>
                <w:sz w:val="20"/>
                <w:szCs w:val="20"/>
              </w:rPr>
              <w:t>工程结算延后，仅支付工程施工合同价款85%</w:t>
            </w:r>
          </w:p>
        </w:tc>
      </w:tr>
      <w:tr w:rsidR="00B353DD">
        <w:trPr>
          <w:trHeight w:val="1147"/>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质量</w:t>
            </w:r>
          </w:p>
          <w:p w:rsidR="00B353DD" w:rsidRDefault="00FA66A5">
            <w:pPr>
              <w:adjustRightInd w:val="0"/>
              <w:snapToGrid w:val="0"/>
              <w:jc w:val="center"/>
              <w:rPr>
                <w:rFonts w:cs="仿宋_GB2312"/>
                <w:spacing w:val="7"/>
              </w:rPr>
            </w:pPr>
            <w:r>
              <w:rPr>
                <w:rFonts w:cs="仿宋_GB2312" w:hint="eastAsia"/>
                <w:spacing w:val="7"/>
              </w:rPr>
              <w:t>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工程合格</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通过竣工验收</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验收完成</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1265"/>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时效</w:t>
            </w:r>
          </w:p>
          <w:p w:rsidR="00B353DD" w:rsidRDefault="00FA66A5">
            <w:pPr>
              <w:adjustRightInd w:val="0"/>
              <w:snapToGrid w:val="0"/>
              <w:jc w:val="center"/>
              <w:rPr>
                <w:rFonts w:cs="仿宋_GB2312"/>
                <w:spacing w:val="7"/>
              </w:rPr>
            </w:pPr>
            <w:r>
              <w:rPr>
                <w:rFonts w:cs="仿宋_GB2312" w:hint="eastAsia"/>
                <w:spacing w:val="7"/>
              </w:rPr>
              <w:t>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年末完成投入使用</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投入使用</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已使用，成效显著</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1281"/>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成本</w:t>
            </w:r>
          </w:p>
          <w:p w:rsidR="00B353DD" w:rsidRDefault="00FA66A5">
            <w:pPr>
              <w:adjustRightInd w:val="0"/>
              <w:snapToGrid w:val="0"/>
              <w:jc w:val="center"/>
              <w:rPr>
                <w:rFonts w:cs="仿宋_GB2312"/>
                <w:spacing w:val="7"/>
              </w:rPr>
            </w:pPr>
            <w:r>
              <w:rPr>
                <w:rFonts w:cs="仿宋_GB2312" w:hint="eastAsia"/>
                <w:spacing w:val="7"/>
              </w:rPr>
              <w:t>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按合同支付、不超概算指标</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总投资不超130万</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已签订合同总额120.75万</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1012"/>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492"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效益指标</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经济效益指标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直接创造就业机会</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合同签订率100%</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全部签订</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1140"/>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社会效益指标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提升基地培训接待水平</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完成规模培训不小于3次</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规模培训2次</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征兵需要，培训延后</w:t>
            </w:r>
          </w:p>
        </w:tc>
      </w:tr>
      <w:tr w:rsidR="00B353DD">
        <w:trPr>
          <w:trHeight w:val="999"/>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生态效益指标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节能减排</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降低能耗，垃圾分类</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规范设置垃圾分类</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雨水有效利用不够</w:t>
            </w:r>
          </w:p>
        </w:tc>
      </w:tr>
      <w:tr w:rsidR="00B353DD">
        <w:trPr>
          <w:trHeight w:val="1269"/>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可持续影响指标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提升消防救援培训正规化建设水平</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附属设施改造到位</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按设计图纸完成</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847"/>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492"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满意度</w:t>
            </w:r>
          </w:p>
          <w:p w:rsidR="00B353DD" w:rsidRDefault="00FA66A5">
            <w:pPr>
              <w:adjustRightInd w:val="0"/>
              <w:snapToGrid w:val="0"/>
              <w:rPr>
                <w:rFonts w:cs="仿宋_GB2312"/>
                <w:spacing w:val="7"/>
              </w:rPr>
            </w:pPr>
            <w:r>
              <w:rPr>
                <w:rFonts w:cs="仿宋_GB2312" w:hint="eastAsia"/>
                <w:spacing w:val="7"/>
              </w:rPr>
              <w:t>指标</w:t>
            </w:r>
          </w:p>
        </w:tc>
        <w:tc>
          <w:tcPr>
            <w:tcW w:w="114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服务对象满意度指标</w:t>
            </w: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征兵工作人群满意率</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零投诉，满意率100%</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90%</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846"/>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4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消防救援培训人群</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零投诉，满意率100%</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90%</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465"/>
        </w:trPr>
        <w:tc>
          <w:tcPr>
            <w:tcW w:w="6246"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总分</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90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自评结论</w:t>
            </w:r>
          </w:p>
        </w:tc>
        <w:tc>
          <w:tcPr>
            <w:tcW w:w="4411"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color w:val="000000"/>
              </w:rPr>
              <w:t>优□      良R     中□    差□</w:t>
            </w:r>
          </w:p>
        </w:tc>
        <w:tc>
          <w:tcPr>
            <w:tcW w:w="2867"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color w:val="000000"/>
              </w:rPr>
              <w:t>总分高于90分（含）的结论为“优”，90～80分（含）为“良”，80～60分（含）为“中”，低于60分为“差”。</w:t>
            </w:r>
          </w:p>
        </w:tc>
      </w:tr>
    </w:tbl>
    <w:p w:rsidR="00B353DD" w:rsidRDefault="00FA66A5">
      <w:pPr>
        <w:adjustRightInd w:val="0"/>
        <w:snapToGrid w:val="0"/>
        <w:jc w:val="both"/>
        <w:rPr>
          <w:rFonts w:ascii="楷体_GB2312" w:hAnsi="华文仿宋" w:cs="方正小标宋简体"/>
          <w:spacing w:val="7"/>
          <w:sz w:val="32"/>
          <w:szCs w:val="32"/>
        </w:rPr>
      </w:pPr>
      <w:r>
        <w:rPr>
          <w:rFonts w:ascii="方正小标宋简体" w:hAnsi="方正小标宋简体"/>
          <w:spacing w:val="7"/>
          <w:sz w:val="44"/>
          <w:szCs w:val="44"/>
        </w:rPr>
        <w:t>温岭市项目支出绩效自评表</w:t>
      </w:r>
    </w:p>
    <w:p w:rsidR="00B353DD" w:rsidRDefault="00FA66A5">
      <w:pPr>
        <w:adjustRightInd w:val="0"/>
        <w:snapToGrid w:val="0"/>
        <w:jc w:val="both"/>
        <w:rPr>
          <w:rFonts w:ascii="楷体_GB2312" w:hAnsi="华文仿宋"/>
          <w:spacing w:val="7"/>
          <w:sz w:val="32"/>
          <w:szCs w:val="32"/>
        </w:rPr>
      </w:pPr>
      <w:r>
        <w:rPr>
          <w:rFonts w:ascii="楷体_GB2312" w:hAnsi="楷体_GB2312"/>
          <w:spacing w:val="7"/>
          <w:sz w:val="32"/>
          <w:szCs w:val="32"/>
        </w:rPr>
        <w:t>（</w:t>
      </w:r>
      <w:r>
        <w:rPr>
          <w:rFonts w:ascii="华文仿宋" w:eastAsia="华文仿宋" w:hAnsi="华文仿宋"/>
          <w:spacing w:val="7"/>
          <w:sz w:val="32"/>
          <w:szCs w:val="32"/>
        </w:rPr>
        <w:t xml:space="preserve">   2020</w:t>
      </w:r>
      <w:r>
        <w:rPr>
          <w:rFonts w:ascii="楷体_GB2312" w:hAnsi="楷体_GB2312"/>
          <w:spacing w:val="7"/>
          <w:sz w:val="32"/>
          <w:szCs w:val="32"/>
        </w:rPr>
        <w:t>年度）</w:t>
      </w:r>
    </w:p>
    <w:tbl>
      <w:tblPr>
        <w:tblW w:w="911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255"/>
        <w:gridCol w:w="1125"/>
        <w:gridCol w:w="346"/>
        <w:gridCol w:w="1461"/>
        <w:gridCol w:w="1224"/>
        <w:gridCol w:w="252"/>
        <w:gridCol w:w="543"/>
        <w:gridCol w:w="765"/>
        <w:gridCol w:w="300"/>
        <w:gridCol w:w="1007"/>
      </w:tblGrid>
      <w:tr w:rsidR="00B353DD">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rPr>
            </w:pPr>
            <w:r>
              <w:rPr>
                <w:rFonts w:cs="仿宋_GB2312" w:hint="eastAsia"/>
              </w:rPr>
              <w:t>项目</w:t>
            </w:r>
          </w:p>
          <w:p w:rsidR="00B353DD" w:rsidRDefault="00FA66A5">
            <w:pPr>
              <w:adjustRightInd w:val="0"/>
              <w:snapToGrid w:val="0"/>
              <w:jc w:val="center"/>
              <w:rPr>
                <w:rFonts w:cs="仿宋_GB2312"/>
              </w:rPr>
            </w:pPr>
            <w:r>
              <w:rPr>
                <w:rFonts w:cs="仿宋_GB2312" w:hint="eastAsia"/>
              </w:rPr>
              <w:t>名称</w:t>
            </w:r>
          </w:p>
        </w:tc>
        <w:tc>
          <w:tcPr>
            <w:tcW w:w="816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温岭市消防救援培训登高塔楼及射击改造工程</w:t>
            </w:r>
          </w:p>
        </w:tc>
      </w:tr>
      <w:tr w:rsidR="00B353DD">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主管</w:t>
            </w:r>
          </w:p>
          <w:p w:rsidR="00B353DD" w:rsidRDefault="00FA66A5">
            <w:pPr>
              <w:adjustRightInd w:val="0"/>
              <w:snapToGrid w:val="0"/>
              <w:jc w:val="center"/>
              <w:rPr>
                <w:rFonts w:cs="仿宋_GB2312"/>
                <w:spacing w:val="7"/>
              </w:rPr>
            </w:pPr>
            <w:r>
              <w:rPr>
                <w:rFonts w:cs="仿宋_GB2312" w:hint="eastAsia"/>
                <w:spacing w:val="7"/>
              </w:rPr>
              <w:t>部门</w:t>
            </w:r>
          </w:p>
        </w:tc>
        <w:tc>
          <w:tcPr>
            <w:tcW w:w="4072"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实施单位</w:t>
            </w:r>
          </w:p>
        </w:tc>
        <w:tc>
          <w:tcPr>
            <w:tcW w:w="261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温岭市机关事务中心</w:t>
            </w:r>
          </w:p>
        </w:tc>
      </w:tr>
      <w:tr w:rsidR="00B353DD">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项目</w:t>
            </w:r>
          </w:p>
          <w:p w:rsidR="00B353DD" w:rsidRDefault="00FA66A5">
            <w:pPr>
              <w:adjustRightInd w:val="0"/>
              <w:snapToGrid w:val="0"/>
              <w:jc w:val="center"/>
              <w:rPr>
                <w:rFonts w:cs="仿宋_GB2312"/>
                <w:spacing w:val="7"/>
              </w:rPr>
            </w:pPr>
            <w:r>
              <w:rPr>
                <w:rFonts w:cs="仿宋_GB2312" w:hint="eastAsia"/>
                <w:spacing w:val="7"/>
              </w:rPr>
              <w:t>资金(万元)</w:t>
            </w: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年初预算数</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全年预算数</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全年执行数</w:t>
            </w: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执行率</w:t>
            </w:r>
          </w:p>
        </w:tc>
      </w:tr>
      <w:tr w:rsidR="00B353DD">
        <w:trPr>
          <w:trHeight w:val="454"/>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年度资金总额</w:t>
            </w: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560</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560</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289.47</w:t>
            </w: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51.69%</w:t>
            </w:r>
          </w:p>
        </w:tc>
      </w:tr>
      <w:tr w:rsidR="00B353DD">
        <w:trPr>
          <w:trHeight w:val="454"/>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其中：当年财政拨款</w:t>
            </w: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560</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560</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289.47</w:t>
            </w: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51.69%</w:t>
            </w:r>
          </w:p>
        </w:tc>
      </w:tr>
      <w:tr w:rsidR="00B353DD">
        <w:trPr>
          <w:trHeight w:val="454"/>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   上年结转资金</w:t>
            </w: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454"/>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261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其他资金</w:t>
            </w:r>
          </w:p>
        </w:tc>
        <w:tc>
          <w:tcPr>
            <w:tcW w:w="146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jc w:val="center"/>
              <w:rPr>
                <w:rFonts w:cs="仿宋_GB2312"/>
                <w:spacing w:val="7"/>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jc w:val="center"/>
              <w:rPr>
                <w:rFonts w:cs="仿宋_GB2312"/>
                <w:spacing w:val="7"/>
              </w:rPr>
            </w:pP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jc w:val="center"/>
              <w:rPr>
                <w:rFonts w:cs="仿宋_GB2312"/>
                <w:spacing w:val="7"/>
              </w:rPr>
            </w:pPr>
          </w:p>
        </w:tc>
        <w:tc>
          <w:tcPr>
            <w:tcW w:w="10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年度总体目标</w:t>
            </w:r>
          </w:p>
        </w:tc>
        <w:tc>
          <w:tcPr>
            <w:tcW w:w="4072"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预期目标</w:t>
            </w:r>
          </w:p>
        </w:tc>
        <w:tc>
          <w:tcPr>
            <w:tcW w:w="409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实际完成情况</w:t>
            </w:r>
          </w:p>
        </w:tc>
      </w:tr>
      <w:tr w:rsidR="00B353DD">
        <w:trPr>
          <w:trHeight w:val="1518"/>
        </w:trPr>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4072"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2019年度延续项目，目标完成项目竣工验收，投入使用，并完成工程结算。</w:t>
            </w:r>
          </w:p>
        </w:tc>
        <w:tc>
          <w:tcPr>
            <w:tcW w:w="4091"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受疫情影响，项目建设复工日期延迟，工程八月份已竣工，具备使用条件，处于竣工待验收状态。</w:t>
            </w:r>
          </w:p>
        </w:tc>
      </w:tr>
      <w:tr w:rsidR="00B353DD">
        <w:trPr>
          <w:trHeight w:val="540"/>
        </w:trPr>
        <w:tc>
          <w:tcPr>
            <w:tcW w:w="458"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绩效</w:t>
            </w:r>
            <w:r>
              <w:rPr>
                <w:rFonts w:cs="仿宋_GB2312" w:hint="eastAsia"/>
                <w:spacing w:val="7"/>
              </w:rPr>
              <w:lastRenderedPageBreak/>
              <w:t>指标</w:t>
            </w:r>
          </w:p>
        </w:tc>
        <w:tc>
          <w:tcPr>
            <w:tcW w:w="49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lastRenderedPageBreak/>
              <w:t>一级</w:t>
            </w:r>
            <w:r>
              <w:rPr>
                <w:rFonts w:cs="仿宋_GB2312" w:hint="eastAsia"/>
                <w:spacing w:val="7"/>
              </w:rPr>
              <w:lastRenderedPageBreak/>
              <w:t>指标</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lastRenderedPageBreak/>
              <w:t>二级</w:t>
            </w:r>
          </w:p>
          <w:p w:rsidR="00B353DD" w:rsidRDefault="00FA66A5">
            <w:pPr>
              <w:adjustRightInd w:val="0"/>
              <w:snapToGrid w:val="0"/>
              <w:jc w:val="center"/>
              <w:rPr>
                <w:rFonts w:cs="仿宋_GB2312"/>
                <w:spacing w:val="7"/>
              </w:rPr>
            </w:pPr>
            <w:r>
              <w:rPr>
                <w:rFonts w:cs="仿宋_GB2312" w:hint="eastAsia"/>
                <w:spacing w:val="7"/>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三级</w:t>
            </w:r>
          </w:p>
          <w:p w:rsidR="00B353DD" w:rsidRDefault="00FA66A5">
            <w:pPr>
              <w:adjustRightInd w:val="0"/>
              <w:snapToGrid w:val="0"/>
              <w:jc w:val="center"/>
              <w:rPr>
                <w:rFonts w:cs="仿宋_GB2312"/>
                <w:spacing w:val="7"/>
              </w:rPr>
            </w:pPr>
            <w:r>
              <w:rPr>
                <w:rFonts w:cs="仿宋_GB2312" w:hint="eastAsia"/>
                <w:spacing w:val="7"/>
              </w:rPr>
              <w:t>指标</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年度</w:t>
            </w:r>
          </w:p>
          <w:p w:rsidR="00B353DD" w:rsidRDefault="00FA66A5">
            <w:pPr>
              <w:adjustRightInd w:val="0"/>
              <w:snapToGrid w:val="0"/>
              <w:jc w:val="center"/>
              <w:rPr>
                <w:rFonts w:cs="仿宋_GB2312"/>
                <w:spacing w:val="7"/>
              </w:rPr>
            </w:pPr>
            <w:r>
              <w:rPr>
                <w:rFonts w:cs="仿宋_GB2312" w:hint="eastAsia"/>
                <w:spacing w:val="7"/>
              </w:rPr>
              <w:t>指标值</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实际</w:t>
            </w:r>
          </w:p>
          <w:p w:rsidR="00B353DD" w:rsidRDefault="00FA66A5">
            <w:pPr>
              <w:adjustRightInd w:val="0"/>
              <w:snapToGrid w:val="0"/>
              <w:jc w:val="center"/>
              <w:rPr>
                <w:rFonts w:cs="仿宋_GB2312"/>
                <w:spacing w:val="7"/>
              </w:rPr>
            </w:pPr>
            <w:r>
              <w:rPr>
                <w:rFonts w:cs="仿宋_GB2312" w:hint="eastAsia"/>
                <w:spacing w:val="7"/>
              </w:rPr>
              <w:t>完成值</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权重</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得分</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偏差原因分析及改</w:t>
            </w:r>
            <w:r>
              <w:rPr>
                <w:rFonts w:cs="仿宋_GB2312" w:hint="eastAsia"/>
                <w:spacing w:val="7"/>
              </w:rPr>
              <w:lastRenderedPageBreak/>
              <w:t>进措施</w:t>
            </w:r>
          </w:p>
        </w:tc>
      </w:tr>
      <w:tr w:rsidR="00B353DD">
        <w:trPr>
          <w:trHeight w:val="1319"/>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492"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产出指标</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数量</w:t>
            </w:r>
          </w:p>
          <w:p w:rsidR="00B353DD" w:rsidRDefault="00FA66A5">
            <w:pPr>
              <w:adjustRightInd w:val="0"/>
              <w:snapToGrid w:val="0"/>
              <w:jc w:val="center"/>
              <w:rPr>
                <w:rFonts w:cs="仿宋_GB2312"/>
                <w:spacing w:val="7"/>
              </w:rPr>
            </w:pPr>
            <w:r>
              <w:rPr>
                <w:rFonts w:cs="仿宋_GB2312" w:hint="eastAsia"/>
                <w:spacing w:val="7"/>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完成投资80%以上</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560*0.8=448万</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289.47万</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sz w:val="20"/>
                <w:szCs w:val="20"/>
              </w:rPr>
              <w:t>疫情影响，工期延误，仅支付工程施工合同价款80%</w:t>
            </w:r>
          </w:p>
        </w:tc>
      </w:tr>
      <w:tr w:rsidR="00B353DD">
        <w:trPr>
          <w:trHeight w:val="1281"/>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质量</w:t>
            </w:r>
          </w:p>
          <w:p w:rsidR="00B353DD" w:rsidRDefault="00FA66A5">
            <w:pPr>
              <w:adjustRightInd w:val="0"/>
              <w:snapToGrid w:val="0"/>
              <w:jc w:val="center"/>
              <w:rPr>
                <w:rFonts w:cs="仿宋_GB2312"/>
                <w:spacing w:val="7"/>
              </w:rPr>
            </w:pPr>
            <w:r>
              <w:rPr>
                <w:rFonts w:cs="仿宋_GB2312" w:hint="eastAsia"/>
                <w:spacing w:val="7"/>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工程合格</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通过竣工验收</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竣工待验</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未正式通过竣工验收</w:t>
            </w:r>
          </w:p>
        </w:tc>
      </w:tr>
      <w:tr w:rsidR="00B353DD">
        <w:trPr>
          <w:trHeight w:val="988"/>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时效</w:t>
            </w:r>
          </w:p>
          <w:p w:rsidR="00B353DD" w:rsidRDefault="00FA66A5">
            <w:pPr>
              <w:adjustRightInd w:val="0"/>
              <w:snapToGrid w:val="0"/>
              <w:jc w:val="center"/>
              <w:rPr>
                <w:rFonts w:cs="仿宋_GB2312"/>
                <w:spacing w:val="7"/>
              </w:rPr>
            </w:pPr>
            <w:r>
              <w:rPr>
                <w:rFonts w:cs="仿宋_GB2312" w:hint="eastAsia"/>
                <w:spacing w:val="7"/>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年末完成投入使用</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投入使用</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经过消防部门两次试用</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试用期</w:t>
            </w:r>
          </w:p>
        </w:tc>
      </w:tr>
      <w:tr w:rsidR="00B353DD">
        <w:trPr>
          <w:trHeight w:val="1005"/>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成本</w:t>
            </w:r>
          </w:p>
          <w:p w:rsidR="00B353DD" w:rsidRDefault="00FA66A5">
            <w:pPr>
              <w:adjustRightInd w:val="0"/>
              <w:snapToGrid w:val="0"/>
              <w:jc w:val="center"/>
              <w:rPr>
                <w:rFonts w:cs="仿宋_GB2312"/>
                <w:spacing w:val="7"/>
              </w:rPr>
            </w:pPr>
            <w:r>
              <w:rPr>
                <w:rFonts w:cs="仿宋_GB2312" w:hint="eastAsia"/>
                <w:spacing w:val="7"/>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按合同支付、不超概算指标</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总投资不超697万</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已签订合同总额654万</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870"/>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492"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效益指标</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经济效益指标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直接创造就业机会</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合同签订率100%</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全部签订</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1002"/>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社会效益指标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提高我市消防救援应急能力</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完成规模培训不小于3次</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规模培训2次</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6</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征兵需要，培训延后</w:t>
            </w:r>
          </w:p>
        </w:tc>
      </w:tr>
      <w:tr w:rsidR="00B353DD">
        <w:trPr>
          <w:trHeight w:val="988"/>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生态效益指标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节能减排</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降低能耗，垃圾分类</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规范设置垃圾分类</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雨水有效利用不够</w:t>
            </w:r>
          </w:p>
        </w:tc>
      </w:tr>
      <w:tr w:rsidR="00B353DD">
        <w:trPr>
          <w:trHeight w:val="1265"/>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可持续影响指标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提升消防救援培训正规化建设水平</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救援设备设施安装到位</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按设计图纸完成</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9</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858"/>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492"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满意度</w:t>
            </w:r>
          </w:p>
          <w:p w:rsidR="00B353DD" w:rsidRDefault="00FA66A5">
            <w:pPr>
              <w:adjustRightInd w:val="0"/>
              <w:snapToGrid w:val="0"/>
              <w:rPr>
                <w:rFonts w:cs="仿宋_GB2312"/>
                <w:spacing w:val="7"/>
              </w:rPr>
            </w:pPr>
            <w:r>
              <w:rPr>
                <w:rFonts w:cs="仿宋_GB2312" w:hint="eastAsia"/>
                <w:spacing w:val="7"/>
              </w:rPr>
              <w:t>指标</w:t>
            </w:r>
          </w:p>
        </w:tc>
        <w:tc>
          <w:tcPr>
            <w:tcW w:w="114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服务对象满意度指标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消防救援培训人群满意率</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零投诉，满意率100%</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90%</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855"/>
        </w:trPr>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300" w:type="dxa"/>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600" w:type="dxa"/>
            <w:gridSpan w:val="2"/>
            <w:vMerge/>
            <w:tcBorders>
              <w:top w:val="nil"/>
              <w:left w:val="single" w:sz="6" w:space="0" w:color="auto"/>
              <w:bottom w:val="single" w:sz="6" w:space="0" w:color="auto"/>
              <w:right w:val="single" w:sz="6" w:space="0" w:color="auto"/>
            </w:tcBorders>
            <w:vAlign w:val="center"/>
          </w:tcPr>
          <w:p w:rsidR="00B353DD" w:rsidRDefault="00B353DD">
            <w:pPr>
              <w:rPr>
                <w:rFonts w:cs="仿宋_GB2312"/>
                <w:spacing w:val="7"/>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周边群众满意度</w:t>
            </w:r>
          </w:p>
        </w:tc>
        <w:tc>
          <w:tcPr>
            <w:tcW w:w="18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零投诉，满意率100%</w:t>
            </w:r>
          </w:p>
        </w:tc>
        <w:tc>
          <w:tcPr>
            <w:tcW w:w="12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90%</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培训车辆停放场地不足</w:t>
            </w:r>
          </w:p>
        </w:tc>
      </w:tr>
      <w:tr w:rsidR="00B353DD">
        <w:trPr>
          <w:trHeight w:val="465"/>
        </w:trPr>
        <w:tc>
          <w:tcPr>
            <w:tcW w:w="6246"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t>总分</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100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spacing w:val="7"/>
              </w:rPr>
              <w:t>81</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B353DD">
            <w:pPr>
              <w:adjustRightInd w:val="0"/>
              <w:snapToGrid w:val="0"/>
              <w:rPr>
                <w:rFonts w:cs="仿宋_GB2312"/>
                <w:spacing w:val="7"/>
              </w:rPr>
            </w:pPr>
          </w:p>
        </w:tc>
      </w:tr>
      <w:tr w:rsidR="00B353DD">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spacing w:val="7"/>
              </w:rPr>
              <w:lastRenderedPageBreak/>
              <w:t>自评结论</w:t>
            </w:r>
          </w:p>
        </w:tc>
        <w:tc>
          <w:tcPr>
            <w:tcW w:w="4411"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jc w:val="center"/>
              <w:rPr>
                <w:rFonts w:cs="仿宋_GB2312"/>
                <w:spacing w:val="7"/>
              </w:rPr>
            </w:pPr>
            <w:r>
              <w:rPr>
                <w:rFonts w:cs="仿宋_GB2312" w:hint="eastAsia"/>
                <w:color w:val="000000"/>
              </w:rPr>
              <w:t>优□     良R      中□    差□</w:t>
            </w:r>
          </w:p>
        </w:tc>
        <w:tc>
          <w:tcPr>
            <w:tcW w:w="2867"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53DD" w:rsidRDefault="00FA66A5">
            <w:pPr>
              <w:adjustRightInd w:val="0"/>
              <w:snapToGrid w:val="0"/>
              <w:rPr>
                <w:rFonts w:cs="仿宋_GB2312"/>
                <w:spacing w:val="7"/>
              </w:rPr>
            </w:pPr>
            <w:r>
              <w:rPr>
                <w:rFonts w:cs="仿宋_GB2312" w:hint="eastAsia"/>
                <w:color w:val="000000"/>
              </w:rPr>
              <w:t>总分高于90分（含）的结论为“优”，90～80分（含）为“良”，80～60分（含）为“中”，低于60分为“差”。</w:t>
            </w:r>
          </w:p>
        </w:tc>
      </w:tr>
    </w:tbl>
    <w:p w:rsidR="00B353DD" w:rsidRDefault="00B353DD">
      <w:pPr>
        <w:spacing w:line="600" w:lineRule="atLeast"/>
        <w:jc w:val="both"/>
        <w:rPr>
          <w:rFonts w:ascii="仿宋" w:eastAsia="仿宋" w:hAnsi="仿宋"/>
          <w:sz w:val="32"/>
          <w:szCs w:val="32"/>
        </w:rPr>
      </w:pPr>
    </w:p>
    <w:p w:rsidR="00B353DD" w:rsidRDefault="00FA66A5">
      <w:pPr>
        <w:numPr>
          <w:ilvl w:val="0"/>
          <w:numId w:val="6"/>
        </w:numPr>
        <w:spacing w:line="600" w:lineRule="atLeast"/>
        <w:ind w:firstLine="640"/>
        <w:jc w:val="both"/>
        <w:rPr>
          <w:rStyle w:val="15"/>
          <w:rFonts w:ascii="仿宋" w:hAnsi="仿宋"/>
        </w:rPr>
      </w:pPr>
      <w:r>
        <w:rPr>
          <w:rStyle w:val="15"/>
          <w:rFonts w:ascii="仿宋" w:eastAsia="仿宋" w:hAnsi="仿宋" w:hint="eastAsia"/>
          <w:sz w:val="32"/>
          <w:szCs w:val="32"/>
        </w:rPr>
        <w:t xml:space="preserve">财政评价项目绩效评价结果 </w:t>
      </w:r>
    </w:p>
    <w:p w:rsidR="00B353DD" w:rsidRDefault="00FA66A5">
      <w:pPr>
        <w:spacing w:line="600" w:lineRule="atLeast"/>
        <w:ind w:firstLine="640"/>
        <w:jc w:val="both"/>
      </w:pPr>
      <w:r>
        <w:rPr>
          <w:rFonts w:ascii="仿宋" w:eastAsia="仿宋" w:hAnsi="仿宋" w:hint="eastAsia"/>
          <w:sz w:val="32"/>
          <w:szCs w:val="32"/>
        </w:rPr>
        <w:t>2020年事务中心整体绩效目标是根据事务中心工作职能，事务中心承担着大楼管理，负责服务保障、机关后勤、大楼日常运行维护，负责市级机关办公用房管理、修缮，负责统一调配市级机关办公用房，承担市领导重大组团考察、重大会议等活动，保障市四套班子领导、返聘处级老干部重要公务、应急公务、基层调研公务出行等等一系列相关工作。结合历年情况、根据2020年工作安排，实际安排预算基本支出719.32万元,项目支出3994万元 。</w:t>
      </w:r>
    </w:p>
    <w:p w:rsidR="00C26854" w:rsidRPr="00C26854" w:rsidRDefault="00FA66A5">
      <w:pPr>
        <w:numPr>
          <w:ilvl w:val="0"/>
          <w:numId w:val="6"/>
        </w:numPr>
        <w:spacing w:line="600" w:lineRule="atLeast"/>
        <w:ind w:firstLine="640"/>
        <w:jc w:val="both"/>
        <w:rPr>
          <w:rStyle w:val="15"/>
          <w:rFonts w:ascii="仿宋" w:eastAsia="仿宋" w:hAnsi="仿宋" w:cs="宋体"/>
          <w:b w:val="0"/>
          <w:bCs w:val="0"/>
          <w:sz w:val="32"/>
          <w:szCs w:val="32"/>
        </w:rPr>
      </w:pPr>
      <w:r>
        <w:rPr>
          <w:rStyle w:val="15"/>
          <w:rFonts w:ascii="仿宋" w:eastAsia="仿宋" w:hAnsi="仿宋" w:hint="eastAsia"/>
          <w:sz w:val="32"/>
          <w:szCs w:val="32"/>
        </w:rPr>
        <w:t>部门评价项目绩效评价结果</w:t>
      </w:r>
    </w:p>
    <w:p w:rsidR="00B353DD" w:rsidRDefault="00FA66A5" w:rsidP="00C26854">
      <w:pPr>
        <w:tabs>
          <w:tab w:val="left" w:pos="312"/>
        </w:tabs>
        <w:spacing w:line="600" w:lineRule="atLeast"/>
        <w:ind w:left="640"/>
        <w:jc w:val="both"/>
        <w:rPr>
          <w:rFonts w:ascii="仿宋" w:eastAsia="仿宋" w:hAnsi="仿宋"/>
          <w:sz w:val="32"/>
          <w:szCs w:val="32"/>
        </w:rPr>
      </w:pPr>
      <w:r>
        <w:rPr>
          <w:rFonts w:ascii="仿宋" w:eastAsia="仿宋" w:hAnsi="仿宋" w:hint="eastAsia"/>
          <w:sz w:val="32"/>
          <w:szCs w:val="32"/>
        </w:rPr>
        <w:t>无</w:t>
      </w:r>
    </w:p>
    <w:p w:rsidR="00B353DD" w:rsidRDefault="00FA66A5">
      <w:pPr>
        <w:spacing w:line="600" w:lineRule="atLeast"/>
        <w:ind w:firstLine="640"/>
        <w:jc w:val="both"/>
      </w:pPr>
      <w:r>
        <w:rPr>
          <w:rFonts w:ascii="黑体" w:eastAsia="黑体" w:hAnsi="黑体" w:hint="eastAsia"/>
          <w:sz w:val="32"/>
          <w:szCs w:val="32"/>
        </w:rPr>
        <w:t>四、名词解释</w:t>
      </w:r>
    </w:p>
    <w:p w:rsidR="00B353DD" w:rsidRDefault="00FA66A5">
      <w:pPr>
        <w:spacing w:line="600" w:lineRule="atLeast"/>
        <w:ind w:firstLine="640"/>
        <w:jc w:val="both"/>
      </w:pPr>
      <w:r>
        <w:rPr>
          <w:rFonts w:ascii="仿宋" w:eastAsia="仿宋" w:hAnsi="仿宋" w:hint="eastAsia"/>
          <w:sz w:val="32"/>
          <w:szCs w:val="32"/>
        </w:rPr>
        <w:t>1.财政拨款收入：指本级财政部门当年拨付的财政预算资金，包括一般公共预算财政拨款、政府性基金预算财政拨款和国有资本经预算财政拨款。</w:t>
      </w:r>
    </w:p>
    <w:p w:rsidR="00B353DD" w:rsidRDefault="00FA66A5">
      <w:pPr>
        <w:spacing w:line="600" w:lineRule="atLeast"/>
        <w:ind w:firstLine="640"/>
        <w:jc w:val="both"/>
      </w:pPr>
      <w:r>
        <w:rPr>
          <w:rFonts w:ascii="仿宋" w:eastAsia="仿宋" w:hAnsi="仿宋" w:hint="eastAsia"/>
          <w:sz w:val="32"/>
          <w:szCs w:val="32"/>
        </w:rPr>
        <w:t>2.事业收入：指事业单位开展专业业务活动及辅助活动所取得的收入。</w:t>
      </w:r>
    </w:p>
    <w:p w:rsidR="00B353DD" w:rsidRDefault="00FA66A5">
      <w:pPr>
        <w:spacing w:line="600" w:lineRule="atLeast"/>
        <w:ind w:firstLine="640"/>
        <w:jc w:val="both"/>
      </w:pPr>
      <w:r>
        <w:rPr>
          <w:rFonts w:ascii="仿宋" w:eastAsia="仿宋" w:hAnsi="仿宋" w:hint="eastAsia"/>
          <w:sz w:val="32"/>
          <w:szCs w:val="32"/>
        </w:rPr>
        <w:lastRenderedPageBreak/>
        <w:t>3.经营收入：指事业单位在专业业务活动及辅助活动之外开展非独立核算经营活动取得的收入。</w:t>
      </w:r>
    </w:p>
    <w:p w:rsidR="00B353DD" w:rsidRDefault="00FA66A5">
      <w:pPr>
        <w:spacing w:line="600" w:lineRule="atLeast"/>
        <w:ind w:firstLine="640"/>
        <w:jc w:val="both"/>
      </w:pPr>
      <w:r>
        <w:rPr>
          <w:rFonts w:ascii="仿宋" w:eastAsia="仿宋" w:hAnsi="仿宋" w:hint="eastAsia"/>
          <w:sz w:val="32"/>
          <w:szCs w:val="32"/>
        </w:rPr>
        <w:t>4.上级补助收入：指事业单位从主管部门和上级单位取得的非财政补助收入。</w:t>
      </w:r>
    </w:p>
    <w:p w:rsidR="00B353DD" w:rsidRDefault="00FA66A5">
      <w:pPr>
        <w:spacing w:line="600" w:lineRule="atLeast"/>
        <w:ind w:firstLine="640"/>
        <w:jc w:val="both"/>
      </w:pPr>
      <w:r>
        <w:rPr>
          <w:rFonts w:ascii="仿宋" w:eastAsia="仿宋" w:hAnsi="仿宋" w:hint="eastAsia"/>
          <w:sz w:val="32"/>
          <w:szCs w:val="32"/>
        </w:rPr>
        <w:t>5.附属单位上缴收入：指事业单位附属独立核算单位按照有关规定上缴的收入。</w:t>
      </w:r>
    </w:p>
    <w:p w:rsidR="00B353DD" w:rsidRDefault="00FA66A5">
      <w:pPr>
        <w:spacing w:line="600" w:lineRule="atLeast"/>
        <w:ind w:firstLine="640"/>
        <w:jc w:val="both"/>
      </w:pPr>
      <w:r>
        <w:rPr>
          <w:rFonts w:ascii="仿宋" w:eastAsia="仿宋" w:hAnsi="仿宋" w:hint="eastAsia"/>
          <w:sz w:val="32"/>
          <w:szCs w:val="32"/>
        </w:rPr>
        <w:t>6.其他收入：指预算单位在“财政拨款”、“事业收入”、“经营收入”、“上级补助收入”、“附属单位上缴收入”等之外取得的各项收入。</w:t>
      </w:r>
    </w:p>
    <w:p w:rsidR="00B353DD" w:rsidRDefault="00FA66A5">
      <w:pPr>
        <w:spacing w:line="600" w:lineRule="atLeast"/>
        <w:ind w:firstLine="640"/>
        <w:jc w:val="both"/>
      </w:pPr>
      <w:r>
        <w:rPr>
          <w:rFonts w:ascii="仿宋" w:eastAsia="仿宋" w:hAnsi="仿宋" w:hint="eastAsia"/>
          <w:sz w:val="32"/>
          <w:szCs w:val="32"/>
        </w:rPr>
        <w:t>7.使用非财政拨款结余：指事业单位使用以前年度积累的非财政拨款结余弥补当年收支差额的金额。</w:t>
      </w:r>
    </w:p>
    <w:p w:rsidR="00B353DD" w:rsidRDefault="00FA66A5">
      <w:pPr>
        <w:spacing w:line="600" w:lineRule="atLeast"/>
        <w:ind w:firstLine="640"/>
        <w:jc w:val="both"/>
      </w:pPr>
      <w:r>
        <w:rPr>
          <w:rFonts w:ascii="仿宋" w:eastAsia="仿宋" w:hAnsi="仿宋" w:hint="eastAsia"/>
          <w:sz w:val="32"/>
          <w:szCs w:val="32"/>
        </w:rPr>
        <w:t>8.年初结转和结余：指预算单位以前年度尚未完成、结转到本年仍按原规定用途继续使用的资金。</w:t>
      </w:r>
    </w:p>
    <w:p w:rsidR="00B353DD" w:rsidRDefault="00FA66A5">
      <w:pPr>
        <w:spacing w:line="600" w:lineRule="atLeast"/>
        <w:ind w:firstLine="640"/>
        <w:jc w:val="both"/>
      </w:pPr>
      <w:r>
        <w:rPr>
          <w:rFonts w:ascii="仿宋" w:eastAsia="仿宋" w:hAnsi="仿宋" w:hint="eastAsia"/>
          <w:sz w:val="32"/>
          <w:szCs w:val="32"/>
        </w:rPr>
        <w:t>9.年末结转和结余：指单位按有关规定结转到下年或以后年度继续使用的资金。</w:t>
      </w:r>
    </w:p>
    <w:p w:rsidR="00B353DD" w:rsidRDefault="00FA66A5">
      <w:pPr>
        <w:spacing w:line="600" w:lineRule="atLeast"/>
        <w:ind w:firstLine="640"/>
        <w:jc w:val="both"/>
      </w:pPr>
      <w:r>
        <w:rPr>
          <w:rFonts w:ascii="仿宋" w:eastAsia="仿宋" w:hAnsi="仿宋" w:hint="eastAsia"/>
          <w:sz w:val="32"/>
          <w:szCs w:val="32"/>
        </w:rPr>
        <w:t>10.基本支出：指预算单位为保障其正常运转，完成日常工作任务所发生的支出，包括人员经费支出和日常公用经费支出。</w:t>
      </w:r>
    </w:p>
    <w:p w:rsidR="00B353DD" w:rsidRDefault="00FA66A5">
      <w:pPr>
        <w:spacing w:line="600" w:lineRule="atLeast"/>
        <w:ind w:firstLine="640"/>
        <w:jc w:val="both"/>
      </w:pPr>
      <w:r>
        <w:rPr>
          <w:rFonts w:ascii="仿宋" w:eastAsia="仿宋" w:hAnsi="仿宋" w:hint="eastAsia"/>
          <w:sz w:val="32"/>
          <w:szCs w:val="32"/>
        </w:rPr>
        <w:t>11.项目支出：指预算单位为完成其特定的行政工作任务或事业发展目标所发生的支出。</w:t>
      </w:r>
    </w:p>
    <w:p w:rsidR="00B353DD" w:rsidRDefault="00FA66A5">
      <w:pPr>
        <w:spacing w:line="600" w:lineRule="atLeast"/>
        <w:ind w:firstLine="640"/>
        <w:jc w:val="both"/>
      </w:pPr>
      <w:r>
        <w:rPr>
          <w:rFonts w:ascii="仿宋" w:eastAsia="仿宋" w:hAnsi="仿宋" w:hint="eastAsia"/>
          <w:sz w:val="32"/>
          <w:szCs w:val="32"/>
        </w:rPr>
        <w:t>12.上缴上级支出：填列事业单位按照财政部门和主管部门的规定上缴上级单位的支出。</w:t>
      </w:r>
    </w:p>
    <w:p w:rsidR="00B353DD" w:rsidRDefault="00FA66A5">
      <w:pPr>
        <w:spacing w:line="600" w:lineRule="atLeast"/>
        <w:ind w:firstLine="640"/>
        <w:jc w:val="both"/>
      </w:pPr>
      <w:r>
        <w:rPr>
          <w:rFonts w:ascii="仿宋" w:eastAsia="仿宋" w:hAnsi="仿宋" w:hint="eastAsia"/>
          <w:sz w:val="32"/>
          <w:szCs w:val="32"/>
        </w:rPr>
        <w:lastRenderedPageBreak/>
        <w:t>13.经营支出：指事业单位在专业业务活动及其辅助活动之外开展非独立核算经营活动发生的支出。</w:t>
      </w:r>
    </w:p>
    <w:p w:rsidR="00B353DD" w:rsidRDefault="00FA66A5">
      <w:pPr>
        <w:spacing w:line="600" w:lineRule="atLeast"/>
        <w:ind w:firstLine="640"/>
        <w:jc w:val="both"/>
      </w:pPr>
      <w:r>
        <w:rPr>
          <w:rFonts w:ascii="仿宋" w:eastAsia="仿宋" w:hAnsi="仿宋" w:hint="eastAsia"/>
          <w:sz w:val="32"/>
          <w:szCs w:val="32"/>
        </w:rPr>
        <w:t>14.附属单位补助支出：填列事业单位用财政补助收入之外的收入对附属单位补助发生的支出。</w:t>
      </w:r>
    </w:p>
    <w:p w:rsidR="00B353DD" w:rsidRDefault="00FA66A5">
      <w:pPr>
        <w:spacing w:line="600" w:lineRule="atLeast"/>
        <w:ind w:firstLine="640"/>
        <w:jc w:val="both"/>
      </w:pPr>
      <w:r>
        <w:rPr>
          <w:rFonts w:ascii="仿宋" w:eastAsia="仿宋" w:hAnsi="仿宋" w:hint="eastAsia"/>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B353DD" w:rsidRDefault="00FA66A5">
      <w:pPr>
        <w:spacing w:line="600" w:lineRule="atLeast"/>
        <w:ind w:firstLine="640"/>
        <w:jc w:val="both"/>
      </w:pPr>
      <w:r>
        <w:rPr>
          <w:rFonts w:ascii="仿宋" w:eastAsia="仿宋" w:hAnsi="仿宋" w:hint="eastAsia"/>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17.一般公共服务支出（类）政府办公厅(室）及相关机构事务（款）行政运行（项）主要是用于劳务费、对个人和家庭的补助支出、办公费、差旅费等支出。</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lastRenderedPageBreak/>
        <w:t>18.一般公共服务支出（类）政府办公厅(室）及相关机构事务（款）一般行政管理事务（项）主要是用于项目支出。</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19.一般公共服务支出（类）政府办公厅(室）及相关机构事务（款）事业运行（项）主要用于事业人员日常公用经费、人员工资福利支出。</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20.一般公共服务支出（类）党委办公厅(室）及相关机构事务（款）事业运行（项）主要用于事业人员日常公用经费、人员工资福利支出。</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21.一般公共服务支出（类）党委办公厅(室）及相关机构事务（款）行政运行（项）主要用于日常公用经费支出。</w:t>
      </w:r>
    </w:p>
    <w:p w:rsidR="00B353DD" w:rsidRDefault="00FA66A5">
      <w:pPr>
        <w:spacing w:line="600" w:lineRule="atLeast"/>
        <w:ind w:firstLine="640"/>
        <w:jc w:val="both"/>
        <w:rPr>
          <w:rFonts w:ascii="仿宋" w:eastAsia="仿宋" w:hAnsi="仿宋"/>
          <w:sz w:val="32"/>
          <w:szCs w:val="32"/>
        </w:rPr>
      </w:pPr>
      <w:r>
        <w:rPr>
          <w:rFonts w:ascii="仿宋" w:eastAsia="仿宋" w:hAnsi="仿宋" w:hint="eastAsia"/>
          <w:sz w:val="32"/>
          <w:szCs w:val="32"/>
        </w:rPr>
        <w:t>22.一般公共服务支出（类）社会保障和就业支出（款）行政事业单位离退休（项）主要用于在职人员养老保险缴费、职业年金缴费支出。</w:t>
      </w:r>
    </w:p>
    <w:p w:rsidR="00B353DD" w:rsidRDefault="00B353DD"/>
    <w:sectPr w:rsidR="00B353DD" w:rsidSect="00B353D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CE9" w:rsidRDefault="005A0CE9" w:rsidP="00B353DD">
      <w:r>
        <w:separator/>
      </w:r>
    </w:p>
  </w:endnote>
  <w:endnote w:type="continuationSeparator" w:id="1">
    <w:p w:rsidR="005A0CE9" w:rsidRDefault="005A0CE9" w:rsidP="00B35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楷体_GB2312">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DD" w:rsidRDefault="00AC70A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353DD" w:rsidRDefault="00AC70A4">
                <w:pPr>
                  <w:pStyle w:val="a3"/>
                </w:pPr>
                <w:r>
                  <w:fldChar w:fldCharType="begin"/>
                </w:r>
                <w:r w:rsidR="00FA66A5">
                  <w:instrText xml:space="preserve"> PAGE  \* MERGEFORMAT </w:instrText>
                </w:r>
                <w:r>
                  <w:fldChar w:fldCharType="separate"/>
                </w:r>
                <w:r w:rsidR="00351635">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CE9" w:rsidRDefault="005A0CE9" w:rsidP="00B353DD">
      <w:r>
        <w:separator/>
      </w:r>
    </w:p>
  </w:footnote>
  <w:footnote w:type="continuationSeparator" w:id="1">
    <w:p w:rsidR="005A0CE9" w:rsidRDefault="005A0CE9" w:rsidP="00B35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2E4BEA"/>
    <w:multiLevelType w:val="singleLevel"/>
    <w:tmpl w:val="BE2E4BEA"/>
    <w:lvl w:ilvl="0">
      <w:start w:val="8"/>
      <w:numFmt w:val="chineseCounting"/>
      <w:suff w:val="nothing"/>
      <w:lvlText w:val="（%1）"/>
      <w:lvlJc w:val="left"/>
      <w:rPr>
        <w:rFonts w:hint="eastAsia"/>
      </w:rPr>
    </w:lvl>
  </w:abstractNum>
  <w:abstractNum w:abstractNumId="1">
    <w:nsid w:val="11229C0D"/>
    <w:multiLevelType w:val="singleLevel"/>
    <w:tmpl w:val="11229C0D"/>
    <w:lvl w:ilvl="0">
      <w:start w:val="1"/>
      <w:numFmt w:val="chineseCounting"/>
      <w:suff w:val="nothing"/>
      <w:lvlText w:val="（%1）"/>
      <w:lvlJc w:val="left"/>
      <w:rPr>
        <w:rFonts w:hint="eastAsia"/>
      </w:rPr>
    </w:lvl>
  </w:abstractNum>
  <w:abstractNum w:abstractNumId="2">
    <w:nsid w:val="28C54135"/>
    <w:multiLevelType w:val="multilevel"/>
    <w:tmpl w:val="28C5413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9D21CF7"/>
    <w:multiLevelType w:val="multilevel"/>
    <w:tmpl w:val="29D21CF7"/>
    <w:lvl w:ilvl="0">
      <w:start w:val="3"/>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6692463D"/>
    <w:multiLevelType w:val="multilevel"/>
    <w:tmpl w:val="6692463D"/>
    <w:lvl w:ilvl="0">
      <w:start w:val="3"/>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6D04B791"/>
    <w:multiLevelType w:val="singleLevel"/>
    <w:tmpl w:val="6D04B791"/>
    <w:lvl w:ilvl="0">
      <w:start w:val="3"/>
      <w:numFmt w:val="decimal"/>
      <w:lvlText w:val="%1."/>
      <w:lvlJc w:val="left"/>
      <w:pPr>
        <w:tabs>
          <w:tab w:val="left" w:pos="312"/>
        </w:tabs>
      </w:pPr>
    </w:lvl>
  </w:abstractNum>
  <w:num w:numId="1">
    <w:abstractNumId w:val="1"/>
  </w:num>
  <w:num w:numId="2">
    <w:abstractNumId w:val="5"/>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3DD"/>
    <w:rsid w:val="00021DCE"/>
    <w:rsid w:val="00351635"/>
    <w:rsid w:val="005A0CE9"/>
    <w:rsid w:val="005B01E7"/>
    <w:rsid w:val="005B06D2"/>
    <w:rsid w:val="007266EC"/>
    <w:rsid w:val="00A72394"/>
    <w:rsid w:val="00A82BC1"/>
    <w:rsid w:val="00AC70A4"/>
    <w:rsid w:val="00B353DD"/>
    <w:rsid w:val="00BE63F8"/>
    <w:rsid w:val="00C26854"/>
    <w:rsid w:val="00FA66A5"/>
    <w:rsid w:val="089E25F3"/>
    <w:rsid w:val="098877D9"/>
    <w:rsid w:val="0A986AC6"/>
    <w:rsid w:val="0BFD5B12"/>
    <w:rsid w:val="0C9A1429"/>
    <w:rsid w:val="1651272E"/>
    <w:rsid w:val="1B305275"/>
    <w:rsid w:val="1F52185E"/>
    <w:rsid w:val="22A357EB"/>
    <w:rsid w:val="26B64548"/>
    <w:rsid w:val="32AE0449"/>
    <w:rsid w:val="36924E4D"/>
    <w:rsid w:val="3C321C7D"/>
    <w:rsid w:val="3F695796"/>
    <w:rsid w:val="409451DB"/>
    <w:rsid w:val="49411E9B"/>
    <w:rsid w:val="545F6545"/>
    <w:rsid w:val="580309CC"/>
    <w:rsid w:val="66FD4A31"/>
    <w:rsid w:val="68A6162B"/>
    <w:rsid w:val="72CE295F"/>
    <w:rsid w:val="745E293A"/>
    <w:rsid w:val="761926EC"/>
    <w:rsid w:val="77375DF9"/>
    <w:rsid w:val="7EED5B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3DD"/>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353DD"/>
    <w:pPr>
      <w:tabs>
        <w:tab w:val="center" w:pos="4153"/>
        <w:tab w:val="right" w:pos="8306"/>
      </w:tabs>
      <w:snapToGrid w:val="0"/>
    </w:pPr>
    <w:rPr>
      <w:sz w:val="18"/>
    </w:rPr>
  </w:style>
  <w:style w:type="paragraph" w:styleId="a4">
    <w:name w:val="header"/>
    <w:basedOn w:val="a"/>
    <w:qFormat/>
    <w:rsid w:val="00B353D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Char">
    <w:name w:val="普通(网站) Char"/>
    <w:basedOn w:val="a"/>
    <w:qFormat/>
    <w:rsid w:val="00B353DD"/>
    <w:pPr>
      <w:spacing w:before="100" w:beforeAutospacing="1" w:after="100" w:afterAutospacing="1"/>
    </w:pPr>
  </w:style>
  <w:style w:type="character" w:customStyle="1" w:styleId="15">
    <w:name w:val="15"/>
    <w:basedOn w:val="a0"/>
    <w:qFormat/>
    <w:rsid w:val="00B353DD"/>
    <w:rPr>
      <w:rFonts w:ascii="Times New Roman" w:hAnsi="Times New Roman" w:cs="Times New Roman" w:hint="default"/>
      <w:b/>
      <w:bCs/>
    </w:rPr>
  </w:style>
  <w:style w:type="paragraph" w:customStyle="1" w:styleId="Default">
    <w:name w:val="Default"/>
    <w:basedOn w:val="a"/>
    <w:qFormat/>
    <w:rsid w:val="00B353DD"/>
    <w:pPr>
      <w:widowControl w:val="0"/>
    </w:pPr>
    <w:rPr>
      <w:rFonts w:ascii="仿宋_GB2312" w:hAnsi="仿宋_GB2312"/>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1692</Words>
  <Characters>9645</Characters>
  <Application>Microsoft Office Word</Application>
  <DocSecurity>0</DocSecurity>
  <Lines>80</Lines>
  <Paragraphs>22</Paragraphs>
  <ScaleCrop>false</ScaleCrop>
  <Company>微软中国</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王朝</cp:lastModifiedBy>
  <cp:revision>5</cp:revision>
  <cp:lastPrinted>2021-09-16T09:00:00Z</cp:lastPrinted>
  <dcterms:created xsi:type="dcterms:W3CDTF">2021-09-16T03:40:00Z</dcterms:created>
  <dcterms:modified xsi:type="dcterms:W3CDTF">2021-09-29T02:49:00Z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9A1349A0FFCA4A8D85494843DF51B269</vt:lpwstr>
  </property>
</Properties>
</file>