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100" w:after="100"/>
        <w:ind w:right="75"/>
        <w:jc w:val="center"/>
        <w:rPr>
          <w:rStyle w:val="9"/>
          <w:rFonts w:ascii="黑体" w:hAnsi="宋体" w:eastAsia="黑体" w:cs="黑体"/>
          <w:sz w:val="44"/>
          <w:szCs w:val="44"/>
          <w:shd w:val="clear" w:color="auto" w:fill="FFFFFF"/>
        </w:rPr>
      </w:pPr>
      <w:r>
        <w:rPr>
          <w:rStyle w:val="9"/>
          <w:rFonts w:hint="eastAsia" w:ascii="黑体" w:hAnsi="宋体" w:eastAsia="黑体" w:cs="黑体"/>
          <w:sz w:val="44"/>
          <w:szCs w:val="44"/>
          <w:shd w:val="clear" w:color="auto" w:fill="FFFFFF"/>
        </w:rPr>
        <w:t>台州市</w:t>
      </w:r>
      <w:bookmarkStart w:id="0" w:name="_GoBack"/>
      <w:r>
        <w:rPr>
          <w:rStyle w:val="9"/>
          <w:rFonts w:hint="eastAsia" w:ascii="黑体" w:hAnsi="宋体" w:eastAsia="黑体" w:cs="黑体"/>
          <w:sz w:val="44"/>
          <w:szCs w:val="44"/>
          <w:shd w:val="clear" w:color="auto" w:fill="FFFFFF"/>
        </w:rPr>
        <w:t>温岭市综合行政执法局（本级）</w:t>
      </w:r>
    </w:p>
    <w:p>
      <w:pPr>
        <w:pStyle w:val="6"/>
        <w:widowControl/>
        <w:ind w:right="75"/>
        <w:jc w:val="center"/>
      </w:pPr>
      <w:r>
        <w:rPr>
          <w:rStyle w:val="9"/>
          <w:rFonts w:ascii="黑体" w:hAnsi="宋体" w:eastAsia="黑体" w:cs="黑体"/>
          <w:sz w:val="44"/>
          <w:szCs w:val="44"/>
          <w:shd w:val="clear" w:color="auto" w:fill="FFFFFF"/>
        </w:rPr>
        <w:t>2020年度</w:t>
      </w:r>
      <w:r>
        <w:rPr>
          <w:rStyle w:val="9"/>
          <w:rFonts w:hint="eastAsia" w:ascii="黑体" w:hAnsi="宋体" w:eastAsia="黑体" w:cs="黑体"/>
          <w:sz w:val="44"/>
          <w:szCs w:val="44"/>
          <w:shd w:val="clear" w:color="auto" w:fill="FFFFFF"/>
        </w:rPr>
        <w:t>单位</w:t>
      </w:r>
      <w:r>
        <w:rPr>
          <w:rStyle w:val="9"/>
          <w:rFonts w:ascii="黑体" w:hAnsi="宋体" w:eastAsia="黑体" w:cs="黑体"/>
          <w:sz w:val="44"/>
          <w:szCs w:val="44"/>
          <w:shd w:val="clear" w:color="auto" w:fill="FFFFFF"/>
        </w:rPr>
        <w:t>决算</w:t>
      </w:r>
      <w:bookmarkEnd w:id="0"/>
    </w:p>
    <w:p>
      <w:pPr>
        <w:pStyle w:val="6"/>
        <w:widowControl/>
        <w:ind w:right="75"/>
        <w:jc w:val="center"/>
      </w:pPr>
      <w:r>
        <w:rPr>
          <w:rStyle w:val="9"/>
          <w:rFonts w:ascii="等线" w:hAnsi="等线" w:eastAsia="等线" w:cs="等线"/>
          <w:sz w:val="22"/>
          <w:szCs w:val="22"/>
          <w:shd w:val="clear" w:color="auto" w:fill="FFFFFF"/>
        </w:rPr>
        <w:t>目录</w:t>
      </w:r>
    </w:p>
    <w:p>
      <w:pPr>
        <w:widowControl/>
        <w:spacing w:line="600" w:lineRule="atLeast"/>
        <w:ind w:right="76"/>
        <w:jc w:val="left"/>
      </w:pPr>
      <w:r>
        <w:rPr>
          <w:rStyle w:val="9"/>
          <w:rFonts w:ascii="等线" w:hAnsi="等线" w:eastAsia="等线" w:cs="Arial"/>
          <w:kern w:val="0"/>
          <w:sz w:val="22"/>
          <w:szCs w:val="22"/>
          <w:shd w:val="clear" w:color="auto" w:fill="FFFFFF"/>
        </w:rPr>
        <w:t>一、概况...............................................................(</w:t>
      </w:r>
      <w:r>
        <w:rPr>
          <w:rStyle w:val="9"/>
          <w:rFonts w:hint="eastAsia" w:ascii="等线" w:hAnsi="等线" w:eastAsia="等线" w:cs="Arial"/>
          <w:kern w:val="0"/>
          <w:sz w:val="22"/>
          <w:szCs w:val="22"/>
          <w:shd w:val="clear" w:color="auto" w:fill="FFFFFF"/>
        </w:rPr>
        <w:t>2</w:t>
      </w:r>
      <w:r>
        <w:rPr>
          <w:rStyle w:val="9"/>
          <w:rFonts w:ascii="等线" w:hAnsi="等线" w:eastAsia="等线" w:cs="Arial"/>
          <w:kern w:val="0"/>
          <w:sz w:val="22"/>
          <w:szCs w:val="22"/>
          <w:shd w:val="clear" w:color="auto" w:fill="FFFFFF"/>
        </w:rPr>
        <w:t xml:space="preserve"> )</w:t>
      </w:r>
      <w: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（一）部门职责.................. ......................................(</w:t>
      </w:r>
      <w:r>
        <w:rPr>
          <w:rStyle w:val="9"/>
          <w:rFonts w:hint="eastAsia" w:ascii="等线" w:hAnsi="等线" w:eastAsia="等线" w:cs="Arial"/>
          <w:kern w:val="0"/>
          <w:sz w:val="22"/>
          <w:szCs w:val="22"/>
          <w:shd w:val="clear" w:color="auto" w:fill="FFFFFF"/>
        </w:rPr>
        <w:t>2</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 xml:space="preserve">（二）机构设置.........................................................( </w:t>
      </w:r>
      <w:r>
        <w:rPr>
          <w:rStyle w:val="9"/>
          <w:rFonts w:hint="eastAsia" w:ascii="等线" w:hAnsi="等线" w:eastAsia="等线" w:cs="Arial"/>
          <w:kern w:val="0"/>
          <w:sz w:val="22"/>
          <w:szCs w:val="22"/>
          <w:shd w:val="clear" w:color="auto" w:fill="FFFFFF"/>
        </w:rPr>
        <w:t>3</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二、2020年度部门决算公开表... ........................................(</w:t>
      </w:r>
      <w:r>
        <w:rPr>
          <w:rStyle w:val="9"/>
          <w:rFonts w:hint="eastAsia" w:ascii="等线" w:hAnsi="等线" w:eastAsia="等线" w:cs="Arial"/>
          <w:kern w:val="0"/>
          <w:sz w:val="22"/>
          <w:szCs w:val="22"/>
          <w:shd w:val="clear" w:color="auto" w:fill="FFFFFF"/>
        </w:rPr>
        <w:t>3</w:t>
      </w:r>
      <w:r>
        <w:rPr>
          <w:rStyle w:val="9"/>
          <w:rFonts w:ascii="等线" w:hAnsi="等线" w:eastAsia="等线" w:cs="Arial"/>
          <w:kern w:val="0"/>
          <w:sz w:val="22"/>
          <w:szCs w:val="22"/>
          <w:shd w:val="clear" w:color="auto" w:fill="FFFFFF"/>
        </w:rPr>
        <w:t>)</w:t>
      </w:r>
    </w:p>
    <w:p>
      <w:pPr>
        <w:widowControl/>
        <w:spacing w:line="600" w:lineRule="atLeast"/>
        <w:ind w:right="76"/>
        <w:jc w:val="left"/>
      </w:pPr>
      <w:r>
        <w:rPr>
          <w:rStyle w:val="9"/>
          <w:rFonts w:ascii="等线" w:hAnsi="等线" w:eastAsia="等线" w:cs="Arial"/>
          <w:kern w:val="0"/>
          <w:sz w:val="22"/>
          <w:szCs w:val="22"/>
          <w:shd w:val="clear" w:color="auto" w:fill="FFFFFF"/>
        </w:rPr>
        <w:t xml:space="preserve">三、2020年度部门决算情况说明......... ................................( </w:t>
      </w:r>
      <w:r>
        <w:rPr>
          <w:rStyle w:val="9"/>
          <w:rFonts w:hint="eastAsia" w:ascii="等线" w:hAnsi="等线" w:eastAsia="等线" w:cs="Arial"/>
          <w:kern w:val="0"/>
          <w:sz w:val="22"/>
          <w:szCs w:val="22"/>
          <w:shd w:val="clear" w:color="auto" w:fill="FFFFFF"/>
        </w:rPr>
        <w:t>3</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 xml:space="preserve">（一）收入支出决算总体情况说明........................................( </w:t>
      </w:r>
      <w:r>
        <w:rPr>
          <w:rStyle w:val="9"/>
          <w:rFonts w:hint="eastAsia" w:ascii="等线" w:hAnsi="等线" w:eastAsia="等线" w:cs="Arial"/>
          <w:kern w:val="0"/>
          <w:sz w:val="22"/>
          <w:szCs w:val="22"/>
          <w:shd w:val="clear" w:color="auto" w:fill="FFFFFF"/>
        </w:rPr>
        <w:t>3</w:t>
      </w:r>
      <w:r>
        <w:rPr>
          <w:rStyle w:val="9"/>
          <w:rFonts w:ascii="等线" w:hAnsi="等线" w:eastAsia="等线" w:cs="Arial"/>
          <w:kern w:val="0"/>
          <w:sz w:val="22"/>
          <w:szCs w:val="22"/>
          <w:shd w:val="clear" w:color="auto" w:fill="FFFFFF"/>
        </w:rPr>
        <w:t>)</w:t>
      </w:r>
    </w:p>
    <w:p>
      <w:pPr>
        <w:widowControl/>
        <w:spacing w:line="600" w:lineRule="atLeast"/>
        <w:ind w:right="76"/>
        <w:jc w:val="left"/>
      </w:pPr>
      <w:r>
        <w:rPr>
          <w:rStyle w:val="9"/>
          <w:rFonts w:ascii="等线" w:hAnsi="等线" w:eastAsia="等线" w:cs="Arial"/>
          <w:kern w:val="0"/>
          <w:sz w:val="22"/>
          <w:szCs w:val="22"/>
          <w:shd w:val="clear" w:color="auto" w:fill="FFFFFF"/>
        </w:rPr>
        <w:t>（二）收入决算情况说明................................................(</w:t>
      </w:r>
      <w:r>
        <w:rPr>
          <w:rStyle w:val="9"/>
          <w:rFonts w:hint="eastAsia" w:ascii="等线" w:hAnsi="等线" w:eastAsia="等线" w:cs="Arial"/>
          <w:kern w:val="0"/>
          <w:sz w:val="22"/>
          <w:szCs w:val="22"/>
          <w:shd w:val="clear" w:color="auto" w:fill="FFFFFF"/>
        </w:rPr>
        <w:t>3</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（三）支出决算情况说明................................................(</w:t>
      </w:r>
      <w:r>
        <w:rPr>
          <w:rStyle w:val="9"/>
          <w:rFonts w:hint="eastAsia" w:ascii="等线" w:hAnsi="等线" w:eastAsia="等线" w:cs="Arial"/>
          <w:kern w:val="0"/>
          <w:sz w:val="22"/>
          <w:szCs w:val="22"/>
          <w:shd w:val="clear" w:color="auto" w:fill="FFFFFF"/>
        </w:rPr>
        <w:t>4</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（四）财政拨款收入支出决算总体情况说明.................................(</w:t>
      </w:r>
      <w:r>
        <w:rPr>
          <w:rStyle w:val="9"/>
          <w:rFonts w:hint="eastAsia" w:ascii="等线" w:hAnsi="等线" w:eastAsia="等线" w:cs="Arial"/>
          <w:kern w:val="0"/>
          <w:sz w:val="22"/>
          <w:szCs w:val="22"/>
          <w:shd w:val="clear" w:color="auto" w:fill="FFFFFF"/>
        </w:rPr>
        <w:t>4</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 xml:space="preserve">（五）一般公共预算财政拨款支出决算情况说明.............................( </w:t>
      </w:r>
      <w:r>
        <w:rPr>
          <w:rStyle w:val="9"/>
          <w:rFonts w:hint="eastAsia" w:ascii="等线" w:hAnsi="等线" w:eastAsia="等线" w:cs="Arial"/>
          <w:kern w:val="0"/>
          <w:sz w:val="22"/>
          <w:szCs w:val="22"/>
          <w:shd w:val="clear" w:color="auto" w:fill="FFFFFF"/>
        </w:rPr>
        <w:t>4</w:t>
      </w:r>
      <w:r>
        <w:rPr>
          <w:rStyle w:val="9"/>
          <w:rFonts w:ascii="等线" w:hAnsi="等线" w:eastAsia="等线" w:cs="Arial"/>
          <w:kern w:val="0"/>
          <w:sz w:val="22"/>
          <w:szCs w:val="22"/>
          <w:shd w:val="clear" w:color="auto" w:fill="FFFFFF"/>
        </w:rPr>
        <w:t>)</w:t>
      </w:r>
    </w:p>
    <w:p>
      <w:pPr>
        <w:widowControl/>
        <w:spacing w:line="600" w:lineRule="atLeast"/>
        <w:ind w:right="76"/>
        <w:jc w:val="left"/>
      </w:pPr>
      <w:r>
        <w:rPr>
          <w:rStyle w:val="9"/>
          <w:rFonts w:ascii="等线" w:hAnsi="等线" w:eastAsia="等线" w:cs="Arial"/>
          <w:kern w:val="0"/>
          <w:sz w:val="22"/>
          <w:szCs w:val="22"/>
          <w:shd w:val="clear" w:color="auto" w:fill="FFFFFF"/>
        </w:rPr>
        <w:t>（六）一般公共预算财政拨款基本支出决算情况说明.........................(</w:t>
      </w:r>
      <w:r>
        <w:rPr>
          <w:rStyle w:val="9"/>
          <w:rFonts w:hint="eastAsia" w:ascii="等线" w:hAnsi="等线" w:eastAsia="等线" w:cs="Arial"/>
          <w:kern w:val="0"/>
          <w:sz w:val="22"/>
          <w:szCs w:val="22"/>
          <w:shd w:val="clear" w:color="auto" w:fill="FFFFFF"/>
        </w:rPr>
        <w:t>7</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（七）政府性基金预算财政拨款支出决算总体情况说明........................(</w:t>
      </w:r>
      <w:r>
        <w:rPr>
          <w:rStyle w:val="9"/>
          <w:rFonts w:hint="eastAsia" w:ascii="等线" w:hAnsi="等线" w:eastAsia="等线" w:cs="Arial"/>
          <w:kern w:val="0"/>
          <w:sz w:val="22"/>
          <w:szCs w:val="22"/>
          <w:shd w:val="clear" w:color="auto" w:fill="FFFFFF"/>
        </w:rPr>
        <w:t>8</w:t>
      </w:r>
      <w:r>
        <w:rPr>
          <w:rStyle w:val="9"/>
          <w:rFonts w:ascii="等线" w:hAnsi="等线" w:eastAsia="等线" w:cs="Arial"/>
          <w:kern w:val="0"/>
          <w:sz w:val="22"/>
          <w:szCs w:val="22"/>
          <w:shd w:val="clear" w:color="auto" w:fill="FFFFFF"/>
        </w:rPr>
        <w:t>)</w:t>
      </w:r>
    </w:p>
    <w:p>
      <w:pPr>
        <w:widowControl/>
        <w:spacing w:line="600" w:lineRule="atLeast"/>
        <w:ind w:right="76"/>
        <w:jc w:val="left"/>
      </w:pPr>
      <w:r>
        <w:rPr>
          <w:rStyle w:val="9"/>
          <w:rFonts w:ascii="等线" w:hAnsi="等线" w:eastAsia="等线" w:cs="Arial"/>
          <w:kern w:val="0"/>
          <w:sz w:val="22"/>
          <w:szCs w:val="22"/>
          <w:shd w:val="clear" w:color="auto" w:fill="FFFFFF"/>
        </w:rPr>
        <w:t xml:space="preserve">（八）国有资本经营预算财政拨款支出决算总体情况说明.....................( </w:t>
      </w:r>
      <w:r>
        <w:rPr>
          <w:rStyle w:val="9"/>
          <w:rFonts w:hint="eastAsia" w:ascii="等线" w:hAnsi="等线" w:eastAsia="等线" w:cs="Arial"/>
          <w:kern w:val="0"/>
          <w:sz w:val="22"/>
          <w:szCs w:val="22"/>
          <w:shd w:val="clear" w:color="auto" w:fill="FFFFFF"/>
        </w:rPr>
        <w:t>9</w:t>
      </w:r>
      <w:r>
        <w:rPr>
          <w:rStyle w:val="9"/>
          <w:rFonts w:ascii="等线" w:hAnsi="等线" w:eastAsia="等线" w:cs="Arial"/>
          <w:kern w:val="0"/>
          <w:sz w:val="22"/>
          <w:szCs w:val="22"/>
          <w:shd w:val="clear" w:color="auto" w:fill="FFFFFF"/>
        </w:rPr>
        <w:t>)</w:t>
      </w:r>
    </w:p>
    <w:p>
      <w:pPr>
        <w:widowControl/>
        <w:spacing w:line="600" w:lineRule="atLeast"/>
        <w:ind w:right="76"/>
        <w:jc w:val="left"/>
      </w:pPr>
      <w:r>
        <w:rPr>
          <w:rStyle w:val="9"/>
          <w:rFonts w:ascii="等线" w:hAnsi="等线" w:eastAsia="等线" w:cs="Arial"/>
          <w:kern w:val="0"/>
          <w:sz w:val="22"/>
          <w:szCs w:val="22"/>
          <w:shd w:val="clear" w:color="auto" w:fill="FFFFFF"/>
        </w:rPr>
        <w:t>（九）一般公共预算财政拨款“三公”经费支出决算情况说明.................(</w:t>
      </w:r>
      <w:r>
        <w:rPr>
          <w:rStyle w:val="9"/>
          <w:rFonts w:hint="eastAsia" w:ascii="等线" w:hAnsi="等线" w:eastAsia="等线" w:cs="Arial"/>
          <w:kern w:val="0"/>
          <w:sz w:val="22"/>
          <w:szCs w:val="22"/>
          <w:shd w:val="clear" w:color="auto" w:fill="FFFFFF"/>
        </w:rPr>
        <w:t>9</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 xml:space="preserve">（十）机关运行经费支出说明............................................( </w:t>
      </w:r>
      <w:r>
        <w:rPr>
          <w:rStyle w:val="9"/>
          <w:rFonts w:hint="eastAsia" w:ascii="等线" w:hAnsi="等线" w:eastAsia="等线" w:cs="Arial"/>
          <w:kern w:val="0"/>
          <w:sz w:val="22"/>
          <w:szCs w:val="22"/>
          <w:shd w:val="clear" w:color="auto" w:fill="FFFFFF"/>
        </w:rPr>
        <w:t>11</w:t>
      </w:r>
      <w:r>
        <w:rPr>
          <w:rStyle w:val="9"/>
          <w:rFonts w:ascii="等线" w:hAnsi="等线" w:eastAsia="等线" w:cs="Arial"/>
          <w:kern w:val="0"/>
          <w:sz w:val="22"/>
          <w:szCs w:val="22"/>
          <w:shd w:val="clear" w:color="auto" w:fill="FFFFFF"/>
        </w:rPr>
        <w:t>)</w:t>
      </w:r>
    </w:p>
    <w:p>
      <w:pPr>
        <w:widowControl/>
        <w:spacing w:line="600" w:lineRule="atLeast"/>
        <w:ind w:right="76"/>
        <w:jc w:val="left"/>
      </w:pPr>
      <w:r>
        <w:rPr>
          <w:rStyle w:val="9"/>
          <w:rFonts w:ascii="等线" w:hAnsi="等线" w:eastAsia="等线" w:cs="Arial"/>
          <w:kern w:val="0"/>
          <w:sz w:val="22"/>
          <w:szCs w:val="22"/>
          <w:shd w:val="clear" w:color="auto" w:fill="FFFFFF"/>
        </w:rPr>
        <w:t>（十一）政府采购支出说明..............................................(</w:t>
      </w:r>
      <w:r>
        <w:rPr>
          <w:rStyle w:val="9"/>
          <w:rFonts w:hint="eastAsia" w:ascii="等线" w:hAnsi="等线" w:eastAsia="等线" w:cs="Arial"/>
          <w:kern w:val="0"/>
          <w:sz w:val="22"/>
          <w:szCs w:val="22"/>
          <w:shd w:val="clear" w:color="auto" w:fill="FFFFFF"/>
        </w:rPr>
        <w:t>12</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（十二）国有资产占有情况说明..........................................(</w:t>
      </w:r>
      <w:r>
        <w:rPr>
          <w:rStyle w:val="9"/>
          <w:rFonts w:hint="eastAsia" w:ascii="等线" w:hAnsi="等线" w:eastAsia="等线" w:cs="Arial"/>
          <w:kern w:val="0"/>
          <w:sz w:val="22"/>
          <w:szCs w:val="22"/>
          <w:shd w:val="clear" w:color="auto" w:fill="FFFFFF"/>
        </w:rPr>
        <w:t>12</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（十三）预算绩效情况说明..............................................(</w:t>
      </w:r>
      <w:r>
        <w:rPr>
          <w:rStyle w:val="9"/>
          <w:rFonts w:hint="eastAsia" w:ascii="等线" w:hAnsi="等线" w:eastAsia="等线" w:cs="Arial"/>
          <w:kern w:val="0"/>
          <w:sz w:val="22"/>
          <w:szCs w:val="22"/>
          <w:shd w:val="clear" w:color="auto" w:fill="FFFFFF"/>
        </w:rPr>
        <w:t>12</w:t>
      </w:r>
      <w:r>
        <w:rPr>
          <w:rStyle w:val="9"/>
          <w:rFonts w:ascii="等线" w:hAnsi="等线" w:eastAsia="等线" w:cs="Arial"/>
          <w:kern w:val="0"/>
          <w:sz w:val="22"/>
          <w:szCs w:val="22"/>
          <w:shd w:val="clear" w:color="auto" w:fill="FFFFFF"/>
        </w:rPr>
        <w:t xml:space="preserve"> )</w:t>
      </w:r>
    </w:p>
    <w:p>
      <w:pPr>
        <w:widowControl/>
        <w:spacing w:line="600" w:lineRule="atLeast"/>
        <w:ind w:right="76"/>
        <w:jc w:val="left"/>
      </w:pPr>
      <w:r>
        <w:rPr>
          <w:rStyle w:val="9"/>
          <w:rFonts w:ascii="等线" w:hAnsi="等线" w:eastAsia="等线" w:cs="Arial"/>
          <w:kern w:val="0"/>
          <w:sz w:val="22"/>
          <w:szCs w:val="22"/>
          <w:shd w:val="clear" w:color="auto" w:fill="FFFFFF"/>
        </w:rPr>
        <w:t>四、名词解释.......................................................(</w:t>
      </w:r>
      <w:r>
        <w:rPr>
          <w:rStyle w:val="9"/>
          <w:rFonts w:hint="eastAsia" w:ascii="等线" w:hAnsi="等线" w:eastAsia="等线" w:cs="Arial"/>
          <w:kern w:val="0"/>
          <w:sz w:val="22"/>
          <w:szCs w:val="22"/>
          <w:shd w:val="clear" w:color="auto" w:fill="FFFFFF"/>
        </w:rPr>
        <w:t>18</w:t>
      </w:r>
      <w:r>
        <w:rPr>
          <w:rStyle w:val="9"/>
          <w:rFonts w:ascii="等线" w:hAnsi="等线" w:eastAsia="等线" w:cs="Arial"/>
          <w:kern w:val="0"/>
          <w:sz w:val="22"/>
          <w:szCs w:val="22"/>
          <w:shd w:val="clear" w:color="auto" w:fill="FFFFFF"/>
        </w:rPr>
        <w:t xml:space="preserve"> )</w:t>
      </w:r>
    </w:p>
    <w:p>
      <w:pPr>
        <w:widowControl/>
        <w:spacing w:line="600" w:lineRule="atLeast"/>
        <w:ind w:right="76" w:firstLine="640"/>
      </w:pPr>
      <w:r>
        <w:rPr>
          <w:rStyle w:val="9"/>
          <w:rFonts w:hint="eastAsia" w:ascii="黑体" w:hAnsi="宋体" w:eastAsia="黑体" w:cs="Arial"/>
          <w:kern w:val="0"/>
          <w:sz w:val="32"/>
          <w:szCs w:val="32"/>
          <w:shd w:val="clear" w:color="auto" w:fill="FFFFFF"/>
        </w:rPr>
        <w:t>一、概况</w:t>
      </w:r>
    </w:p>
    <w:p>
      <w:pPr>
        <w:widowControl/>
        <w:spacing w:line="600" w:lineRule="atLeast"/>
        <w:ind w:right="76" w:firstLine="640"/>
      </w:pPr>
      <w:r>
        <w:rPr>
          <w:rStyle w:val="9"/>
          <w:rFonts w:ascii="楷体" w:hAnsi="楷体" w:eastAsia="楷体" w:cs="Arial"/>
          <w:kern w:val="0"/>
          <w:sz w:val="32"/>
          <w:szCs w:val="32"/>
          <w:shd w:val="clear" w:color="auto" w:fill="FFFFFF"/>
        </w:rPr>
        <w:t>（一）部门职责</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1、贯彻执行城市管理法律、法规、规章和省市有关城市管理的方针、政策，起草并实施城市管理方面的行政规范性文件；</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2、履行市容环境卫生、城乡规划、城市绿化、市政公用、环境保护、工商行政、公安交通等七方面的部分城市管理相对集中行政处罚权；</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3、行使城市户外广告、搭建非永久性建筑物、临时占道、特殊车辆在城市道路上行驶、临时占用城市绿地核准、公共绿地内开设商业服务摊点、从事城市生活垃圾经营性服务、城市建筑垃圾处置核准等八项城市管理职能；</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4、负责城市环境卫生的组织、管理、指导、检查，参与制订城市容貌标准，负责市容市貌的监督、管理、协调，组织开展市容市貌整治；</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5、实施对城市管理行政执法队伍的规范管理和调度指挥，组织开展阶段性集中统一的专项整治和重大执法活动；负责对全市城市管理行政执法工作的业务指导和检查监督；</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6、组织开展城市管理法律、法规、规章业务培训，负责城市管理案件的信访、投诉、申诉、调解、处理工作；</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7、组织并协调有关部门开展城市管理及城市管理行政执法的宣传教育活动；</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8、负责本系统干部职工业务培训、监督、考核、人事、劳资、财务及党政建设、精神文明建设和队伍建设；</w:t>
      </w:r>
    </w:p>
    <w:p>
      <w:pPr>
        <w:snapToGrid w:val="0"/>
        <w:spacing w:line="520" w:lineRule="exact"/>
        <w:ind w:firstLine="640" w:firstLineChars="200"/>
        <w:rPr>
          <w:rFonts w:ascii="仿宋" w:hAnsi="仿宋" w:eastAsia="仿宋"/>
          <w:sz w:val="32"/>
          <w:szCs w:val="32"/>
        </w:rPr>
      </w:pPr>
      <w:r>
        <w:rPr>
          <w:rFonts w:ascii="仿宋" w:hAnsi="仿宋" w:eastAsia="仿宋"/>
          <w:sz w:val="32"/>
          <w:szCs w:val="32"/>
        </w:rPr>
        <w:t>9、履行法律、法规和省、市人民政府规定的其他职责；</w:t>
      </w:r>
    </w:p>
    <w:p>
      <w:pPr>
        <w:shd w:val="clear" w:color="auto" w:fill="FFFFFF"/>
        <w:snapToGrid w:val="0"/>
        <w:spacing w:line="600" w:lineRule="atLeast"/>
        <w:ind w:firstLine="640"/>
        <w:rPr>
          <w:rFonts w:ascii="仿宋" w:hAnsi="仿宋" w:eastAsia="仿宋"/>
          <w:sz w:val="32"/>
          <w:szCs w:val="32"/>
          <w:shd w:val="clear" w:color="auto" w:fill="FFFFFF"/>
        </w:rPr>
      </w:pPr>
      <w:r>
        <w:rPr>
          <w:rFonts w:ascii="仿宋" w:hAnsi="仿宋" w:eastAsia="仿宋"/>
          <w:sz w:val="32"/>
          <w:szCs w:val="32"/>
          <w:shd w:val="clear" w:color="auto" w:fill="FFFFFF"/>
        </w:rPr>
        <w:t>10、承办市政府交办的其他工作。</w:t>
      </w:r>
    </w:p>
    <w:p>
      <w:pPr>
        <w:widowControl/>
        <w:spacing w:line="600" w:lineRule="atLeast"/>
        <w:ind w:right="76" w:firstLine="640"/>
      </w:pPr>
      <w:r>
        <w:rPr>
          <w:rStyle w:val="9"/>
          <w:rFonts w:hint="eastAsia" w:ascii="楷体" w:hAnsi="楷体" w:eastAsia="楷体" w:cs="Arial"/>
          <w:kern w:val="0"/>
          <w:sz w:val="32"/>
          <w:szCs w:val="32"/>
          <w:shd w:val="clear" w:color="auto" w:fill="FFFFFF"/>
        </w:rPr>
        <w:t>（二）机构设置</w:t>
      </w:r>
    </w:p>
    <w:p>
      <w:pPr>
        <w:widowControl/>
        <w:spacing w:line="600" w:lineRule="atLeast"/>
        <w:ind w:right="76" w:firstLine="640"/>
      </w:pPr>
      <w:r>
        <w:rPr>
          <w:rFonts w:hint="eastAsia" w:ascii="仿宋" w:hAnsi="仿宋" w:eastAsia="仿宋" w:cs="Arial"/>
          <w:kern w:val="0"/>
          <w:sz w:val="32"/>
          <w:szCs w:val="32"/>
          <w:shd w:val="clear" w:color="auto" w:fill="FFFFFF"/>
        </w:rPr>
        <w:t>从预算单位构成看，台州市温岭市综合行政执法局（本级）决算包括：局本级决算。</w:t>
      </w:r>
    </w:p>
    <w:p>
      <w:pPr>
        <w:widowControl/>
        <w:spacing w:line="600" w:lineRule="atLeast"/>
        <w:ind w:right="76" w:firstLine="640"/>
        <w:rPr>
          <w:rFonts w:ascii="仿宋" w:hAnsi="仿宋" w:eastAsia="仿宋" w:cs="Arial"/>
          <w:kern w:val="0"/>
          <w:sz w:val="32"/>
          <w:szCs w:val="32"/>
          <w:shd w:val="clear" w:color="auto" w:fill="FFFFFF"/>
        </w:rPr>
      </w:pPr>
      <w:r>
        <w:rPr>
          <w:rFonts w:hint="eastAsia" w:ascii="仿宋" w:hAnsi="仿宋" w:eastAsia="仿宋" w:cs="Arial"/>
          <w:kern w:val="0"/>
          <w:sz w:val="32"/>
          <w:szCs w:val="32"/>
          <w:shd w:val="clear" w:color="auto" w:fill="FFFFFF"/>
        </w:rPr>
        <w:t>从预算单位构成看，本单位内设：办公室（计划财务科）、人事教育科、法制科、督察科、综合执法一科、综合执法二科、综合执法三科。</w:t>
      </w:r>
    </w:p>
    <w:p>
      <w:pPr>
        <w:widowControl/>
        <w:spacing w:line="600" w:lineRule="atLeast"/>
        <w:ind w:right="76" w:firstLine="640"/>
      </w:pPr>
      <w:r>
        <w:rPr>
          <w:rStyle w:val="9"/>
          <w:rFonts w:hint="eastAsia" w:ascii="黑体" w:hAnsi="宋体" w:eastAsia="黑体" w:cs="Arial"/>
          <w:kern w:val="0"/>
          <w:sz w:val="32"/>
          <w:szCs w:val="32"/>
          <w:shd w:val="clear" w:color="auto" w:fill="FFFFFF"/>
        </w:rPr>
        <w:t>二、2020年度部门决算公开表</w:t>
      </w:r>
    </w:p>
    <w:p>
      <w:pPr>
        <w:widowControl/>
        <w:spacing w:line="600" w:lineRule="atLeast"/>
        <w:ind w:right="76" w:firstLine="640"/>
      </w:pPr>
      <w:r>
        <w:rPr>
          <w:rFonts w:hint="eastAsia" w:ascii="仿宋" w:hAnsi="仿宋" w:eastAsia="仿宋" w:cs="Arial"/>
          <w:kern w:val="0"/>
          <w:sz w:val="32"/>
          <w:szCs w:val="32"/>
          <w:shd w:val="clear" w:color="auto" w:fill="FFFFFF"/>
        </w:rPr>
        <w:t>详见附表。</w:t>
      </w:r>
    </w:p>
    <w:p>
      <w:pPr>
        <w:widowControl/>
        <w:spacing w:line="600" w:lineRule="atLeast"/>
        <w:ind w:right="76" w:firstLine="640"/>
      </w:pPr>
      <w:r>
        <w:rPr>
          <w:rStyle w:val="9"/>
          <w:rFonts w:hint="eastAsia" w:ascii="黑体" w:hAnsi="宋体" w:eastAsia="黑体" w:cs="Arial"/>
          <w:kern w:val="0"/>
          <w:sz w:val="32"/>
          <w:szCs w:val="32"/>
          <w:shd w:val="clear" w:color="auto" w:fill="FFFFFF"/>
        </w:rPr>
        <w:t>三、2020年度部门决算情况说明</w:t>
      </w:r>
    </w:p>
    <w:p>
      <w:pPr>
        <w:widowControl/>
        <w:numPr>
          <w:ilvl w:val="0"/>
          <w:numId w:val="1"/>
        </w:numPr>
        <w:spacing w:line="600" w:lineRule="atLeast"/>
        <w:ind w:right="76" w:firstLine="640"/>
        <w:rPr>
          <w:rStyle w:val="9"/>
          <w:rFonts w:ascii="楷体" w:hAnsi="楷体" w:eastAsia="楷体" w:cs="Arial"/>
          <w:kern w:val="0"/>
          <w:sz w:val="32"/>
          <w:szCs w:val="32"/>
          <w:shd w:val="clear" w:color="auto" w:fill="FFFFFF"/>
        </w:rPr>
      </w:pPr>
      <w:r>
        <w:rPr>
          <w:rStyle w:val="9"/>
          <w:rFonts w:hint="eastAsia" w:ascii="楷体" w:hAnsi="楷体" w:eastAsia="楷体" w:cs="Arial"/>
          <w:kern w:val="0"/>
          <w:sz w:val="32"/>
          <w:szCs w:val="32"/>
          <w:shd w:val="clear" w:color="auto" w:fill="FFFFFF"/>
        </w:rPr>
        <w:t>收入支出决算总体情况说明</w:t>
      </w:r>
    </w:p>
    <w:p>
      <w:pPr>
        <w:widowControl/>
        <w:spacing w:line="600" w:lineRule="atLeast"/>
        <w:ind w:right="76" w:firstLine="640" w:firstLineChars="200"/>
      </w:pPr>
      <w:r>
        <w:rPr>
          <w:rFonts w:hint="eastAsia" w:ascii="仿宋" w:hAnsi="仿宋" w:eastAsia="仿宋" w:cs="Arial"/>
          <w:kern w:val="0"/>
          <w:sz w:val="32"/>
          <w:szCs w:val="32"/>
          <w:shd w:val="clear" w:color="auto" w:fill="FFFFFF"/>
        </w:rPr>
        <w:t>2020年度收入总计18,260.49万元，支出总计18,260.49万元,与2019年度相比，各减少1,577.63万元，下降7.95%。主要原因是：污泥处理费和三大革命经费项目较上年减少。</w:t>
      </w:r>
    </w:p>
    <w:p>
      <w:pPr>
        <w:widowControl/>
        <w:spacing w:line="600" w:lineRule="atLeast"/>
        <w:ind w:right="76" w:firstLine="640"/>
      </w:pPr>
      <w:r>
        <w:rPr>
          <w:rStyle w:val="9"/>
          <w:rFonts w:hint="eastAsia" w:ascii="楷体" w:hAnsi="楷体" w:eastAsia="楷体" w:cs="Arial"/>
          <w:kern w:val="0"/>
          <w:sz w:val="32"/>
          <w:szCs w:val="32"/>
          <w:shd w:val="clear" w:color="auto" w:fill="FFFFFF"/>
        </w:rPr>
        <w:t>（二）收入决算情况说明</w:t>
      </w:r>
    </w:p>
    <w:p>
      <w:pPr>
        <w:widowControl/>
        <w:spacing w:line="600" w:lineRule="atLeast"/>
        <w:ind w:right="76" w:firstLine="640"/>
      </w:pPr>
      <w:r>
        <w:rPr>
          <w:rFonts w:hint="eastAsia" w:ascii="仿宋" w:hAnsi="仿宋" w:eastAsia="仿宋" w:cs="Arial"/>
          <w:kern w:val="0"/>
          <w:sz w:val="32"/>
          <w:szCs w:val="32"/>
          <w:shd w:val="clear" w:color="auto" w:fill="FFFFFF"/>
        </w:rPr>
        <w:t>本年收入合计18,260.46万元；包括财政拨款收入18,260.46万元（其中，一般公共预算14,589.46万元，政府性基金预算3,671.00万元,国有资本经营预算0万元），占收入合计100.00%；上级补助收入0万元，占收入合计0%；事业收入0万元，占收入合计0%；经营收入0万元，占收入合计0%；附属单位上缴收入0万元，占收入合计0%；其他收入0万元，占收入合计0%。</w:t>
      </w:r>
    </w:p>
    <w:p>
      <w:pPr>
        <w:widowControl/>
        <w:spacing w:line="600" w:lineRule="atLeast"/>
        <w:ind w:right="76" w:firstLine="640"/>
      </w:pPr>
      <w:r>
        <w:rPr>
          <w:rStyle w:val="9"/>
          <w:rFonts w:hint="eastAsia" w:ascii="楷体" w:hAnsi="楷体" w:eastAsia="楷体" w:cs="Arial"/>
          <w:kern w:val="0"/>
          <w:sz w:val="32"/>
          <w:szCs w:val="32"/>
          <w:shd w:val="clear" w:color="auto" w:fill="FFFFFF"/>
        </w:rPr>
        <w:t>（三）支出决算情况说明</w:t>
      </w:r>
    </w:p>
    <w:p>
      <w:pPr>
        <w:widowControl/>
        <w:spacing w:line="600" w:lineRule="atLeast"/>
        <w:ind w:right="76" w:firstLine="640"/>
      </w:pPr>
      <w:r>
        <w:rPr>
          <w:rFonts w:hint="eastAsia" w:ascii="仿宋" w:hAnsi="仿宋" w:eastAsia="仿宋" w:cs="Arial"/>
          <w:kern w:val="0"/>
          <w:sz w:val="32"/>
          <w:szCs w:val="32"/>
          <w:shd w:val="clear" w:color="auto" w:fill="FFFFFF"/>
        </w:rPr>
        <w:t>本年支出合计18,260.46万元，其中基本支出5,367.74万元，占29.40%；项目支出12,892.71万元，占70.60%；上缴上级支出0万元，占0%；经营支出0万元，占0%；对附属单位补助支出0万元，占0%。</w:t>
      </w:r>
    </w:p>
    <w:p>
      <w:pPr>
        <w:widowControl/>
        <w:numPr>
          <w:ilvl w:val="0"/>
          <w:numId w:val="2"/>
        </w:numPr>
        <w:spacing w:line="600" w:lineRule="atLeast"/>
        <w:ind w:right="76" w:firstLine="640"/>
        <w:rPr>
          <w:rStyle w:val="9"/>
          <w:rFonts w:ascii="楷体" w:hAnsi="楷体" w:eastAsia="楷体" w:cs="Arial"/>
          <w:kern w:val="0"/>
          <w:sz w:val="32"/>
          <w:szCs w:val="32"/>
          <w:shd w:val="clear" w:color="auto" w:fill="FFFFFF"/>
        </w:rPr>
      </w:pPr>
      <w:r>
        <w:rPr>
          <w:rStyle w:val="9"/>
          <w:rFonts w:hint="eastAsia" w:ascii="楷体" w:hAnsi="楷体" w:eastAsia="楷体" w:cs="Arial"/>
          <w:kern w:val="0"/>
          <w:sz w:val="32"/>
          <w:szCs w:val="32"/>
          <w:shd w:val="clear" w:color="auto" w:fill="FFFFFF"/>
        </w:rPr>
        <w:t>财政拨款收入支出决算总体情况说明</w:t>
      </w:r>
    </w:p>
    <w:p>
      <w:pPr>
        <w:widowControl/>
        <w:spacing w:line="600" w:lineRule="atLeast"/>
        <w:ind w:right="76" w:firstLine="640" w:firstLineChars="200"/>
      </w:pPr>
      <w:r>
        <w:rPr>
          <w:rFonts w:hint="eastAsia" w:ascii="仿宋" w:hAnsi="仿宋" w:eastAsia="仿宋" w:cs="Arial"/>
          <w:kern w:val="0"/>
          <w:sz w:val="32"/>
          <w:szCs w:val="32"/>
          <w:shd w:val="clear" w:color="auto" w:fill="FFFFFF"/>
        </w:rPr>
        <w:t>2020年度财政拨款收入总计18,260.46万元，支出总计18,260.46万元，与2019年相比，各减少1,577.63万元，下降7.95%。主要原因是污泥处理费和三大革命经费项目较上年减少；财政拨款支出年初预算数18423.79万元，完成年初预算的99.11%，</w:t>
      </w:r>
      <w:r>
        <w:rPr>
          <w:rStyle w:val="9"/>
          <w:rFonts w:hint="eastAsia" w:ascii="仿宋" w:hAnsi="仿宋" w:eastAsia="仿宋" w:cs="Arial"/>
          <w:b w:val="0"/>
          <w:kern w:val="0"/>
          <w:sz w:val="32"/>
          <w:szCs w:val="32"/>
          <w:shd w:val="clear" w:color="auto" w:fill="FFFFFF"/>
        </w:rPr>
        <w:t>决算数同年初预算数基本一致</w:t>
      </w:r>
      <w:r>
        <w:rPr>
          <w:rFonts w:hint="eastAsia" w:ascii="仿宋" w:hAnsi="仿宋" w:eastAsia="仿宋" w:cs="Arial"/>
          <w:sz w:val="32"/>
          <w:szCs w:val="32"/>
        </w:rPr>
        <w:t>，是因为</w:t>
      </w:r>
      <w:r>
        <w:rPr>
          <w:rFonts w:hint="eastAsia" w:ascii="仿宋" w:hAnsi="仿宋" w:eastAsia="仿宋" w:cs="Arial"/>
          <w:sz w:val="32"/>
          <w:szCs w:val="32"/>
          <w:shd w:val="clear" w:color="auto" w:fill="FFFFFF"/>
        </w:rPr>
        <w:t>严格执行年初预算的计划安排</w:t>
      </w:r>
      <w:r>
        <w:rPr>
          <w:rFonts w:hint="eastAsia" w:ascii="仿宋" w:hAnsi="仿宋" w:eastAsia="仿宋" w:cs="Arial"/>
          <w:sz w:val="32"/>
          <w:szCs w:val="32"/>
        </w:rPr>
        <w:t>。</w:t>
      </w:r>
    </w:p>
    <w:p>
      <w:pPr>
        <w:widowControl/>
        <w:spacing w:line="600" w:lineRule="atLeast"/>
        <w:ind w:right="76" w:firstLine="640"/>
      </w:pPr>
      <w:r>
        <w:rPr>
          <w:rStyle w:val="9"/>
          <w:rFonts w:hint="eastAsia" w:ascii="楷体" w:hAnsi="楷体" w:eastAsia="楷体" w:cs="Arial"/>
          <w:kern w:val="0"/>
          <w:sz w:val="32"/>
          <w:szCs w:val="32"/>
          <w:shd w:val="clear" w:color="auto" w:fill="FFFFFF"/>
        </w:rPr>
        <w:t>（五）一般公共预算财政拨款支出决算情况说明</w:t>
      </w:r>
    </w:p>
    <w:p>
      <w:pPr>
        <w:widowControl/>
        <w:spacing w:line="600" w:lineRule="atLeast"/>
        <w:ind w:right="76" w:firstLine="640"/>
      </w:pPr>
      <w:r>
        <w:rPr>
          <w:rStyle w:val="9"/>
          <w:rFonts w:hint="eastAsia" w:ascii="仿宋" w:hAnsi="仿宋" w:eastAsia="仿宋" w:cs="Arial"/>
          <w:kern w:val="0"/>
          <w:sz w:val="32"/>
          <w:szCs w:val="32"/>
          <w:shd w:val="clear" w:color="auto" w:fill="FFFFFF"/>
        </w:rPr>
        <w:t>1.一般公共预算财政拨款支出决算总体情况。</w:t>
      </w:r>
    </w:p>
    <w:p>
      <w:pPr>
        <w:spacing w:line="600" w:lineRule="atLeast"/>
        <w:ind w:firstLine="640"/>
      </w:pPr>
      <w:r>
        <w:rPr>
          <w:rFonts w:hint="eastAsia" w:ascii="仿宋" w:hAnsi="仿宋" w:eastAsia="仿宋" w:cs="Arial"/>
          <w:kern w:val="0"/>
          <w:sz w:val="32"/>
          <w:szCs w:val="32"/>
          <w:shd w:val="clear" w:color="auto" w:fill="FFFFFF"/>
        </w:rPr>
        <w:t>2020年度一般公共预算财政拨款支出14,589.46万元，占本年支出合计的79.90%。与2019年相比，一般公共预算财政拨款支出增加3,692.36万元，增长33.88%。主要原因是：</w:t>
      </w:r>
      <w:r>
        <w:rPr>
          <w:rFonts w:hint="eastAsia" w:ascii="仿宋" w:hAnsi="仿宋" w:eastAsia="仿宋" w:cs="Arial"/>
          <w:sz w:val="32"/>
          <w:szCs w:val="32"/>
        </w:rPr>
        <w:t>部分2019年安排在政府性基金预算拨款支出科目的项目，2020年安排到一般公共预算财政拨款支出科目。</w:t>
      </w:r>
    </w:p>
    <w:p>
      <w:pPr>
        <w:widowControl/>
        <w:spacing w:line="600" w:lineRule="atLeast"/>
        <w:ind w:right="76" w:firstLine="640"/>
      </w:pPr>
      <w:r>
        <w:rPr>
          <w:rStyle w:val="9"/>
          <w:rFonts w:hint="eastAsia" w:ascii="仿宋" w:hAnsi="仿宋" w:eastAsia="仿宋" w:cs="Arial"/>
          <w:kern w:val="0"/>
          <w:sz w:val="32"/>
          <w:szCs w:val="32"/>
          <w:shd w:val="clear" w:color="auto" w:fill="FFFFFF"/>
        </w:rPr>
        <w:t>2.一般公共预算财政拨款支出决算结构情况。</w:t>
      </w:r>
    </w:p>
    <w:p>
      <w:pPr>
        <w:widowControl/>
        <w:spacing w:line="600" w:lineRule="atLeast"/>
        <w:ind w:right="76" w:firstLine="640"/>
      </w:pPr>
      <w:r>
        <w:rPr>
          <w:rFonts w:hint="eastAsia" w:ascii="仿宋" w:hAnsi="仿宋" w:eastAsia="仿宋" w:cs="Arial"/>
          <w:kern w:val="0"/>
          <w:sz w:val="32"/>
          <w:szCs w:val="32"/>
          <w:shd w:val="clear" w:color="auto" w:fill="FFFFFF"/>
        </w:rPr>
        <w:t>2020年度一般公共预算财政拨款支出14,589.46万元，主要用于以下方面：一般公共服务（类）支出639.48万元，占4.38%；国防（类）支出0万元,占0%；公共安全（类）支出0万元,占0%；教育（类）支出0万元,占0%；科学技术（类）支出0万元,占0%；文化旅游体育与传媒（类）支出0万元,占0%；社会保障和就业（类）支出431.48万元,占2.96%；卫生健康（类）支出0万元,占0%；节能环保（类）支出1,085.75万元,占7.44%；城乡社区（类）支出12,432.75万元,占85.22%；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widowControl/>
        <w:spacing w:line="600" w:lineRule="atLeast"/>
        <w:ind w:right="76" w:firstLine="640"/>
      </w:pPr>
      <w:r>
        <w:rPr>
          <w:rStyle w:val="9"/>
          <w:rFonts w:hint="eastAsia" w:ascii="仿宋" w:hAnsi="仿宋" w:eastAsia="仿宋" w:cs="Arial"/>
          <w:kern w:val="0"/>
          <w:sz w:val="32"/>
          <w:szCs w:val="32"/>
          <w:shd w:val="clear" w:color="auto" w:fill="FFFFFF"/>
        </w:rPr>
        <w:t>3.一般公共预算财政拨款支出决算具体情况。</w:t>
      </w:r>
    </w:p>
    <w:p>
      <w:pPr>
        <w:widowControl/>
        <w:spacing w:line="600" w:lineRule="atLeast"/>
        <w:ind w:right="76" w:firstLine="640"/>
      </w:pPr>
      <w:r>
        <w:rPr>
          <w:rFonts w:hint="eastAsia" w:ascii="仿宋" w:hAnsi="仿宋" w:eastAsia="仿宋" w:cs="Arial"/>
          <w:kern w:val="0"/>
          <w:sz w:val="32"/>
          <w:szCs w:val="32"/>
          <w:shd w:val="clear" w:color="auto" w:fill="FFFFFF"/>
        </w:rPr>
        <w:t>2020年度一般公共预算财政拨款支出年初预算为15123.79万元（包含政府债券提前告知4000万元），支出决算为14,589.46万元,完成年初预算的96.47%，决算数同年初预算数基本一致，是因为严格执行年初预算的计划安排。其中：</w:t>
      </w:r>
    </w:p>
    <w:p>
      <w:pPr>
        <w:snapToGrid w:val="0"/>
        <w:spacing w:line="600" w:lineRule="atLeast"/>
        <w:ind w:firstLine="640"/>
        <w:rPr>
          <w:rFonts w:ascii="仿宋" w:hAnsi="仿宋" w:eastAsia="仿宋" w:cs="Arial"/>
          <w:sz w:val="32"/>
          <w:szCs w:val="32"/>
        </w:rPr>
      </w:pPr>
      <w:r>
        <w:rPr>
          <w:rFonts w:hint="eastAsia" w:ascii="仿宋" w:hAnsi="仿宋" w:eastAsia="仿宋"/>
          <w:sz w:val="32"/>
          <w:szCs w:val="32"/>
          <w:shd w:val="clear" w:color="auto" w:fill="FFFFFF"/>
        </w:rPr>
        <w:t>一般公共服务支出（类）其他一般公共服务支出（款）其他一般公共服务支出（项）。2020年年初预算为0万元，2020年决算为639.48万元，决算数大于预算数的主要原因年初预算未安排其他一般公共服务支出，年中追加三项奖金经费。</w:t>
      </w:r>
    </w:p>
    <w:p>
      <w:pPr>
        <w:snapToGrid w:val="0"/>
        <w:spacing w:line="600" w:lineRule="atLeast"/>
        <w:ind w:firstLine="640"/>
      </w:pPr>
      <w:r>
        <w:rPr>
          <w:rFonts w:hint="eastAsia" w:ascii="仿宋" w:hAnsi="仿宋" w:eastAsia="仿宋"/>
          <w:sz w:val="32"/>
          <w:szCs w:val="32"/>
          <w:shd w:val="clear" w:color="auto" w:fill="FFFFFF"/>
        </w:rPr>
        <w:t>社会保障和就业支出（类）行政事业单位离退休（款）机关事业单位基本养老保险缴费支出（项）。2020年年初预算为288.17万元，2020年决算为287.65万元，完成年初预算的99.82%。</w:t>
      </w:r>
      <w:r>
        <w:rPr>
          <w:rFonts w:hint="eastAsia" w:ascii="仿宋" w:hAnsi="仿宋" w:eastAsia="仿宋" w:cs="Arial"/>
          <w:kern w:val="0"/>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napToGrid w:val="0"/>
        <w:spacing w:line="600" w:lineRule="atLeast"/>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社会保障和就业支出（类）行政事业单位离退休（款）机关事业单位职业年金缴费支出（项）。2020年年初预算为143.89万元，2020年决算为143.83万元，完成年初预算的99.96%。</w:t>
      </w:r>
      <w:r>
        <w:rPr>
          <w:rFonts w:hint="eastAsia" w:ascii="仿宋" w:hAnsi="仿宋" w:eastAsia="仿宋" w:cs="Arial"/>
          <w:kern w:val="0"/>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节能环保支出（类）其他节能环保支出（款）其他节能环保支出（项）。2020年年初预算为1500万元，2020年决算为1085.75万元，完成年初预算的72.38%。决算数小于预算数的主要原因是年中</w:t>
      </w:r>
      <w:r>
        <w:rPr>
          <w:rFonts w:hint="eastAsia" w:ascii="仿宋" w:hAnsi="仿宋" w:eastAsia="仿宋" w:cs="仿宋_GB2312"/>
          <w:sz w:val="32"/>
          <w:szCs w:val="32"/>
        </w:rPr>
        <w:t>核减松寨垃圾填埋场污染治理工程资金补助等项目400余万元</w:t>
      </w:r>
      <w:r>
        <w:rPr>
          <w:rFonts w:hint="eastAsia" w:ascii="仿宋" w:hAnsi="仿宋" w:eastAsia="仿宋"/>
          <w:sz w:val="32"/>
          <w:szCs w:val="32"/>
          <w:shd w:val="clear" w:color="auto" w:fill="FFFFFF"/>
        </w:rPr>
        <w:t>。</w:t>
      </w:r>
    </w:p>
    <w:p>
      <w:pPr>
        <w:snapToGrid w:val="0"/>
        <w:spacing w:line="600" w:lineRule="atLeast"/>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城乡社区支出（类）城乡社区管理事务（款）行政运行（项）。2020年年初预算为3924.61万元，2020年决算为3889.99万元，完成年初预算的99.12%。</w:t>
      </w:r>
      <w:r>
        <w:rPr>
          <w:rFonts w:hint="eastAsia" w:ascii="仿宋" w:hAnsi="仿宋" w:eastAsia="仿宋" w:cs="Arial"/>
          <w:kern w:val="0"/>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管理事务（款）城管执法（项）。2020年年初预算为2264.05万元，2020年决算为2087.36万元，完成年初预算的92.19%。决算数小于预算数的主要原因是办公楼整修工程项目和数字城管运行经费项目因验收等原因执行率偏低</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城乡社区支出（类）城乡社区管理事务（款）其他城乡社区管理事务（项）。2020年年初预算为3003.06万元，2020年决算为2455.4万元，完成年初预算的81.76%。决算数小于预算数的主要原因是</w:t>
      </w:r>
      <w:r>
        <w:rPr>
          <w:rFonts w:hint="eastAsia" w:ascii="仿宋" w:hAnsi="仿宋" w:eastAsia="仿宋"/>
          <w:sz w:val="32"/>
          <w:szCs w:val="32"/>
        </w:rPr>
        <w:t>垃圾焚烧发电和渗滤液处理第三方监管项目未实施。</w:t>
      </w:r>
    </w:p>
    <w:p>
      <w:pPr>
        <w:snapToGrid w:val="0"/>
        <w:spacing w:line="600" w:lineRule="atLeast"/>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城乡社区支出（类）城乡社区公共设施（款）其他城乡社区公共设施支出（项）。2020年年初预算为4000万元，2020年决算为4000万元。</w:t>
      </w:r>
      <w:r>
        <w:rPr>
          <w:rFonts w:hint="eastAsia" w:ascii="仿宋" w:hAnsi="仿宋" w:eastAsia="仿宋" w:cs="Arial"/>
          <w:kern w:val="0"/>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widowControl/>
        <w:spacing w:line="600" w:lineRule="atLeast"/>
        <w:ind w:right="76" w:firstLine="640"/>
      </w:pPr>
      <w:r>
        <w:rPr>
          <w:rStyle w:val="9"/>
          <w:rFonts w:hint="eastAsia" w:ascii="楷体" w:hAnsi="楷体" w:eastAsia="楷体" w:cs="Arial"/>
          <w:kern w:val="0"/>
          <w:sz w:val="32"/>
          <w:szCs w:val="32"/>
          <w:shd w:val="clear" w:color="auto" w:fill="FFFFFF"/>
        </w:rPr>
        <w:t>（六）一般公共预算财政拨款基本支出决算情况说明</w:t>
      </w:r>
    </w:p>
    <w:p>
      <w:pPr>
        <w:widowControl/>
        <w:spacing w:line="600" w:lineRule="atLeast"/>
        <w:ind w:right="76" w:firstLine="640"/>
      </w:pPr>
      <w:r>
        <w:rPr>
          <w:rFonts w:hint="eastAsia" w:ascii="仿宋" w:hAnsi="仿宋" w:eastAsia="仿宋" w:cs="Arial"/>
          <w:kern w:val="0"/>
          <w:sz w:val="32"/>
          <w:szCs w:val="32"/>
          <w:shd w:val="clear" w:color="auto" w:fill="FFFFFF"/>
        </w:rPr>
        <w:t>2020年度一般公共预算财政拨款基本支出5,367.74万元，其中：</w:t>
      </w:r>
    </w:p>
    <w:p>
      <w:pPr>
        <w:spacing w:line="600" w:lineRule="atLeast"/>
        <w:ind w:firstLine="640"/>
        <w:rPr>
          <w:rFonts w:ascii="仿宋" w:hAnsi="仿宋" w:eastAsia="仿宋"/>
        </w:rPr>
      </w:pPr>
      <w:r>
        <w:rPr>
          <w:rFonts w:hint="eastAsia" w:ascii="仿宋" w:hAnsi="仿宋" w:eastAsia="仿宋" w:cs="Arial"/>
          <w:kern w:val="0"/>
          <w:sz w:val="32"/>
          <w:szCs w:val="32"/>
          <w:shd w:val="clear" w:color="auto" w:fill="FFFFFF"/>
        </w:rPr>
        <w:t>人员经费4,758.39万元，主要包括：</w:t>
      </w:r>
      <w:r>
        <w:rPr>
          <w:rFonts w:ascii="仿宋" w:hAnsi="仿宋" w:eastAsia="仿宋" w:cs="Arial"/>
          <w:sz w:val="32"/>
          <w:szCs w:val="32"/>
        </w:rPr>
        <w:t>基本工资、津贴补贴、奖金、绩效工资、机关事业单位基本养老保险缴费、职业年金缴费、职工基本医疗保险缴费、公务员医疗补助缴费、其他社会保障缴费、住房公积金、医疗费、其他工资福利支出、离休费、抚恤金、生活补助、医疗费补助、奖励金、其他对个人和家庭的补助；</w:t>
      </w:r>
    </w:p>
    <w:p>
      <w:pPr>
        <w:spacing w:line="600" w:lineRule="atLeast"/>
        <w:ind w:firstLine="640"/>
        <w:rPr>
          <w:rFonts w:ascii="仿宋" w:hAnsi="仿宋" w:eastAsia="仿宋"/>
        </w:rPr>
      </w:pPr>
      <w:r>
        <w:rPr>
          <w:rFonts w:hint="eastAsia" w:ascii="仿宋" w:hAnsi="仿宋" w:eastAsia="仿宋" w:cs="Arial"/>
          <w:kern w:val="0"/>
          <w:sz w:val="32"/>
          <w:szCs w:val="32"/>
          <w:shd w:val="clear" w:color="auto" w:fill="FFFFFF"/>
        </w:rPr>
        <w:t>公用经费609.35万元，主要包括：</w:t>
      </w:r>
      <w:r>
        <w:rPr>
          <w:rFonts w:ascii="仿宋" w:hAnsi="仿宋" w:eastAsia="仿宋" w:cs="Arial"/>
          <w:sz w:val="32"/>
          <w:szCs w:val="32"/>
        </w:rPr>
        <w:t>办公费、印刷费、电费、邮电费、差旅费、因公出国（境）费用、租赁费、培训费、会议费、公务接待费、劳务费、委托业务费、工会经费、福利费、其他交通费用、其他商品和服务支出、办公设备购置、专用设备购置。</w:t>
      </w:r>
    </w:p>
    <w:p>
      <w:pPr>
        <w:widowControl/>
        <w:spacing w:line="600" w:lineRule="atLeast"/>
        <w:ind w:right="76" w:firstLine="640"/>
      </w:pPr>
      <w:r>
        <w:rPr>
          <w:rStyle w:val="9"/>
          <w:rFonts w:hint="eastAsia" w:ascii="楷体" w:hAnsi="楷体" w:eastAsia="楷体" w:cs="Arial"/>
          <w:kern w:val="0"/>
          <w:sz w:val="32"/>
          <w:szCs w:val="32"/>
          <w:shd w:val="clear" w:color="auto" w:fill="FFFFFF"/>
        </w:rPr>
        <w:t>（七）政府性基金预算财政拨款支出决算总体情况</w:t>
      </w:r>
    </w:p>
    <w:p>
      <w:pPr>
        <w:widowControl/>
        <w:spacing w:line="600" w:lineRule="atLeast"/>
        <w:ind w:right="76" w:firstLine="640"/>
      </w:pPr>
      <w:r>
        <w:rPr>
          <w:rStyle w:val="9"/>
          <w:rFonts w:hint="eastAsia" w:ascii="仿宋" w:hAnsi="仿宋" w:eastAsia="仿宋" w:cs="Arial"/>
          <w:kern w:val="0"/>
          <w:sz w:val="32"/>
          <w:szCs w:val="32"/>
          <w:shd w:val="clear" w:color="auto" w:fill="FFFFFF"/>
        </w:rPr>
        <w:t>1.政府性基金预算财政拨款支出决算总体情况。</w:t>
      </w:r>
    </w:p>
    <w:p>
      <w:pPr>
        <w:widowControl/>
        <w:spacing w:line="600" w:lineRule="atLeast"/>
        <w:ind w:right="76" w:firstLine="640"/>
      </w:pPr>
      <w:r>
        <w:rPr>
          <w:rFonts w:hint="eastAsia" w:ascii="仿宋" w:hAnsi="仿宋" w:eastAsia="仿宋" w:cs="Arial"/>
          <w:kern w:val="0"/>
          <w:sz w:val="32"/>
          <w:szCs w:val="32"/>
          <w:shd w:val="clear" w:color="auto" w:fill="FFFFFF"/>
        </w:rPr>
        <w:t>2020年度政府性基金预算财政拨款支出3,671.00万元，占本年支出合计的20.10%。与2019年相比，政府性基金预算财政拨款支出减少5,269.98万元，下降58.94%。主要原因是：</w:t>
      </w:r>
      <w:r>
        <w:rPr>
          <w:rFonts w:hint="eastAsia" w:ascii="仿宋" w:hAnsi="仿宋" w:eastAsia="仿宋" w:cs="Arial"/>
          <w:sz w:val="32"/>
          <w:szCs w:val="32"/>
        </w:rPr>
        <w:t>部分2019年安排在政府性基金预算拨款支出科目的项目，2020年安排到一般公共预算财政拨款支出科目</w:t>
      </w:r>
      <w:r>
        <w:rPr>
          <w:rFonts w:hint="eastAsia" w:ascii="仿宋" w:hAnsi="仿宋" w:eastAsia="仿宋" w:cs="Arial"/>
          <w:kern w:val="0"/>
          <w:sz w:val="32"/>
          <w:szCs w:val="32"/>
          <w:shd w:val="clear" w:color="auto" w:fill="FFFFFF"/>
        </w:rPr>
        <w:t>。</w:t>
      </w:r>
    </w:p>
    <w:p>
      <w:pPr>
        <w:widowControl/>
        <w:spacing w:line="600" w:lineRule="atLeast"/>
        <w:ind w:right="76" w:firstLine="640"/>
      </w:pPr>
      <w:r>
        <w:rPr>
          <w:rStyle w:val="9"/>
          <w:rFonts w:hint="eastAsia" w:ascii="仿宋" w:hAnsi="仿宋" w:eastAsia="仿宋" w:cs="Arial"/>
          <w:kern w:val="0"/>
          <w:sz w:val="32"/>
          <w:szCs w:val="32"/>
          <w:shd w:val="clear" w:color="auto" w:fill="FFFFFF"/>
        </w:rPr>
        <w:t>2.政府性基金预算财政拨款支出决算结构情况。</w:t>
      </w:r>
    </w:p>
    <w:p>
      <w:pPr>
        <w:widowControl/>
        <w:spacing w:line="600" w:lineRule="atLeast"/>
        <w:ind w:right="76" w:firstLine="640"/>
      </w:pPr>
      <w:r>
        <w:rPr>
          <w:rFonts w:hint="eastAsia" w:ascii="仿宋" w:hAnsi="仿宋" w:eastAsia="仿宋" w:cs="Arial"/>
          <w:kern w:val="0"/>
          <w:sz w:val="32"/>
          <w:szCs w:val="32"/>
          <w:shd w:val="clear" w:color="auto" w:fill="FFFFFF"/>
        </w:rPr>
        <w:t>2020年度政府性基金预算财政拨款支出3,671.00万元，主要用于以下方面：科学技术（类）支出0万元,占0%；文化旅游体育与传媒（类）支出0万元,占0%；社会保障和就业（类）支出0万元,占0%；节能环保（类）支出0万元,占0%；城乡社区（类）支出3,671.00万元,占100.00%；农林水（类）支出0万元,占0%；交通运输（类）支出0万元,占0%；资源勘探信息等（类）支出0万元,占0%；金融（类）支出0万元,占0%；其他（类）支出0万元,占0%；债务付息（类）支出0万元,占0%；抗疫特别国债安排（类）支出0万元,占0%。</w:t>
      </w:r>
    </w:p>
    <w:p>
      <w:pPr>
        <w:widowControl/>
        <w:numPr>
          <w:ilvl w:val="0"/>
          <w:numId w:val="3"/>
        </w:numPr>
        <w:spacing w:line="600" w:lineRule="atLeast"/>
        <w:ind w:right="76" w:firstLine="640"/>
        <w:rPr>
          <w:rStyle w:val="9"/>
          <w:rFonts w:ascii="仿宋" w:hAnsi="仿宋" w:eastAsia="仿宋" w:cs="Arial"/>
          <w:kern w:val="0"/>
          <w:sz w:val="32"/>
          <w:szCs w:val="32"/>
          <w:shd w:val="clear" w:color="auto" w:fill="FFFFFF"/>
        </w:rPr>
      </w:pPr>
      <w:r>
        <w:rPr>
          <w:rStyle w:val="9"/>
          <w:rFonts w:hint="eastAsia" w:ascii="仿宋" w:hAnsi="仿宋" w:eastAsia="仿宋" w:cs="Arial"/>
          <w:kern w:val="0"/>
          <w:sz w:val="32"/>
          <w:szCs w:val="32"/>
          <w:shd w:val="clear" w:color="auto" w:fill="FFFFFF"/>
        </w:rPr>
        <w:t>政府性基金预算财政拨款支出决算具体情况。</w:t>
      </w:r>
    </w:p>
    <w:p>
      <w:pPr>
        <w:widowControl/>
        <w:spacing w:line="600" w:lineRule="atLeast"/>
        <w:ind w:right="76" w:firstLine="640" w:firstLineChars="200"/>
      </w:pPr>
      <w:r>
        <w:rPr>
          <w:rFonts w:hint="eastAsia" w:ascii="仿宋" w:hAnsi="仿宋" w:eastAsia="仿宋" w:cs="Arial"/>
          <w:kern w:val="0"/>
          <w:sz w:val="32"/>
          <w:szCs w:val="32"/>
          <w:shd w:val="clear" w:color="auto" w:fill="FFFFFF"/>
        </w:rPr>
        <w:t>2020年度政府性基金预算财政拨款支出年初预算为3300万元，支出决算为3,671.00万元,完成年初预算的111.24%，主要原因是年中追加了松寨垃圾填埋场污染治理工程资金补助300多万元。其中：</w:t>
      </w:r>
    </w:p>
    <w:p>
      <w:pPr>
        <w:snapToGrid w:val="0"/>
        <w:spacing w:line="600" w:lineRule="atLeast"/>
        <w:ind w:firstLine="64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城乡社区支出（类）国有土地使用权出让收入及对应债务收入安排的支出（款）其他国有土地使用权出让收入安排的支出（项）。2020年年初预算为1000万元，2020年支出决算为1000万元，完成年初预算的100%，</w:t>
      </w:r>
      <w:r>
        <w:rPr>
          <w:rFonts w:hint="eastAsia" w:ascii="仿宋" w:hAnsi="仿宋" w:eastAsia="仿宋" w:cs="Arial"/>
          <w:kern w:val="0"/>
          <w:sz w:val="32"/>
          <w:szCs w:val="32"/>
          <w:shd w:val="clear" w:color="auto" w:fill="FFFFFF"/>
        </w:rPr>
        <w:t>决算数同年初预算数基本一致，是因为严格执行年初预算的计划安排</w:t>
      </w:r>
      <w:r>
        <w:rPr>
          <w:rFonts w:hint="eastAsia" w:ascii="仿宋" w:hAnsi="仿宋" w:eastAsia="仿宋"/>
          <w:sz w:val="32"/>
          <w:szCs w:val="32"/>
        </w:rPr>
        <w:t>。</w:t>
      </w:r>
    </w:p>
    <w:p>
      <w:pPr>
        <w:shd w:val="clear" w:color="auto" w:fill="FFFFFF"/>
        <w:snapToGrid w:val="0"/>
        <w:spacing w:line="600" w:lineRule="atLeas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城乡社区支出（类）城市基础设施配套费安排的支出（款）城市环境卫生（项）。2020年年初预算为2300万元，2020年决算为2671万元，决算数大于预算数的主要原因是：</w:t>
      </w:r>
      <w:r>
        <w:rPr>
          <w:rFonts w:hint="eastAsia" w:ascii="仿宋" w:hAnsi="仿宋" w:eastAsia="仿宋" w:cs="Arial"/>
          <w:kern w:val="0"/>
          <w:sz w:val="32"/>
          <w:szCs w:val="32"/>
          <w:shd w:val="clear" w:color="auto" w:fill="FFFFFF"/>
        </w:rPr>
        <w:t>年中追加了松寨垃圾填埋场污染治理工程资金补助300多万元</w:t>
      </w:r>
      <w:r>
        <w:rPr>
          <w:rFonts w:hint="eastAsia" w:ascii="仿宋" w:hAnsi="仿宋" w:eastAsia="仿宋"/>
          <w:sz w:val="32"/>
          <w:szCs w:val="32"/>
          <w:shd w:val="clear" w:color="auto" w:fill="FFFFFF"/>
        </w:rPr>
        <w:t>。</w:t>
      </w:r>
    </w:p>
    <w:p>
      <w:pPr>
        <w:widowControl/>
        <w:spacing w:line="600" w:lineRule="atLeast"/>
        <w:ind w:right="76"/>
        <w:rPr>
          <w:rStyle w:val="9"/>
          <w:rFonts w:ascii="楷体" w:hAnsi="楷体" w:eastAsia="楷体" w:cs="Arial"/>
          <w:b w:val="0"/>
          <w:bCs/>
          <w:kern w:val="0"/>
          <w:sz w:val="32"/>
          <w:szCs w:val="32"/>
          <w:shd w:val="clear" w:color="auto" w:fill="FFFFFF"/>
        </w:rPr>
      </w:pPr>
      <w:r>
        <w:rPr>
          <w:rStyle w:val="9"/>
          <w:rFonts w:hint="eastAsia" w:ascii="楷体" w:hAnsi="楷体" w:eastAsia="楷体" w:cs="Arial"/>
          <w:kern w:val="0"/>
          <w:sz w:val="32"/>
          <w:szCs w:val="32"/>
          <w:shd w:val="clear" w:color="auto" w:fill="FFFFFF"/>
        </w:rPr>
        <w:t xml:space="preserve">（八）国有资本经营预算财政拨款支出决算总体情况        </w:t>
      </w:r>
      <w:r>
        <w:rPr>
          <w:rStyle w:val="9"/>
          <w:rFonts w:hint="eastAsia" w:ascii="楷体" w:hAnsi="楷体" w:eastAsia="楷体" w:cs="Arial"/>
          <w:b w:val="0"/>
          <w:bCs/>
          <w:kern w:val="0"/>
          <w:sz w:val="32"/>
          <w:szCs w:val="32"/>
          <w:shd w:val="clear" w:color="auto" w:fill="FFFFFF"/>
        </w:rPr>
        <w:t>本部门2020年度无国有资本经营预算财政拨款收支安排，故无相关数据。</w:t>
      </w:r>
    </w:p>
    <w:p>
      <w:pPr>
        <w:widowControl/>
        <w:spacing w:line="600" w:lineRule="atLeast"/>
        <w:ind w:right="76" w:firstLine="640"/>
      </w:pPr>
      <w:r>
        <w:rPr>
          <w:rStyle w:val="9"/>
          <w:rFonts w:hint="eastAsia" w:ascii="楷体" w:hAnsi="楷体" w:eastAsia="楷体" w:cs="Arial"/>
          <w:kern w:val="0"/>
          <w:sz w:val="32"/>
          <w:szCs w:val="32"/>
          <w:shd w:val="clear" w:color="auto" w:fill="FFFFFF"/>
        </w:rPr>
        <w:t>（九）一般公共预算财政拨款“三公”经费支出决算情况说明</w:t>
      </w:r>
    </w:p>
    <w:p>
      <w:pPr>
        <w:widowControl/>
        <w:spacing w:line="600" w:lineRule="atLeast"/>
        <w:ind w:right="76" w:firstLine="640"/>
      </w:pPr>
      <w:r>
        <w:rPr>
          <w:rStyle w:val="9"/>
          <w:rFonts w:hint="eastAsia" w:ascii="仿宋" w:hAnsi="仿宋" w:eastAsia="仿宋" w:cs="Arial"/>
          <w:kern w:val="0"/>
          <w:sz w:val="32"/>
          <w:szCs w:val="32"/>
          <w:shd w:val="clear" w:color="auto" w:fill="FFFFFF"/>
        </w:rPr>
        <w:t>1.“三公”经费一般公共预算财政拨款支出决算总体情况说明。</w:t>
      </w:r>
    </w:p>
    <w:p>
      <w:pPr>
        <w:widowControl/>
        <w:spacing w:line="600" w:lineRule="atLeast"/>
        <w:ind w:right="76" w:firstLine="640"/>
        <w:rPr>
          <w:rFonts w:ascii="仿宋" w:hAnsi="仿宋" w:eastAsia="仿宋"/>
          <w:sz w:val="32"/>
          <w:szCs w:val="32"/>
          <w:shd w:val="clear" w:color="auto" w:fill="FFFFFF"/>
        </w:rPr>
      </w:pPr>
      <w:r>
        <w:rPr>
          <w:rFonts w:hint="eastAsia" w:ascii="仿宋" w:hAnsi="仿宋" w:eastAsia="仿宋" w:cs="Arial"/>
          <w:kern w:val="0"/>
          <w:sz w:val="32"/>
          <w:szCs w:val="32"/>
          <w:shd w:val="clear" w:color="auto" w:fill="FFFFFF"/>
        </w:rPr>
        <w:t>2020年度“三公”经费一般公共预算财政拨款支出预算为70.63万元，支出决算为43.01万元，完成预算的60.89%,2020年度“三公”经费支出决算数小于预算数的主要原因是</w:t>
      </w:r>
      <w:r>
        <w:rPr>
          <w:rFonts w:hint="eastAsia" w:ascii="仿宋" w:hAnsi="仿宋" w:eastAsia="仿宋"/>
          <w:sz w:val="32"/>
          <w:szCs w:val="32"/>
          <w:shd w:val="clear" w:color="auto" w:fill="FFFFFF"/>
        </w:rPr>
        <w:t>严控“三公”经费支出，节约财政支出。</w:t>
      </w:r>
    </w:p>
    <w:p>
      <w:pPr>
        <w:widowControl/>
        <w:spacing w:line="600" w:lineRule="atLeast"/>
        <w:ind w:right="76" w:firstLine="640"/>
      </w:pPr>
      <w:r>
        <w:rPr>
          <w:rStyle w:val="9"/>
          <w:rFonts w:hint="eastAsia" w:ascii="仿宋" w:hAnsi="仿宋" w:eastAsia="仿宋" w:cs="Arial"/>
          <w:kern w:val="0"/>
          <w:sz w:val="32"/>
          <w:szCs w:val="32"/>
          <w:shd w:val="clear" w:color="auto" w:fill="FFFFFF"/>
        </w:rPr>
        <w:t>2.“三公”经费一般公共预算财政拨款支出决算具体情况说明。</w:t>
      </w:r>
    </w:p>
    <w:p>
      <w:pPr>
        <w:widowControl/>
        <w:spacing w:line="600" w:lineRule="atLeast"/>
        <w:ind w:right="76" w:firstLine="640"/>
      </w:pPr>
      <w:r>
        <w:rPr>
          <w:rFonts w:hint="eastAsia" w:ascii="仿宋" w:hAnsi="仿宋" w:eastAsia="仿宋" w:cs="Arial"/>
          <w:kern w:val="0"/>
          <w:sz w:val="32"/>
          <w:szCs w:val="32"/>
          <w:shd w:val="clear" w:color="auto" w:fill="FFFFFF"/>
        </w:rPr>
        <w:t>2020年度“三公”经费一般公共预算财政拨款支出决算中，因公出国（境）费用支出决算为0万元，占0%，同2019年度持平,主要原因是均无出国境安排；公务用车购置及运行维护费支出决算为37.25万元，占86.61%，与2019年度相比，增加6.85万元，增长22.55%，主要原因是车辆使用年限增加，修理费用增加；公务接待费支出决算为5.76万元，占13.39%，与2019年度相比，增加2.76万元，增长92.09%，主要原因是垃圾分类全面开展，检查、调研接待次数增加。具体情况如下：</w:t>
      </w:r>
    </w:p>
    <w:p>
      <w:pPr>
        <w:widowControl/>
        <w:numPr>
          <w:ilvl w:val="0"/>
          <w:numId w:val="4"/>
        </w:numPr>
        <w:spacing w:line="600" w:lineRule="atLeast"/>
        <w:ind w:right="76" w:firstLine="640"/>
        <w:rPr>
          <w:rFonts w:ascii="仿宋" w:hAnsi="仿宋" w:eastAsia="仿宋" w:cs="Arial"/>
          <w:kern w:val="0"/>
          <w:sz w:val="32"/>
          <w:szCs w:val="32"/>
          <w:shd w:val="clear" w:color="auto" w:fill="FFFFFF"/>
        </w:rPr>
      </w:pPr>
      <w:r>
        <w:rPr>
          <w:rFonts w:hint="eastAsia" w:ascii="仿宋" w:hAnsi="仿宋" w:eastAsia="仿宋" w:cs="Arial"/>
          <w:kern w:val="0"/>
          <w:sz w:val="32"/>
          <w:szCs w:val="32"/>
          <w:shd w:val="clear" w:color="auto" w:fill="FFFFFF"/>
        </w:rPr>
        <w:t>因公出国（境）费预算数为0万元，支出决算为0万元。完成预算的0%。主要用于机关及下属预算单位人员的公务出国（境）的住宿费、国际旅费、培训费、公杂费等支出。全年使用一般公共预算财政拨款支出涉及因公出国(境)团组0个；累计0人次。</w:t>
      </w:r>
    </w:p>
    <w:p>
      <w:pPr>
        <w:shd w:val="clear" w:color="auto" w:fill="FFFFFF"/>
        <w:snapToGrid w:val="0"/>
        <w:spacing w:line="600" w:lineRule="atLeast"/>
        <w:ind w:firstLine="640"/>
      </w:pPr>
      <w:r>
        <w:rPr>
          <w:rFonts w:hint="eastAsia" w:ascii="仿宋" w:hAnsi="仿宋" w:eastAsia="仿宋" w:cs="Arial"/>
          <w:kern w:val="0"/>
          <w:sz w:val="32"/>
          <w:szCs w:val="32"/>
          <w:shd w:val="clear" w:color="auto" w:fill="FFFFFF"/>
        </w:rPr>
        <w:t>（2）公务用车购置及运行维护费预算数为51.96万元，支出决算为37.25万元，完成预算的71.69%。决算数小于预算数的主要原因是</w:t>
      </w:r>
      <w:r>
        <w:rPr>
          <w:rFonts w:hint="eastAsia" w:ascii="仿宋" w:hAnsi="仿宋" w:eastAsia="仿宋"/>
          <w:sz w:val="32"/>
          <w:szCs w:val="32"/>
          <w:shd w:val="clear" w:color="auto" w:fill="FFFFFF"/>
        </w:rPr>
        <w:t>严控“三公”支出，节约财政支出。</w:t>
      </w:r>
    </w:p>
    <w:p>
      <w:pPr>
        <w:widowControl/>
        <w:spacing w:line="600" w:lineRule="atLeast"/>
        <w:ind w:right="76" w:firstLine="640"/>
      </w:pPr>
      <w:r>
        <w:rPr>
          <w:rFonts w:hint="eastAsia" w:ascii="仿宋" w:hAnsi="仿宋" w:eastAsia="仿宋" w:cs="Arial"/>
          <w:sz w:val="32"/>
          <w:szCs w:val="32"/>
        </w:rPr>
        <w:t>公务用车购置预算数为0万元，支出决算为0万元（含购置税等附加费用），完成预算的0%。决算数等于预算数的主要原因是无公务购车计划安排。主要用于经批准购置的0辆公务用车</w:t>
      </w:r>
      <w:r>
        <w:rPr>
          <w:rFonts w:hint="eastAsia" w:ascii="仿宋" w:hAnsi="仿宋" w:eastAsia="仿宋" w:cs="Arial"/>
          <w:kern w:val="0"/>
          <w:sz w:val="32"/>
          <w:szCs w:val="32"/>
          <w:shd w:val="clear" w:color="auto" w:fill="FFFFFF"/>
        </w:rPr>
        <w:t>；</w:t>
      </w:r>
    </w:p>
    <w:p>
      <w:pPr>
        <w:shd w:val="clear" w:color="auto" w:fill="FFFFFF"/>
        <w:snapToGrid w:val="0"/>
        <w:spacing w:line="600" w:lineRule="atLeast"/>
        <w:ind w:firstLine="640"/>
      </w:pPr>
      <w:r>
        <w:rPr>
          <w:rFonts w:hint="eastAsia" w:ascii="仿宋" w:hAnsi="仿宋" w:eastAsia="仿宋" w:cs="Arial"/>
          <w:kern w:val="0"/>
          <w:sz w:val="32"/>
          <w:szCs w:val="32"/>
          <w:shd w:val="clear" w:color="auto" w:fill="FFFFFF"/>
        </w:rPr>
        <w:t>公务用车运行维护费预算数为51.96万元，支出37.25万元，完成预算的71.69%。决算数小于预算数的主要原因是</w:t>
      </w:r>
      <w:r>
        <w:rPr>
          <w:rFonts w:hint="eastAsia" w:ascii="仿宋" w:hAnsi="仿宋" w:eastAsia="仿宋"/>
          <w:sz w:val="32"/>
          <w:szCs w:val="32"/>
          <w:shd w:val="clear" w:color="auto" w:fill="FFFFFF"/>
        </w:rPr>
        <w:t>严控“三公”支出，节约财政支出。</w:t>
      </w:r>
      <w:r>
        <w:rPr>
          <w:rFonts w:hint="eastAsia" w:ascii="仿宋" w:hAnsi="仿宋" w:eastAsia="仿宋" w:cs="Arial"/>
          <w:kern w:val="0"/>
          <w:sz w:val="32"/>
          <w:szCs w:val="32"/>
          <w:shd w:val="clear" w:color="auto" w:fill="FFFFFF"/>
        </w:rPr>
        <w:t>主要用于城市管理综合执法等所需的公务用车燃料费、维修费、过路过桥费、保险费、安全奖励费用等支出；2020年度，本级及所属单位开支一般公共预算财政拨款的公务用车保有量为13辆。</w:t>
      </w:r>
    </w:p>
    <w:p>
      <w:pPr>
        <w:widowControl/>
        <w:spacing w:line="600" w:lineRule="atLeast"/>
        <w:ind w:right="76" w:firstLine="640"/>
      </w:pPr>
      <w:r>
        <w:rPr>
          <w:rFonts w:hint="eastAsia" w:ascii="仿宋" w:hAnsi="仿宋" w:eastAsia="仿宋" w:cs="Arial"/>
          <w:kern w:val="0"/>
          <w:sz w:val="32"/>
          <w:szCs w:val="32"/>
          <w:shd w:val="clear" w:color="auto" w:fill="FFFFFF"/>
        </w:rPr>
        <w:t>（3）公务接待费预算数为18.67万元，支出决算为5.76万元，完成预算的30.85%。主要用于接待等支出。决算数小于预算数的主要原因是</w:t>
      </w:r>
      <w:r>
        <w:rPr>
          <w:rFonts w:hint="eastAsia" w:ascii="仿宋" w:hAnsi="仿宋" w:eastAsia="仿宋"/>
          <w:sz w:val="32"/>
          <w:szCs w:val="32"/>
          <w:shd w:val="clear" w:color="auto" w:fill="FFFFFF"/>
        </w:rPr>
        <w:t>严控“三公”支出，节约财政支出。</w:t>
      </w:r>
      <w:r>
        <w:rPr>
          <w:rFonts w:hint="eastAsia" w:ascii="仿宋" w:hAnsi="仿宋" w:eastAsia="仿宋" w:cs="Arial"/>
          <w:kern w:val="0"/>
          <w:sz w:val="32"/>
          <w:szCs w:val="32"/>
          <w:shd w:val="clear" w:color="auto" w:fill="FFFFFF"/>
        </w:rPr>
        <w:t>全年使用一般公共预算财政拨款国内公务接待37团组，累计335人次。</w:t>
      </w:r>
    </w:p>
    <w:p>
      <w:pPr>
        <w:widowControl/>
        <w:spacing w:line="600" w:lineRule="atLeast"/>
        <w:ind w:right="76" w:firstLine="640"/>
      </w:pPr>
      <w:r>
        <w:rPr>
          <w:rFonts w:hint="eastAsia" w:ascii="仿宋" w:hAnsi="仿宋" w:eastAsia="仿宋" w:cs="Arial"/>
          <w:kern w:val="0"/>
          <w:sz w:val="32"/>
          <w:szCs w:val="32"/>
          <w:shd w:val="clear" w:color="auto" w:fill="FFFFFF"/>
        </w:rPr>
        <w:t>外宾接待支出0万元，主要用于接待外宾，0人次。</w:t>
      </w:r>
    </w:p>
    <w:p>
      <w:pPr>
        <w:widowControl/>
        <w:spacing w:line="600" w:lineRule="atLeast"/>
        <w:ind w:right="76" w:firstLine="640"/>
      </w:pPr>
      <w:r>
        <w:rPr>
          <w:rFonts w:hint="eastAsia" w:ascii="仿宋" w:hAnsi="仿宋" w:eastAsia="仿宋" w:cs="Arial"/>
          <w:kern w:val="0"/>
          <w:sz w:val="32"/>
          <w:szCs w:val="32"/>
          <w:shd w:val="clear" w:color="auto" w:fill="FFFFFF"/>
        </w:rPr>
        <w:t>其他国内公务接待支出5.76万元，主要用于公务接待等支出，接待37团组，335人次。</w:t>
      </w:r>
    </w:p>
    <w:p>
      <w:pPr>
        <w:widowControl/>
        <w:spacing w:line="600" w:lineRule="atLeast"/>
        <w:ind w:right="76" w:firstLine="640"/>
      </w:pPr>
      <w:r>
        <w:rPr>
          <w:rStyle w:val="9"/>
          <w:rFonts w:hint="eastAsia" w:ascii="楷体" w:hAnsi="楷体" w:eastAsia="楷体" w:cs="Arial"/>
          <w:kern w:val="0"/>
          <w:sz w:val="32"/>
          <w:szCs w:val="32"/>
          <w:shd w:val="clear" w:color="auto" w:fill="FFFFFF"/>
        </w:rPr>
        <w:t>（十）机关运行经费支出说明</w:t>
      </w:r>
    </w:p>
    <w:p>
      <w:pPr>
        <w:widowControl/>
        <w:spacing w:line="600" w:lineRule="atLeast"/>
        <w:ind w:right="76" w:firstLine="640"/>
      </w:pPr>
      <w:r>
        <w:rPr>
          <w:rFonts w:hint="eastAsia" w:ascii="仿宋" w:hAnsi="仿宋" w:eastAsia="仿宋" w:cs="Arial"/>
          <w:kern w:val="0"/>
          <w:sz w:val="32"/>
          <w:szCs w:val="32"/>
          <w:shd w:val="clear" w:color="auto" w:fill="FFFFFF"/>
        </w:rPr>
        <w:t>2020年度机关运行经费年初预算数为700.78万元，支出决算为609.35万元，完成年初预算的86.95%，决算数小于预算数的主要原因</w:t>
      </w:r>
      <w:r>
        <w:rPr>
          <w:rFonts w:hint="eastAsia" w:ascii="仿宋" w:hAnsi="仿宋" w:eastAsia="仿宋"/>
          <w:sz w:val="32"/>
          <w:szCs w:val="32"/>
        </w:rPr>
        <w:t>落实市委、市政府过紧日子的要求，压缩行政运行成本</w:t>
      </w:r>
      <w:r>
        <w:rPr>
          <w:rFonts w:hint="eastAsia" w:ascii="仿宋" w:hAnsi="仿宋" w:eastAsia="仿宋" w:cs="Arial"/>
          <w:kern w:val="0"/>
          <w:sz w:val="32"/>
          <w:szCs w:val="32"/>
          <w:shd w:val="clear" w:color="auto" w:fill="FFFFFF"/>
        </w:rPr>
        <w:t>；比2019年度增加20.42万元，增长3.47%，主要原因是相关预算定额标准增加。</w:t>
      </w:r>
    </w:p>
    <w:p>
      <w:pPr>
        <w:widowControl/>
        <w:spacing w:line="600" w:lineRule="atLeast"/>
        <w:ind w:right="76" w:firstLine="640"/>
      </w:pPr>
      <w:r>
        <w:rPr>
          <w:rStyle w:val="9"/>
          <w:rFonts w:hint="eastAsia" w:ascii="楷体" w:hAnsi="楷体" w:eastAsia="楷体" w:cs="Arial"/>
          <w:kern w:val="0"/>
          <w:sz w:val="32"/>
          <w:szCs w:val="32"/>
          <w:shd w:val="clear" w:color="auto" w:fill="FFFFFF"/>
        </w:rPr>
        <w:t>（十一）政府采购支出说明</w:t>
      </w:r>
    </w:p>
    <w:p>
      <w:pPr>
        <w:widowControl/>
        <w:spacing w:line="600" w:lineRule="atLeast"/>
        <w:ind w:right="76" w:firstLine="640"/>
      </w:pPr>
      <w:r>
        <w:rPr>
          <w:rFonts w:hint="eastAsia" w:ascii="仿宋" w:hAnsi="仿宋" w:eastAsia="仿宋" w:cs="Arial"/>
          <w:kern w:val="0"/>
          <w:sz w:val="32"/>
          <w:szCs w:val="32"/>
          <w:shd w:val="clear" w:color="auto" w:fill="FFFFFF"/>
        </w:rPr>
        <w:t>2020年度政府采购支出总额842.28万元，其中：政府采购货物支出88.28万元、政府采购工程支出0万元、政府采购服务支出754.00万元。授予中小企业合同金额784.98万元，占政府采购支出总额的93.20%。其中，授予小微企业合同金额0万元，占政府采购支出总额的0%。</w:t>
      </w:r>
    </w:p>
    <w:p>
      <w:pPr>
        <w:widowControl/>
        <w:spacing w:line="600" w:lineRule="atLeast"/>
        <w:ind w:right="76" w:firstLine="640"/>
      </w:pPr>
      <w:r>
        <w:rPr>
          <w:rStyle w:val="9"/>
          <w:rFonts w:hint="eastAsia" w:ascii="楷体" w:hAnsi="楷体" w:eastAsia="楷体" w:cs="Arial"/>
          <w:kern w:val="0"/>
          <w:sz w:val="32"/>
          <w:szCs w:val="32"/>
          <w:shd w:val="clear" w:color="auto" w:fill="FFFFFF"/>
        </w:rPr>
        <w:t>（十二）国有资产占有情况说明</w:t>
      </w:r>
    </w:p>
    <w:p>
      <w:pPr>
        <w:widowControl/>
        <w:spacing w:line="600" w:lineRule="atLeast"/>
        <w:ind w:right="76" w:firstLine="640"/>
      </w:pPr>
      <w:r>
        <w:rPr>
          <w:rFonts w:hint="eastAsia" w:ascii="仿宋" w:hAnsi="仿宋" w:eastAsia="仿宋" w:cs="Arial"/>
          <w:kern w:val="0"/>
          <w:sz w:val="32"/>
          <w:szCs w:val="32"/>
          <w:shd w:val="clear" w:color="auto" w:fill="FFFFFF"/>
        </w:rPr>
        <w:t xml:space="preserve">截至2020年12月31日，市综合行政执法局（本级共有车辆13辆，其中，副部（省）级及以上领导用车0辆、主要领导干部用车0辆、机要通信用车0辆、应急保障用车0辆、执法执勤用车12辆、特种专业技术用车1辆、离退休干部用车0辆、其他用车0辆；单价50万元以上通用设备0台（套），单价100万元以上专用设备0台（套）。 </w:t>
      </w:r>
    </w:p>
    <w:p>
      <w:pPr>
        <w:widowControl/>
        <w:spacing w:line="600" w:lineRule="atLeast"/>
        <w:ind w:right="76" w:firstLine="640"/>
      </w:pPr>
      <w:r>
        <w:rPr>
          <w:rStyle w:val="9"/>
          <w:rFonts w:hint="eastAsia" w:ascii="楷体" w:hAnsi="楷体" w:eastAsia="楷体" w:cs="Arial"/>
          <w:kern w:val="0"/>
          <w:sz w:val="32"/>
          <w:szCs w:val="32"/>
          <w:shd w:val="clear" w:color="auto" w:fill="FFFFFF"/>
        </w:rPr>
        <w:t>（十三）预算绩效情况说明</w:t>
      </w:r>
    </w:p>
    <w:p>
      <w:pPr>
        <w:widowControl/>
        <w:spacing w:line="600" w:lineRule="atLeast"/>
        <w:ind w:right="76" w:firstLine="640"/>
      </w:pPr>
      <w:r>
        <w:rPr>
          <w:rStyle w:val="9"/>
          <w:rFonts w:hint="eastAsia" w:ascii="仿宋" w:hAnsi="仿宋" w:eastAsia="仿宋" w:cs="Arial"/>
          <w:kern w:val="0"/>
          <w:sz w:val="32"/>
          <w:szCs w:val="32"/>
          <w:shd w:val="clear" w:color="auto" w:fill="FFFFFF"/>
        </w:rPr>
        <w:t xml:space="preserve">1.预算绩效管理工作开展情况。 </w:t>
      </w:r>
    </w:p>
    <w:p>
      <w:pPr>
        <w:widowControl/>
        <w:spacing w:line="600" w:lineRule="atLeast"/>
        <w:ind w:right="76" w:firstLine="640"/>
      </w:pPr>
      <w:r>
        <w:rPr>
          <w:rFonts w:hint="eastAsia" w:ascii="仿宋" w:hAnsi="仿宋" w:eastAsia="仿宋" w:cs="Arial"/>
          <w:kern w:val="0"/>
          <w:sz w:val="32"/>
          <w:szCs w:val="32"/>
          <w:shd w:val="clear" w:color="auto" w:fill="FFFFFF"/>
        </w:rPr>
        <w:t xml:space="preserve">根据预算绩效管理要求，市综合行政执法局（本级）组织对2020年度一般公共预算项目支出全面开展绩效自评，涉及项目26个，共涉及资金9909万元，占一般公共预算项目支出总额的100%。组织对2020年度垃圾焚烧处理费（城南）等5个政府性基金预算项目支出开展绩效自评，共涉及资金3300万元，占政府性基金预算项目支出总额的100%。 </w:t>
      </w:r>
    </w:p>
    <w:p>
      <w:pPr>
        <w:spacing w:line="600" w:lineRule="atLeast"/>
        <w:ind w:firstLine="640"/>
        <w:rPr>
          <w:rFonts w:ascii="仿宋" w:hAnsi="仿宋" w:eastAsia="仿宋"/>
        </w:rPr>
      </w:pPr>
      <w:r>
        <w:rPr>
          <w:rFonts w:ascii="仿宋" w:hAnsi="仿宋" w:eastAsia="仿宋" w:cs="Arial"/>
          <w:sz w:val="32"/>
          <w:szCs w:val="32"/>
        </w:rPr>
        <w:t>本年度未开展以部门为主的项目绩效评价，因此，无相关内容。</w:t>
      </w:r>
    </w:p>
    <w:p>
      <w:pPr>
        <w:spacing w:line="600" w:lineRule="atLeast"/>
        <w:ind w:firstLine="640"/>
        <w:rPr>
          <w:rFonts w:ascii="仿宋" w:hAnsi="仿宋" w:eastAsia="仿宋"/>
        </w:rPr>
      </w:pPr>
      <w:r>
        <w:rPr>
          <w:rFonts w:ascii="仿宋" w:hAnsi="仿宋" w:eastAsia="仿宋" w:cs="Arial"/>
          <w:sz w:val="32"/>
          <w:szCs w:val="32"/>
        </w:rPr>
        <w:t>本年度未开展整体支出绩效评价，因此，无相关内容。</w:t>
      </w:r>
    </w:p>
    <w:p>
      <w:pPr>
        <w:widowControl/>
        <w:spacing w:line="600" w:lineRule="atLeast"/>
        <w:ind w:right="76" w:firstLine="640"/>
        <w:rPr>
          <w:rFonts w:ascii="仿宋" w:hAnsi="仿宋" w:eastAsia="仿宋"/>
        </w:rPr>
      </w:pPr>
      <w:r>
        <w:rPr>
          <w:rFonts w:hint="eastAsia" w:ascii="仿宋" w:hAnsi="仿宋" w:eastAsia="仿宋" w:cs="Arial"/>
          <w:kern w:val="0"/>
          <w:sz w:val="32"/>
          <w:szCs w:val="32"/>
          <w:shd w:val="clear" w:color="auto" w:fill="FFFFFF"/>
        </w:rPr>
        <w:t>本年无下属部门或单位整体支出绩效评价，</w:t>
      </w:r>
      <w:r>
        <w:rPr>
          <w:rFonts w:ascii="仿宋" w:hAnsi="仿宋" w:eastAsia="仿宋" w:cs="Arial"/>
          <w:sz w:val="32"/>
          <w:szCs w:val="32"/>
        </w:rPr>
        <w:t>因此，无相关内容</w:t>
      </w:r>
      <w:r>
        <w:rPr>
          <w:rFonts w:hint="eastAsia" w:ascii="仿宋" w:hAnsi="仿宋" w:eastAsia="仿宋" w:cs="Arial"/>
          <w:kern w:val="0"/>
          <w:sz w:val="32"/>
          <w:szCs w:val="32"/>
          <w:shd w:val="clear" w:color="auto" w:fill="FFFFFF"/>
        </w:rPr>
        <w:t>。</w:t>
      </w:r>
    </w:p>
    <w:p>
      <w:pPr>
        <w:widowControl/>
        <w:spacing w:line="600" w:lineRule="atLeast"/>
        <w:ind w:right="76" w:firstLine="640"/>
      </w:pPr>
      <w:r>
        <w:rPr>
          <w:rStyle w:val="9"/>
          <w:rFonts w:hint="eastAsia" w:ascii="仿宋" w:hAnsi="仿宋" w:eastAsia="仿宋" w:cs="Arial"/>
          <w:kern w:val="0"/>
          <w:sz w:val="32"/>
          <w:szCs w:val="32"/>
          <w:shd w:val="clear" w:color="auto" w:fill="FFFFFF"/>
        </w:rPr>
        <w:t>2.部门决算中项目绩效自评结果</w:t>
      </w:r>
      <w:r>
        <w:rPr>
          <w:rFonts w:hint="eastAsia" w:ascii="仿宋" w:hAnsi="仿宋" w:eastAsia="仿宋" w:cs="Arial"/>
          <w:kern w:val="0"/>
          <w:sz w:val="32"/>
          <w:szCs w:val="32"/>
          <w:shd w:val="clear" w:color="auto" w:fill="FFFFFF"/>
        </w:rPr>
        <w:t>。</w:t>
      </w:r>
    </w:p>
    <w:p>
      <w:pPr>
        <w:spacing w:line="600" w:lineRule="atLeast"/>
        <w:ind w:firstLine="640" w:firstLineChars="200"/>
      </w:pPr>
      <w:r>
        <w:rPr>
          <w:rFonts w:hint="eastAsia" w:ascii="仿宋" w:hAnsi="仿宋" w:eastAsia="仿宋" w:cs="Arial"/>
          <w:sz w:val="32"/>
          <w:szCs w:val="32"/>
        </w:rPr>
        <w:t>市综合行政执法局（本级）在2020年度部门决算中反映城区道路停车泊位经费及垃圾焚烧处理费（东部）项目绩效自评结果。</w:t>
      </w:r>
    </w:p>
    <w:p>
      <w:pPr>
        <w:spacing w:line="600" w:lineRule="atLeast"/>
        <w:ind w:firstLine="640"/>
        <w:rPr>
          <w:rFonts w:ascii="仿宋" w:hAnsi="仿宋" w:eastAsia="仿宋" w:cs="Arial"/>
          <w:sz w:val="32"/>
          <w:szCs w:val="32"/>
        </w:rPr>
      </w:pPr>
      <w:r>
        <w:rPr>
          <w:rFonts w:hint="eastAsia" w:ascii="仿宋" w:hAnsi="仿宋" w:eastAsia="仿宋" w:cs="Arial"/>
          <w:sz w:val="32"/>
          <w:szCs w:val="32"/>
        </w:rPr>
        <w:t>城区道路停车泊位经费项目绩效自评综述：根据年初设定的绩效目标，项目自评得分92分，自评结论为“优”。项目全年预算数为580万元，执行数为521.79万元，完成预算的89.96%。项目绩效目标完成情况：一是及时了解及发现城区交通拥堵情况，实行差异化收费，缓解城区停车难及交通拥堵问题。二是通过泊车收费管理，变无偿为有偿，客观上刺激了停车者的短时停车行为，提高了路内停车的周转率，使城区的停车位建设和管理步入良性循环，发挥其最佳的效益。三是将智能咪表泊车创新技术运用到城区道路停车泊位的运行中去，创新互联网加智能咪表停车模式，扎实推进城区交通治堵体系的系统化和规范化，不断增强社会效益和经济效益，为人民谋福利。发现的问题及原因：个别子项目的完成率有所下降。下一步改进的措施：由于咪表管理职能已经转入基投集团，下一年度将加强人行道抄告工作的管理，严格制定抄告数量的准确性和质量的完整性，高标准完成工作。</w:t>
      </w:r>
    </w:p>
    <w:tbl>
      <w:tblPr>
        <w:tblStyle w:val="7"/>
        <w:tblW w:w="903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zCs w:val="21"/>
              </w:rPr>
            </w:pPr>
            <w:r>
              <w:rPr>
                <w:rFonts w:hint="eastAsia" w:cs="仿宋_GB2312"/>
                <w:szCs w:val="21"/>
              </w:rPr>
              <w:t>项目</w:t>
            </w:r>
          </w:p>
          <w:p>
            <w:pPr>
              <w:adjustRightInd w:val="0"/>
              <w:snapToGrid w:val="0"/>
              <w:jc w:val="center"/>
              <w:rPr>
                <w:rFonts w:cs="仿宋_GB2312"/>
                <w:szCs w:val="21"/>
              </w:rPr>
            </w:pPr>
            <w:r>
              <w:rPr>
                <w:rFonts w:hint="eastAsia" w:cs="仿宋_GB2312"/>
                <w:szCs w:val="21"/>
              </w:rPr>
              <w:t>名称</w:t>
            </w:r>
          </w:p>
        </w:tc>
        <w:tc>
          <w:tcPr>
            <w:tcW w:w="8086" w:type="dxa"/>
            <w:gridSpan w:val="11"/>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rPr>
              <w:t>城区道路停车泊位运行经费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主管</w:t>
            </w:r>
          </w:p>
          <w:p>
            <w:pPr>
              <w:adjustRightInd w:val="0"/>
              <w:snapToGrid w:val="0"/>
              <w:jc w:val="center"/>
              <w:rPr>
                <w:rFonts w:cs="仿宋_GB2312"/>
                <w:spacing w:val="7"/>
                <w:szCs w:val="21"/>
              </w:rPr>
            </w:pPr>
            <w:r>
              <w:rPr>
                <w:rFonts w:hint="eastAsia" w:cs="仿宋_GB2312"/>
                <w:spacing w:val="7"/>
                <w:szCs w:val="21"/>
              </w:rPr>
              <w:t>部门</w:t>
            </w: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rPr>
              <w:t>温岭市综合行政执法局</w:t>
            </w: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实施单位</w:t>
            </w:r>
          </w:p>
        </w:tc>
        <w:tc>
          <w:tcPr>
            <w:tcW w:w="2686"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rPr>
              <w:t>违法处理中心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项目</w:t>
            </w:r>
          </w:p>
          <w:p>
            <w:pPr>
              <w:adjustRightInd w:val="0"/>
              <w:snapToGrid w:val="0"/>
              <w:jc w:val="center"/>
              <w:rPr>
                <w:rFonts w:cs="仿宋_GB2312"/>
                <w:spacing w:val="7"/>
                <w:szCs w:val="21"/>
              </w:rPr>
            </w:pPr>
            <w:r>
              <w:rPr>
                <w:rFonts w:hint="eastAsia" w:cs="仿宋_GB2312"/>
                <w:spacing w:val="7"/>
                <w:szCs w:val="21"/>
              </w:rPr>
              <w:t>资金(万元)</w:t>
            </w: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全年执行数</w:t>
            </w: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年度资金总额</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521.79</w:t>
            </w: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其中：当年财政拨款</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580</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521.79</w:t>
            </w: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   上年结转资金</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其他资金</w:t>
            </w:r>
          </w:p>
        </w:tc>
        <w:tc>
          <w:tcPr>
            <w:tcW w:w="1461"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078"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预期目标</w:t>
            </w:r>
          </w:p>
        </w:tc>
        <w:tc>
          <w:tcPr>
            <w:tcW w:w="4162" w:type="dxa"/>
            <w:gridSpan w:val="6"/>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363" w:hRule="atLeas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及时了解及发现城区交通拥堵情况实行差异化收费，缓解城区停车难及交通拥堵工作。</w:t>
            </w:r>
          </w:p>
        </w:tc>
        <w:tc>
          <w:tcPr>
            <w:tcW w:w="4162" w:type="dxa"/>
            <w:gridSpan w:val="6"/>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城区咪表刷卡239.37万次，平均日周转率达4辆左右。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绩效指标</w:t>
            </w:r>
          </w:p>
        </w:tc>
        <w:tc>
          <w:tcPr>
            <w:tcW w:w="492"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一级指标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二级</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三级</w:t>
            </w:r>
          </w:p>
          <w:p>
            <w:pPr>
              <w:adjustRightInd w:val="0"/>
              <w:snapToGrid w:val="0"/>
              <w:jc w:val="center"/>
              <w:rPr>
                <w:rFonts w:cs="仿宋_GB2312"/>
                <w:spacing w:val="7"/>
                <w:szCs w:val="21"/>
              </w:rPr>
            </w:pPr>
            <w:r>
              <w:rPr>
                <w:rFonts w:hint="eastAsia" w:cs="仿宋_GB2312"/>
                <w:spacing w:val="7"/>
                <w:szCs w:val="21"/>
              </w:rPr>
              <w:t>指标</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w:t>
            </w:r>
          </w:p>
          <w:p>
            <w:pPr>
              <w:adjustRightInd w:val="0"/>
              <w:snapToGrid w:val="0"/>
              <w:jc w:val="center"/>
              <w:rPr>
                <w:rFonts w:cs="仿宋_GB2312"/>
                <w:spacing w:val="7"/>
                <w:szCs w:val="21"/>
              </w:rPr>
            </w:pPr>
            <w:r>
              <w:rPr>
                <w:rFonts w:hint="eastAsia" w:cs="仿宋_GB2312"/>
                <w:spacing w:val="7"/>
                <w:szCs w:val="21"/>
              </w:rPr>
              <w:t>指标值</w:t>
            </w:r>
          </w:p>
        </w:tc>
        <w:tc>
          <w:tcPr>
            <w:tcW w:w="1224"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w:t>
            </w:r>
          </w:p>
          <w:p>
            <w:pPr>
              <w:adjustRightInd w:val="0"/>
              <w:snapToGrid w:val="0"/>
              <w:jc w:val="center"/>
              <w:rPr>
                <w:rFonts w:cs="仿宋_GB2312"/>
                <w:spacing w:val="7"/>
                <w:szCs w:val="21"/>
              </w:rPr>
            </w:pPr>
            <w:r>
              <w:rPr>
                <w:rFonts w:hint="eastAsia" w:cs="仿宋_GB2312"/>
                <w:spacing w:val="7"/>
                <w:szCs w:val="21"/>
              </w:rPr>
              <w:t>完成值</w:t>
            </w:r>
          </w:p>
        </w:tc>
        <w:tc>
          <w:tcPr>
            <w:tcW w:w="795"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权重</w:t>
            </w:r>
          </w:p>
        </w:tc>
        <w:tc>
          <w:tcPr>
            <w:tcW w:w="76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得分</w:t>
            </w:r>
          </w:p>
        </w:tc>
        <w:tc>
          <w:tcPr>
            <w:tcW w:w="1378"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60"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数量</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咪表停车次数</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220万次</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239.37万次</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561"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咪表停车收费收入</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650万元</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557万元</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 w:val="15"/>
                <w:szCs w:val="15"/>
              </w:rPr>
            </w:pPr>
            <w:r>
              <w:rPr>
                <w:rFonts w:hint="eastAsia" w:cs="仿宋_GB2312"/>
                <w:spacing w:val="7"/>
                <w:sz w:val="15"/>
                <w:szCs w:val="15"/>
              </w:rPr>
              <w:t>由于疫情原因2020年1-3月份咪表收费同比下降36.82%,温岭文明城市创建加春节节假日期间免费15天左右。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6"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咪表停车泊位数量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1600个</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1847个</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61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停车周转率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≥5车次/日/车位</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3.55</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 w:val="15"/>
                <w:szCs w:val="15"/>
              </w:rPr>
              <w:t>由于疫情原因2020年1-3月份停车周转率同比下降54.13%,温岭文明城市创建加春节节假日期间免费15天左右。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时效</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项目完成及时性</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项目当年完成</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及时</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6"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成本</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资金到位率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资金到位率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到位</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8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资金使用率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资金使用率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资金使用率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03"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支出相符性</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资金支出内容符合财经法规、专项资金规定且符合预算批复的用途。</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相符</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125"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支出合规性</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资金拨付程序规范、手续完整且符合国库集中支付规定。</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合规</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29"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效益指标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经济效益指标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产销收入增长</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9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jc w:val="center"/>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社会效益指标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缓解城区停车</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6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可持续影响指标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环境改善</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改善环境，提升环境质量</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一般</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7</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有待提升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023"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满意度</w:t>
            </w:r>
          </w:p>
          <w:p>
            <w:pPr>
              <w:adjustRightInd w:val="0"/>
              <w:snapToGrid w:val="0"/>
              <w:rPr>
                <w:rFonts w:cs="仿宋_GB2312"/>
                <w:spacing w:val="7"/>
                <w:szCs w:val="21"/>
              </w:rPr>
            </w:pPr>
            <w:r>
              <w:rPr>
                <w:rFonts w:hint="eastAsia" w:cs="仿宋_GB2312"/>
                <w:spacing w:val="7"/>
                <w:szCs w:val="21"/>
              </w:rPr>
              <w:t>指标</w:t>
            </w: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服务对象满意度指标</w:t>
            </w: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群众出行满意度</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≥90%</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≥85%</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6</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 w:val="18"/>
                <w:szCs w:val="18"/>
              </w:rPr>
            </w:pPr>
            <w:r>
              <w:rPr>
                <w:rFonts w:hint="eastAsia" w:cs="仿宋_GB2312"/>
                <w:spacing w:val="7"/>
                <w:sz w:val="18"/>
                <w:szCs w:val="18"/>
              </w:rPr>
              <w:t>满意度调查问卷显示受益群体满意度有待提高。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8"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公众满意度</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≥90%</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≥96.5%</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8</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098" w:type="dxa"/>
            <w:gridSpan w:val="8"/>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总分</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92</w:t>
            </w:r>
          </w:p>
        </w:tc>
        <w:tc>
          <w:tcPr>
            <w:tcW w:w="1378"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自评结论</w:t>
            </w:r>
          </w:p>
        </w:tc>
        <w:tc>
          <w:tcPr>
            <w:tcW w:w="4263"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color w:val="000000"/>
                <w:szCs w:val="21"/>
              </w:rPr>
              <w:t>优</w:t>
            </w:r>
            <w:r>
              <w:rPr>
                <w:rFonts w:hint="eastAsia" w:cs="仿宋_GB2312"/>
                <w:color w:val="000000"/>
                <w:szCs w:val="21"/>
                <w:bdr w:val="single" w:color="auto" w:sz="4" w:space="0"/>
              </w:rPr>
              <w:t>√</w:t>
            </w:r>
            <w:r>
              <w:rPr>
                <w:rFonts w:hint="eastAsia" w:cs="仿宋_GB2312"/>
                <w:color w:val="000000"/>
                <w:szCs w:val="21"/>
              </w:rPr>
              <w:t xml:space="preserve">      良□      中□    差□</w:t>
            </w:r>
          </w:p>
        </w:tc>
        <w:tc>
          <w:tcPr>
            <w:tcW w:w="2938"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color w:val="000000"/>
                <w:szCs w:val="21"/>
              </w:rPr>
              <w:t>总分高于90分（含）的结论为“优”，90～80分（含）为“良”，80～60分（含）为“中”，低于60分为“差”。</w:t>
            </w:r>
          </w:p>
        </w:tc>
      </w:tr>
    </w:tbl>
    <w:p>
      <w:pPr>
        <w:pStyle w:val="2"/>
        <w:spacing w:before="156"/>
      </w:pPr>
    </w:p>
    <w:p>
      <w:pPr>
        <w:spacing w:line="600" w:lineRule="atLeast"/>
        <w:ind w:firstLine="640"/>
        <w:rPr>
          <w:rFonts w:ascii="仿宋" w:hAnsi="仿宋" w:eastAsia="仿宋"/>
          <w:sz w:val="32"/>
          <w:szCs w:val="32"/>
        </w:rPr>
      </w:pPr>
      <w:r>
        <w:rPr>
          <w:rFonts w:hint="eastAsia" w:ascii="仿宋" w:hAnsi="仿宋" w:eastAsia="仿宋" w:cs="Arial"/>
          <w:sz w:val="32"/>
          <w:szCs w:val="32"/>
        </w:rPr>
        <w:t>垃圾焚烧处理费（东部）项目绩效自评综述：根据年初设定的绩效目标，项目自评得分99分，自评结论为“好”。项目全年预算数为2200万元，执行数为2200万元，完成年初预算的100%。项目绩效目标完成情况：一是实现生活垃圾的减量化、资源化和无害化，削减了以往处</w:t>
      </w:r>
      <w:r>
        <w:rPr>
          <w:rFonts w:hint="eastAsia" w:ascii="仿宋" w:hAnsi="仿宋" w:eastAsia="仿宋"/>
          <w:sz w:val="32"/>
          <w:szCs w:val="32"/>
        </w:rPr>
        <w:t>理、处置垃圾可能带来的环境问题，回收能源用于发电</w:t>
      </w:r>
      <w:r>
        <w:rPr>
          <w:rFonts w:hint="eastAsia" w:ascii="仿宋" w:hAnsi="仿宋" w:eastAsia="仿宋" w:cs="Arial"/>
          <w:sz w:val="32"/>
          <w:szCs w:val="32"/>
        </w:rPr>
        <w:t>。二是</w:t>
      </w:r>
      <w:r>
        <w:rPr>
          <w:rFonts w:hint="eastAsia" w:ascii="仿宋" w:hAnsi="仿宋" w:eastAsia="仿宋"/>
          <w:sz w:val="32"/>
          <w:szCs w:val="32"/>
        </w:rPr>
        <w:t>减少垃圾填埋量，延长服务区范围内现有填埋场的使用寿命。发现的问题及原因：一是运输设施需进一步提升；二是随着环保对垃圾焚烧处理指标要求的提高，垃圾焚烧处理成本相应提高，垃圾处理政府补贴费用相较于全省补贴费偏低。下一步改进措施：加强预算管理，提升无害化处理水平。</w:t>
      </w:r>
    </w:p>
    <w:tbl>
      <w:tblPr>
        <w:tblStyle w:val="7"/>
        <w:tblW w:w="896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58"/>
        <w:gridCol w:w="492"/>
        <w:gridCol w:w="885"/>
        <w:gridCol w:w="108"/>
        <w:gridCol w:w="1125"/>
        <w:gridCol w:w="345"/>
        <w:gridCol w:w="1461"/>
        <w:gridCol w:w="1224"/>
        <w:gridCol w:w="252"/>
        <w:gridCol w:w="543"/>
        <w:gridCol w:w="765"/>
        <w:gridCol w:w="300"/>
        <w:gridCol w:w="1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zCs w:val="21"/>
              </w:rPr>
            </w:pPr>
            <w:r>
              <w:rPr>
                <w:rFonts w:hint="eastAsia" w:cs="仿宋_GB2312"/>
                <w:szCs w:val="21"/>
              </w:rPr>
              <w:t>项目</w:t>
            </w:r>
          </w:p>
          <w:p>
            <w:pPr>
              <w:adjustRightInd w:val="0"/>
              <w:snapToGrid w:val="0"/>
              <w:jc w:val="center"/>
              <w:rPr>
                <w:rFonts w:cs="仿宋_GB2312"/>
                <w:szCs w:val="21"/>
              </w:rPr>
            </w:pPr>
            <w:r>
              <w:rPr>
                <w:rFonts w:hint="eastAsia" w:cs="仿宋_GB2312"/>
                <w:szCs w:val="21"/>
              </w:rPr>
              <w:t>名称</w:t>
            </w:r>
          </w:p>
        </w:tc>
        <w:tc>
          <w:tcPr>
            <w:tcW w:w="8015" w:type="dxa"/>
            <w:gridSpan w:val="11"/>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rPr>
              <w:t>垃圾焚烧处理费(东部)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2" w:hRule="atLeast"/>
        </w:trPr>
        <w:tc>
          <w:tcPr>
            <w:tcW w:w="950"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主管</w:t>
            </w:r>
          </w:p>
          <w:p>
            <w:pPr>
              <w:adjustRightInd w:val="0"/>
              <w:snapToGrid w:val="0"/>
              <w:jc w:val="center"/>
              <w:rPr>
                <w:rFonts w:cs="仿宋_GB2312"/>
                <w:spacing w:val="7"/>
                <w:szCs w:val="21"/>
              </w:rPr>
            </w:pPr>
            <w:r>
              <w:rPr>
                <w:rFonts w:hint="eastAsia" w:cs="仿宋_GB2312"/>
                <w:spacing w:val="7"/>
                <w:szCs w:val="21"/>
              </w:rPr>
              <w:t>部门</w:t>
            </w: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温岭市综合行政执法局</w:t>
            </w: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实施单位</w:t>
            </w:r>
          </w:p>
        </w:tc>
        <w:tc>
          <w:tcPr>
            <w:tcW w:w="2615"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温岭市市容环卫处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项目</w:t>
            </w:r>
          </w:p>
          <w:p>
            <w:pPr>
              <w:adjustRightInd w:val="0"/>
              <w:snapToGrid w:val="0"/>
              <w:jc w:val="center"/>
              <w:rPr>
                <w:rFonts w:cs="仿宋_GB2312"/>
                <w:spacing w:val="7"/>
                <w:szCs w:val="21"/>
              </w:rPr>
            </w:pPr>
            <w:r>
              <w:rPr>
                <w:rFonts w:hint="eastAsia" w:cs="仿宋_GB2312"/>
                <w:spacing w:val="7"/>
                <w:szCs w:val="21"/>
              </w:rPr>
              <w:t>资金(万元)</w:t>
            </w: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全年执行数</w:t>
            </w: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年度资金总额</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其中：当年财政拨款</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2200万</w:t>
            </w: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   上年结转资金</w:t>
            </w:r>
          </w:p>
        </w:tc>
        <w:tc>
          <w:tcPr>
            <w:tcW w:w="1461"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54" w:hRule="exac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其他资金</w:t>
            </w:r>
          </w:p>
        </w:tc>
        <w:tc>
          <w:tcPr>
            <w:tcW w:w="1461"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p>
        </w:tc>
        <w:tc>
          <w:tcPr>
            <w:tcW w:w="1007"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64" w:hRule="exact"/>
        </w:trPr>
        <w:tc>
          <w:tcPr>
            <w:tcW w:w="950"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预期目标</w:t>
            </w:r>
          </w:p>
        </w:tc>
        <w:tc>
          <w:tcPr>
            <w:tcW w:w="4091" w:type="dxa"/>
            <w:gridSpan w:val="6"/>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83" w:hRule="atLeast"/>
        </w:trPr>
        <w:tc>
          <w:tcPr>
            <w:tcW w:w="950" w:type="dxa"/>
            <w:gridSpan w:val="2"/>
            <w:vMerge w:val="continue"/>
            <w:shd w:val="clear" w:color="auto" w:fill="FFFFFF"/>
            <w:noWrap/>
            <w:vAlign w:val="center"/>
          </w:tcPr>
          <w:p>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全年生活垃圾焚烧处理达30万吨</w:t>
            </w:r>
          </w:p>
        </w:tc>
        <w:tc>
          <w:tcPr>
            <w:tcW w:w="4091" w:type="dxa"/>
            <w:gridSpan w:val="6"/>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实际全年生活垃圾焚烧处理43万吨。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40" w:hRule="atLeast"/>
        </w:trPr>
        <w:tc>
          <w:tcPr>
            <w:tcW w:w="458"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绩效指标</w:t>
            </w:r>
          </w:p>
        </w:tc>
        <w:tc>
          <w:tcPr>
            <w:tcW w:w="492"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一级指标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二级</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三级</w:t>
            </w:r>
          </w:p>
          <w:p>
            <w:pPr>
              <w:adjustRightInd w:val="0"/>
              <w:snapToGrid w:val="0"/>
              <w:jc w:val="center"/>
              <w:rPr>
                <w:rFonts w:cs="仿宋_GB2312"/>
                <w:spacing w:val="7"/>
                <w:szCs w:val="21"/>
              </w:rPr>
            </w:pPr>
            <w:r>
              <w:rPr>
                <w:rFonts w:hint="eastAsia" w:cs="仿宋_GB2312"/>
                <w:spacing w:val="7"/>
                <w:szCs w:val="21"/>
              </w:rPr>
              <w:t>指标</w:t>
            </w:r>
          </w:p>
        </w:tc>
        <w:tc>
          <w:tcPr>
            <w:tcW w:w="1806"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年度</w:t>
            </w:r>
          </w:p>
          <w:p>
            <w:pPr>
              <w:adjustRightInd w:val="0"/>
              <w:snapToGrid w:val="0"/>
              <w:jc w:val="center"/>
              <w:rPr>
                <w:rFonts w:cs="仿宋_GB2312"/>
                <w:spacing w:val="7"/>
                <w:szCs w:val="21"/>
              </w:rPr>
            </w:pPr>
            <w:r>
              <w:rPr>
                <w:rFonts w:hint="eastAsia" w:cs="仿宋_GB2312"/>
                <w:spacing w:val="7"/>
                <w:szCs w:val="21"/>
              </w:rPr>
              <w:t>指标值</w:t>
            </w:r>
          </w:p>
        </w:tc>
        <w:tc>
          <w:tcPr>
            <w:tcW w:w="1224"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实际</w:t>
            </w:r>
          </w:p>
          <w:p>
            <w:pPr>
              <w:adjustRightInd w:val="0"/>
              <w:snapToGrid w:val="0"/>
              <w:jc w:val="center"/>
              <w:rPr>
                <w:rFonts w:cs="仿宋_GB2312"/>
                <w:spacing w:val="7"/>
                <w:szCs w:val="21"/>
              </w:rPr>
            </w:pPr>
            <w:r>
              <w:rPr>
                <w:rFonts w:hint="eastAsia" w:cs="仿宋_GB2312"/>
                <w:spacing w:val="7"/>
                <w:szCs w:val="21"/>
              </w:rPr>
              <w:t>完成值</w:t>
            </w:r>
          </w:p>
        </w:tc>
        <w:tc>
          <w:tcPr>
            <w:tcW w:w="795"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权重</w:t>
            </w:r>
          </w:p>
        </w:tc>
        <w:tc>
          <w:tcPr>
            <w:tcW w:w="765" w:type="dxa"/>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得分</w:t>
            </w:r>
          </w:p>
        </w:tc>
        <w:tc>
          <w:tcPr>
            <w:tcW w:w="1307"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偏差原因分析及改进措施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1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数量</w:t>
            </w:r>
          </w:p>
          <w:p>
            <w:pPr>
              <w:adjustRightInd w:val="0"/>
              <w:snapToGrid w:val="0"/>
              <w:jc w:val="center"/>
              <w:rPr>
                <w:rFonts w:cs="仿宋_GB2312"/>
                <w:spacing w:val="7"/>
                <w:szCs w:val="21"/>
              </w:rPr>
            </w:pPr>
            <w:r>
              <w:rPr>
                <w:rFonts w:hint="eastAsia" w:cs="仿宋_GB2312"/>
                <w:spacing w:val="7"/>
                <w:szCs w:val="21"/>
              </w:rPr>
              <w:t>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年生活垃圾处理量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≥30万吨</w:t>
            </w:r>
          </w:p>
        </w:tc>
        <w:tc>
          <w:tcPr>
            <w:tcW w:w="1224" w:type="dxa"/>
            <w:shd w:val="clear" w:color="auto" w:fill="FFFFFF"/>
            <w:noWrap/>
            <w:tcMar>
              <w:top w:w="0" w:type="dxa"/>
              <w:left w:w="105" w:type="dxa"/>
              <w:bottom w:w="0" w:type="dxa"/>
              <w:right w:w="105" w:type="dxa"/>
            </w:tcMar>
            <w:vAlign w:val="center"/>
          </w:tcPr>
          <w:p>
            <w:pPr>
              <w:adjustRightInd w:val="0"/>
              <w:snapToGrid w:val="0"/>
              <w:jc w:val="left"/>
              <w:rPr>
                <w:rFonts w:cs="仿宋_GB2312"/>
                <w:color w:val="000000"/>
                <w:spacing w:val="7"/>
                <w:szCs w:val="21"/>
              </w:rPr>
            </w:pPr>
            <w:r>
              <w:rPr>
                <w:rFonts w:hint="eastAsia" w:cs="仿宋_GB2312"/>
                <w:spacing w:val="7"/>
                <w:szCs w:val="21"/>
              </w:rPr>
              <w:t>432825吨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8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年生活垃圾焚烧发电量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≥1亿度</w:t>
            </w:r>
          </w:p>
        </w:tc>
        <w:tc>
          <w:tcPr>
            <w:tcW w:w="1224" w:type="dxa"/>
            <w:shd w:val="clear" w:color="auto" w:fill="FFFFFF"/>
            <w:noWrap/>
            <w:tcMar>
              <w:top w:w="0" w:type="dxa"/>
              <w:left w:w="105" w:type="dxa"/>
              <w:bottom w:w="0" w:type="dxa"/>
              <w:right w:w="105" w:type="dxa"/>
            </w:tcMar>
            <w:vAlign w:val="center"/>
          </w:tcPr>
          <w:p>
            <w:pPr>
              <w:adjustRightInd w:val="0"/>
              <w:snapToGrid w:val="0"/>
              <w:jc w:val="left"/>
              <w:rPr>
                <w:rFonts w:cs="仿宋_GB2312"/>
                <w:spacing w:val="7"/>
                <w:szCs w:val="21"/>
              </w:rPr>
            </w:pPr>
            <w:r>
              <w:rPr>
                <w:rFonts w:cs="仿宋_GB2312"/>
                <w:spacing w:val="7"/>
                <w:szCs w:val="21"/>
              </w:rPr>
              <w:t>19280</w:t>
            </w:r>
            <w:r>
              <w:rPr>
                <w:rFonts w:hint="eastAsia" w:cs="仿宋_GB2312"/>
                <w:spacing w:val="7"/>
                <w:szCs w:val="21"/>
              </w:rPr>
              <w:t>度</w:t>
            </w:r>
          </w:p>
        </w:tc>
        <w:tc>
          <w:tcPr>
            <w:tcW w:w="795" w:type="dxa"/>
            <w:gridSpan w:val="2"/>
            <w:shd w:val="clear" w:color="auto" w:fill="FFFFFF"/>
            <w:noWrap/>
            <w:tcMar>
              <w:top w:w="0" w:type="dxa"/>
              <w:left w:w="105" w:type="dxa"/>
              <w:bottom w:w="0" w:type="dxa"/>
              <w:right w:w="105" w:type="dxa"/>
            </w:tcMar>
            <w:vAlign w:val="center"/>
          </w:tcPr>
          <w:p>
            <w:pPr>
              <w:adjustRightInd w:val="0"/>
              <w:snapToGrid w:val="0"/>
              <w:jc w:val="left"/>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1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年节约填埋土地量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≥55万立方</w:t>
            </w:r>
          </w:p>
        </w:tc>
        <w:tc>
          <w:tcPr>
            <w:tcW w:w="1224" w:type="dxa"/>
            <w:shd w:val="clear" w:color="auto" w:fill="FFFFFF"/>
            <w:noWrap/>
            <w:tcMar>
              <w:top w:w="0" w:type="dxa"/>
              <w:left w:w="105" w:type="dxa"/>
              <w:bottom w:w="0" w:type="dxa"/>
              <w:right w:w="105" w:type="dxa"/>
            </w:tcMar>
            <w:vAlign w:val="center"/>
          </w:tcPr>
          <w:p>
            <w:pPr>
              <w:adjustRightInd w:val="0"/>
              <w:snapToGrid w:val="0"/>
              <w:jc w:val="left"/>
              <w:rPr>
                <w:rFonts w:cs="仿宋_GB2312"/>
                <w:spacing w:val="7"/>
                <w:szCs w:val="21"/>
              </w:rPr>
            </w:pPr>
            <w:r>
              <w:rPr>
                <w:rFonts w:hint="eastAsia" w:cs="仿宋_GB2312"/>
                <w:spacing w:val="7"/>
                <w:szCs w:val="21"/>
              </w:rPr>
              <w:t>886936立方</w:t>
            </w:r>
          </w:p>
        </w:tc>
        <w:tc>
          <w:tcPr>
            <w:tcW w:w="795" w:type="dxa"/>
            <w:gridSpan w:val="2"/>
            <w:shd w:val="clear" w:color="auto" w:fill="FFFFFF"/>
            <w:noWrap/>
            <w:tcMar>
              <w:top w:w="0" w:type="dxa"/>
              <w:left w:w="105" w:type="dxa"/>
              <w:bottom w:w="0" w:type="dxa"/>
              <w:right w:w="105" w:type="dxa"/>
            </w:tcMar>
            <w:vAlign w:val="center"/>
          </w:tcPr>
          <w:p>
            <w:pPr>
              <w:adjustRightInd w:val="0"/>
              <w:snapToGrid w:val="0"/>
              <w:jc w:val="left"/>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74"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年灰渣资源化利用量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≥9万吨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103285吨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6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生活垃圾无害化处理率</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≥95</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日处理量</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900吨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1185吨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5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shd w:val="clear" w:color="auto" w:fill="FFFFFF"/>
            <w:noWrap/>
            <w:vAlign w:val="center"/>
          </w:tcPr>
          <w:p>
            <w:pPr>
              <w:adjustRightInd w:val="0"/>
              <w:snapToGrid w:val="0"/>
              <w:rPr>
                <w:rFonts w:cs="仿宋_GB2312"/>
                <w:spacing w:val="7"/>
                <w:szCs w:val="21"/>
              </w:rPr>
            </w:pPr>
          </w:p>
        </w:tc>
        <w:tc>
          <w:tcPr>
            <w:tcW w:w="993" w:type="dxa"/>
            <w:gridSpan w:val="2"/>
            <w:shd w:val="clear" w:color="auto" w:fill="FFFFFF"/>
            <w:noWrap/>
            <w:vAlign w:val="center"/>
          </w:tcPr>
          <w:p>
            <w:pPr>
              <w:adjustRightInd w:val="0"/>
              <w:snapToGrid w:val="0"/>
              <w:jc w:val="center"/>
              <w:rPr>
                <w:rFonts w:cs="仿宋_GB2312"/>
                <w:spacing w:val="7"/>
                <w:szCs w:val="21"/>
              </w:rPr>
            </w:pPr>
            <w:r>
              <w:rPr>
                <w:rFonts w:cs="仿宋_GB2312"/>
                <w:spacing w:val="7"/>
                <w:szCs w:val="21"/>
              </w:rPr>
              <w:t>成本指标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垃圾处理费</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46元/吨</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46元/吨</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25"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效益指标</w:t>
            </w:r>
          </w:p>
        </w:tc>
        <w:tc>
          <w:tcPr>
            <w:tcW w:w="993" w:type="dxa"/>
            <w:gridSpan w:val="2"/>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社会效益指标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提升人居环境</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提升</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提升</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4"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生态效益指标</w:t>
            </w: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达到环保要求</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达到</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87" w:hRule="exact"/>
        </w:trPr>
        <w:tc>
          <w:tcPr>
            <w:tcW w:w="458" w:type="dxa"/>
            <w:vMerge w:val="continue"/>
            <w:shd w:val="clear" w:color="auto" w:fill="FFFFFF"/>
            <w:noWrap/>
            <w:vAlign w:val="center"/>
          </w:tcPr>
          <w:p>
            <w:pPr>
              <w:adjustRightInd w:val="0"/>
              <w:snapToGrid w:val="0"/>
              <w:rPr>
                <w:rFonts w:cs="仿宋_GB2312"/>
                <w:spacing w:val="7"/>
                <w:szCs w:val="21"/>
              </w:rPr>
            </w:pPr>
          </w:p>
        </w:tc>
        <w:tc>
          <w:tcPr>
            <w:tcW w:w="492" w:type="dxa"/>
            <w:vMerge w:val="continue"/>
            <w:shd w:val="clear" w:color="auto" w:fill="FFFFFF"/>
            <w:noWrap/>
            <w:vAlign w:val="center"/>
          </w:tcPr>
          <w:p>
            <w:pPr>
              <w:adjustRightInd w:val="0"/>
              <w:snapToGrid w:val="0"/>
              <w:rPr>
                <w:rFonts w:cs="仿宋_GB2312"/>
                <w:spacing w:val="7"/>
                <w:szCs w:val="21"/>
              </w:rPr>
            </w:pPr>
          </w:p>
        </w:tc>
        <w:tc>
          <w:tcPr>
            <w:tcW w:w="993" w:type="dxa"/>
            <w:gridSpan w:val="2"/>
            <w:vMerge w:val="continue"/>
            <w:shd w:val="clear" w:color="auto" w:fill="FFFFFF"/>
            <w:noWrap/>
            <w:vAlign w:val="center"/>
          </w:tcPr>
          <w:p>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减少用于填埋垃圾的土地</w:t>
            </w:r>
          </w:p>
        </w:tc>
        <w:tc>
          <w:tcPr>
            <w:tcW w:w="1806"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减少</w:t>
            </w:r>
          </w:p>
        </w:tc>
        <w:tc>
          <w:tcPr>
            <w:tcW w:w="1224"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减少</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trPr>
        <w:tc>
          <w:tcPr>
            <w:tcW w:w="6098" w:type="dxa"/>
            <w:gridSpan w:val="8"/>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总分</w:t>
            </w:r>
          </w:p>
        </w:tc>
        <w:tc>
          <w:tcPr>
            <w:tcW w:w="795"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100</w:t>
            </w:r>
          </w:p>
        </w:tc>
        <w:tc>
          <w:tcPr>
            <w:tcW w:w="765" w:type="dxa"/>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spacing w:val="7"/>
                <w:szCs w:val="21"/>
              </w:rPr>
              <w:t>99</w:t>
            </w:r>
          </w:p>
        </w:tc>
        <w:tc>
          <w:tcPr>
            <w:tcW w:w="1307" w:type="dxa"/>
            <w:gridSpan w:val="2"/>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428" w:hRule="atLeast"/>
        </w:trPr>
        <w:tc>
          <w:tcPr>
            <w:tcW w:w="1835" w:type="dxa"/>
            <w:gridSpan w:val="3"/>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spacing w:val="7"/>
                <w:szCs w:val="21"/>
              </w:rPr>
              <w:t>自评结论</w:t>
            </w:r>
          </w:p>
        </w:tc>
        <w:tc>
          <w:tcPr>
            <w:tcW w:w="4263" w:type="dxa"/>
            <w:gridSpan w:val="5"/>
            <w:shd w:val="clear" w:color="auto" w:fill="FFFFFF"/>
            <w:noWrap/>
            <w:tcMar>
              <w:top w:w="0" w:type="dxa"/>
              <w:left w:w="105" w:type="dxa"/>
              <w:bottom w:w="0" w:type="dxa"/>
              <w:right w:w="105" w:type="dxa"/>
            </w:tcMar>
            <w:vAlign w:val="center"/>
          </w:tcPr>
          <w:p>
            <w:pPr>
              <w:adjustRightInd w:val="0"/>
              <w:snapToGrid w:val="0"/>
              <w:jc w:val="center"/>
              <w:rPr>
                <w:rFonts w:cs="仿宋_GB2312"/>
                <w:spacing w:val="7"/>
                <w:szCs w:val="21"/>
              </w:rPr>
            </w:pPr>
            <w:r>
              <w:rPr>
                <w:rFonts w:hint="eastAsia" w:cs="仿宋_GB2312"/>
                <w:color w:val="000000"/>
                <w:szCs w:val="21"/>
              </w:rPr>
              <w:t>优☑      良□      中□    差□</w:t>
            </w:r>
          </w:p>
        </w:tc>
        <w:tc>
          <w:tcPr>
            <w:tcW w:w="2867" w:type="dxa"/>
            <w:gridSpan w:val="5"/>
            <w:shd w:val="clear" w:color="auto" w:fill="FFFFFF"/>
            <w:noWrap/>
            <w:tcMar>
              <w:top w:w="0" w:type="dxa"/>
              <w:left w:w="105" w:type="dxa"/>
              <w:bottom w:w="0" w:type="dxa"/>
              <w:right w:w="105" w:type="dxa"/>
            </w:tcMar>
            <w:vAlign w:val="center"/>
          </w:tcPr>
          <w:p>
            <w:pPr>
              <w:adjustRightInd w:val="0"/>
              <w:snapToGrid w:val="0"/>
              <w:rPr>
                <w:rFonts w:cs="仿宋_GB2312"/>
                <w:spacing w:val="7"/>
                <w:szCs w:val="21"/>
              </w:rPr>
            </w:pPr>
            <w:r>
              <w:rPr>
                <w:rFonts w:hint="eastAsia" w:cs="仿宋_GB2312"/>
                <w:color w:val="000000"/>
                <w:szCs w:val="21"/>
              </w:rPr>
              <w:t>总分高于90分（含）的结论为“优”，90～80分（含）为“良”，80～60分（含）为“中”，低于60分为“差”。</w:t>
            </w:r>
          </w:p>
        </w:tc>
      </w:tr>
    </w:tbl>
    <w:p>
      <w:pPr>
        <w:spacing w:line="600" w:lineRule="atLeast"/>
        <w:ind w:firstLine="640"/>
        <w:rPr>
          <w:rFonts w:ascii="仿宋" w:hAnsi="仿宋" w:eastAsia="仿宋"/>
          <w:sz w:val="32"/>
          <w:szCs w:val="32"/>
        </w:rPr>
      </w:pPr>
    </w:p>
    <w:p>
      <w:pPr>
        <w:widowControl/>
        <w:spacing w:line="600" w:lineRule="atLeast"/>
        <w:ind w:right="76" w:firstLine="640"/>
        <w:rPr>
          <w:rStyle w:val="9"/>
          <w:rFonts w:ascii="仿宋" w:hAnsi="仿宋" w:eastAsia="仿宋" w:cs="Arial"/>
          <w:kern w:val="0"/>
          <w:sz w:val="32"/>
          <w:szCs w:val="32"/>
          <w:shd w:val="clear" w:color="auto" w:fill="FFFFFF"/>
        </w:rPr>
      </w:pPr>
      <w:r>
        <w:rPr>
          <w:rStyle w:val="9"/>
          <w:rFonts w:hint="eastAsia" w:ascii="仿宋" w:hAnsi="仿宋" w:eastAsia="仿宋" w:cs="Arial"/>
          <w:kern w:val="0"/>
          <w:sz w:val="32"/>
          <w:szCs w:val="32"/>
          <w:shd w:val="clear" w:color="auto" w:fill="FFFFFF"/>
        </w:rPr>
        <w:t>3.财政评价项目绩效评价结果</w:t>
      </w:r>
    </w:p>
    <w:p>
      <w:pPr>
        <w:widowControl/>
        <w:spacing w:line="600" w:lineRule="atLeast"/>
        <w:ind w:right="76" w:firstLine="640"/>
      </w:pPr>
      <w:r>
        <w:rPr>
          <w:rFonts w:hint="eastAsia" w:ascii="仿宋" w:hAnsi="仿宋" w:eastAsia="仿宋" w:cs="Arial"/>
          <w:kern w:val="0"/>
          <w:sz w:val="32"/>
          <w:szCs w:val="32"/>
          <w:shd w:val="clear" w:color="auto" w:fill="FFFFFF"/>
        </w:rPr>
        <w:t>无</w:t>
      </w:r>
    </w:p>
    <w:p>
      <w:pPr>
        <w:widowControl/>
        <w:spacing w:line="600" w:lineRule="atLeast"/>
        <w:ind w:right="76" w:firstLine="640"/>
        <w:rPr>
          <w:rStyle w:val="9"/>
          <w:rFonts w:ascii="仿宋" w:hAnsi="仿宋" w:eastAsia="仿宋" w:cs="Arial"/>
          <w:kern w:val="0"/>
          <w:sz w:val="32"/>
          <w:szCs w:val="32"/>
          <w:shd w:val="clear" w:color="auto" w:fill="FFFFFF"/>
        </w:rPr>
      </w:pPr>
      <w:r>
        <w:rPr>
          <w:rStyle w:val="9"/>
          <w:rFonts w:hint="eastAsia" w:ascii="仿宋" w:hAnsi="仿宋" w:eastAsia="仿宋" w:cs="Arial"/>
          <w:kern w:val="0"/>
          <w:sz w:val="32"/>
          <w:szCs w:val="32"/>
          <w:shd w:val="clear" w:color="auto" w:fill="FFFFFF"/>
        </w:rPr>
        <w:t>4.部门评价项目绩效评价结果</w:t>
      </w:r>
    </w:p>
    <w:p>
      <w:pPr>
        <w:widowControl/>
        <w:spacing w:line="600" w:lineRule="atLeast"/>
        <w:ind w:right="76" w:firstLine="640"/>
      </w:pPr>
      <w:r>
        <w:rPr>
          <w:rFonts w:hint="eastAsia" w:ascii="仿宋" w:hAnsi="仿宋" w:eastAsia="仿宋" w:cs="Arial"/>
          <w:kern w:val="0"/>
          <w:sz w:val="32"/>
          <w:szCs w:val="32"/>
          <w:shd w:val="clear" w:color="auto" w:fill="FFFFFF"/>
        </w:rPr>
        <w:t>无</w:t>
      </w:r>
    </w:p>
    <w:p>
      <w:pPr>
        <w:widowControl/>
        <w:spacing w:line="600" w:lineRule="atLeast"/>
        <w:ind w:right="76" w:firstLine="640"/>
      </w:pPr>
      <w:r>
        <w:rPr>
          <w:rFonts w:hint="eastAsia" w:ascii="仿宋" w:hAnsi="仿宋" w:eastAsia="仿宋" w:cs="Arial"/>
          <w:kern w:val="0"/>
          <w:sz w:val="32"/>
          <w:szCs w:val="32"/>
          <w:shd w:val="clear" w:color="auto" w:fill="FFFFFF"/>
        </w:rPr>
        <w:t>说明：</w:t>
      </w:r>
      <w:r>
        <w:rPr>
          <w:rStyle w:val="9"/>
          <w:rFonts w:hint="eastAsia" w:ascii="仿宋" w:hAnsi="仿宋" w:eastAsia="仿宋" w:cs="Arial"/>
          <w:kern w:val="0"/>
          <w:sz w:val="32"/>
          <w:szCs w:val="32"/>
          <w:shd w:val="clear" w:color="auto" w:fill="FFFFFF"/>
        </w:rPr>
        <w:t>部门评价项目</w:t>
      </w:r>
      <w:r>
        <w:rPr>
          <w:rFonts w:hint="eastAsia" w:ascii="仿宋" w:hAnsi="仿宋" w:eastAsia="仿宋" w:cs="Arial"/>
          <w:kern w:val="0"/>
          <w:sz w:val="32"/>
          <w:szCs w:val="32"/>
          <w:shd w:val="clear" w:color="auto" w:fill="FFFFFF"/>
        </w:rPr>
        <w:t>是指本部门自行开展的评价对象为本部门政策、项目、整体支出或下属单位整体支出的绩效评价；</w:t>
      </w:r>
      <w:r>
        <w:rPr>
          <w:rStyle w:val="9"/>
          <w:rFonts w:hint="eastAsia" w:ascii="仿宋" w:hAnsi="仿宋" w:eastAsia="仿宋" w:cs="Arial"/>
          <w:kern w:val="0"/>
          <w:sz w:val="32"/>
          <w:szCs w:val="32"/>
          <w:shd w:val="clear" w:color="auto" w:fill="FFFFFF"/>
        </w:rPr>
        <w:t>财政评价项目</w:t>
      </w:r>
      <w:r>
        <w:rPr>
          <w:rFonts w:hint="eastAsia" w:ascii="仿宋" w:hAnsi="仿宋" w:eastAsia="仿宋" w:cs="Arial"/>
          <w:kern w:val="0"/>
          <w:sz w:val="32"/>
          <w:szCs w:val="32"/>
          <w:shd w:val="clear" w:color="auto" w:fill="FFFFFF"/>
        </w:rPr>
        <w:t>是指以由财政部门开展的评价对象为本部门政策、项目或整体支出的绩效评价项目。</w:t>
      </w:r>
    </w:p>
    <w:p>
      <w:pPr>
        <w:widowControl/>
        <w:spacing w:line="600" w:lineRule="atLeast"/>
        <w:ind w:right="76" w:firstLine="640"/>
      </w:pPr>
      <w:r>
        <w:rPr>
          <w:rFonts w:hint="eastAsia" w:ascii="黑体" w:hAnsi="宋体" w:eastAsia="黑体" w:cs="Arial"/>
          <w:kern w:val="0"/>
          <w:sz w:val="32"/>
          <w:szCs w:val="32"/>
          <w:shd w:val="clear" w:color="auto" w:fill="FFFFFF"/>
        </w:rPr>
        <w:t>四、名词解释</w:t>
      </w:r>
    </w:p>
    <w:p>
      <w:pPr>
        <w:widowControl/>
        <w:spacing w:line="600" w:lineRule="atLeast"/>
        <w:ind w:right="76" w:firstLine="640"/>
      </w:pPr>
      <w:r>
        <w:rPr>
          <w:rFonts w:hint="eastAsia" w:ascii="仿宋" w:hAnsi="仿宋" w:eastAsia="仿宋" w:cs="Arial"/>
          <w:kern w:val="0"/>
          <w:sz w:val="32"/>
          <w:szCs w:val="32"/>
          <w:shd w:val="clear" w:color="auto" w:fill="FFFFFF"/>
        </w:rPr>
        <w:t>1.财政拨款收入：指本级财政部门当年拨付的财政预算资金，包括一般公共预算财政拨款、政府性基金预算财政拨款和国有资本经预算财政拨款。</w:t>
      </w:r>
    </w:p>
    <w:p>
      <w:pPr>
        <w:widowControl/>
        <w:spacing w:line="600" w:lineRule="atLeast"/>
        <w:ind w:right="76" w:firstLine="640"/>
      </w:pPr>
      <w:r>
        <w:rPr>
          <w:rFonts w:hint="eastAsia" w:ascii="仿宋" w:hAnsi="仿宋" w:eastAsia="仿宋" w:cs="Arial"/>
          <w:kern w:val="0"/>
          <w:sz w:val="32"/>
          <w:szCs w:val="32"/>
          <w:shd w:val="clear" w:color="auto" w:fill="FFFFFF"/>
        </w:rPr>
        <w:t>2.事业收入：指事业单位开展专业业务活动及辅助活动所取得的收入。</w:t>
      </w:r>
    </w:p>
    <w:p>
      <w:pPr>
        <w:widowControl/>
        <w:spacing w:line="600" w:lineRule="atLeast"/>
        <w:ind w:right="76" w:firstLine="640"/>
      </w:pPr>
      <w:r>
        <w:rPr>
          <w:rFonts w:hint="eastAsia" w:ascii="仿宋" w:hAnsi="仿宋" w:eastAsia="仿宋" w:cs="Arial"/>
          <w:kern w:val="0"/>
          <w:sz w:val="32"/>
          <w:szCs w:val="32"/>
          <w:shd w:val="clear" w:color="auto" w:fill="FFFFFF"/>
        </w:rPr>
        <w:t>3.经营收入：指事业单位在专业业务活动及辅助活动之外开展非独立核算经营活动取得的收入。</w:t>
      </w:r>
    </w:p>
    <w:p>
      <w:pPr>
        <w:widowControl/>
        <w:spacing w:line="600" w:lineRule="atLeast"/>
        <w:ind w:right="76" w:firstLine="640"/>
      </w:pPr>
      <w:r>
        <w:rPr>
          <w:rFonts w:hint="eastAsia" w:ascii="仿宋" w:hAnsi="仿宋" w:eastAsia="仿宋" w:cs="Arial"/>
          <w:kern w:val="0"/>
          <w:sz w:val="32"/>
          <w:szCs w:val="32"/>
          <w:shd w:val="clear" w:color="auto" w:fill="FFFFFF"/>
        </w:rPr>
        <w:t>4.上级补助收入：指事业单位从主管部门和上级单位取得的非财政补助收入。</w:t>
      </w:r>
    </w:p>
    <w:p>
      <w:pPr>
        <w:widowControl/>
        <w:spacing w:line="600" w:lineRule="atLeast"/>
        <w:ind w:right="76" w:firstLine="640"/>
      </w:pPr>
      <w:r>
        <w:rPr>
          <w:rFonts w:hint="eastAsia" w:ascii="仿宋" w:hAnsi="仿宋" w:eastAsia="仿宋" w:cs="Arial"/>
          <w:kern w:val="0"/>
          <w:sz w:val="32"/>
          <w:szCs w:val="32"/>
          <w:shd w:val="clear" w:color="auto" w:fill="FFFFFF"/>
        </w:rPr>
        <w:t>5.附属单位上缴收入：指事业单位附属独立核算单位按照有关规定上缴的收入。</w:t>
      </w:r>
    </w:p>
    <w:p>
      <w:pPr>
        <w:widowControl/>
        <w:spacing w:line="600" w:lineRule="atLeast"/>
        <w:ind w:right="76" w:firstLine="640"/>
      </w:pPr>
      <w:r>
        <w:rPr>
          <w:rFonts w:hint="eastAsia" w:ascii="仿宋" w:hAnsi="仿宋" w:eastAsia="仿宋" w:cs="Arial"/>
          <w:kern w:val="0"/>
          <w:sz w:val="32"/>
          <w:szCs w:val="32"/>
          <w:shd w:val="clear" w:color="auto" w:fill="FFFFFF"/>
        </w:rPr>
        <w:t>6.其他收入：指预算单位在“财政拨款”、“事业收入”、“经营收入”、“上级补助收入”、“附属单位上缴收入”等之外取得的各项收入。</w:t>
      </w:r>
    </w:p>
    <w:p>
      <w:pPr>
        <w:widowControl/>
        <w:spacing w:line="600" w:lineRule="atLeast"/>
        <w:ind w:right="76" w:firstLine="640"/>
      </w:pPr>
      <w:r>
        <w:rPr>
          <w:rFonts w:hint="eastAsia" w:ascii="仿宋" w:hAnsi="仿宋" w:eastAsia="仿宋" w:cs="Arial"/>
          <w:kern w:val="0"/>
          <w:sz w:val="32"/>
          <w:szCs w:val="32"/>
          <w:shd w:val="clear" w:color="auto" w:fill="FFFFFF"/>
        </w:rPr>
        <w:t>7.使用非财政拨款结余：指事业单位使用以前年度积累的非财政拨款结余弥补当年收支差额的金额。</w:t>
      </w:r>
    </w:p>
    <w:p>
      <w:pPr>
        <w:widowControl/>
        <w:spacing w:line="600" w:lineRule="atLeast"/>
        <w:ind w:right="76" w:firstLine="640"/>
      </w:pPr>
      <w:r>
        <w:rPr>
          <w:rFonts w:hint="eastAsia" w:ascii="仿宋" w:hAnsi="仿宋" w:eastAsia="仿宋" w:cs="Arial"/>
          <w:kern w:val="0"/>
          <w:sz w:val="32"/>
          <w:szCs w:val="32"/>
          <w:shd w:val="clear" w:color="auto" w:fill="FFFFFF"/>
        </w:rPr>
        <w:t>8.年初结转和结余：指预算单位以前年度尚未完成、结转到本年仍按原规定用途继续使用的资金。</w:t>
      </w:r>
    </w:p>
    <w:p>
      <w:pPr>
        <w:widowControl/>
        <w:spacing w:line="600" w:lineRule="atLeast"/>
        <w:ind w:right="76" w:firstLine="640"/>
      </w:pPr>
      <w:r>
        <w:rPr>
          <w:rFonts w:hint="eastAsia" w:ascii="仿宋" w:hAnsi="仿宋" w:eastAsia="仿宋" w:cs="Arial"/>
          <w:kern w:val="0"/>
          <w:sz w:val="32"/>
          <w:szCs w:val="32"/>
          <w:shd w:val="clear" w:color="auto" w:fill="FFFFFF"/>
        </w:rPr>
        <w:t>9.年末结转和结余：指单位按有关规定结转到下年或以后年度继续使用的资金。</w:t>
      </w:r>
    </w:p>
    <w:p>
      <w:pPr>
        <w:widowControl/>
        <w:spacing w:line="600" w:lineRule="atLeast"/>
        <w:ind w:right="76" w:firstLine="640"/>
      </w:pPr>
      <w:r>
        <w:rPr>
          <w:rFonts w:hint="eastAsia" w:ascii="仿宋" w:hAnsi="仿宋" w:eastAsia="仿宋" w:cs="Arial"/>
          <w:kern w:val="0"/>
          <w:sz w:val="32"/>
          <w:szCs w:val="32"/>
          <w:shd w:val="clear" w:color="auto" w:fill="FFFFFF"/>
        </w:rPr>
        <w:t>10.基本支出：指预算单位为保障其正常运转，完成日常工作任务所发生的支出，包括人员经费支出和日常公用经费支出。</w:t>
      </w:r>
    </w:p>
    <w:p>
      <w:pPr>
        <w:widowControl/>
        <w:spacing w:line="600" w:lineRule="atLeast"/>
        <w:ind w:right="76" w:firstLine="640"/>
      </w:pPr>
      <w:r>
        <w:rPr>
          <w:rFonts w:hint="eastAsia" w:ascii="仿宋" w:hAnsi="仿宋" w:eastAsia="仿宋" w:cs="Arial"/>
          <w:kern w:val="0"/>
          <w:sz w:val="32"/>
          <w:szCs w:val="32"/>
          <w:shd w:val="clear" w:color="auto" w:fill="FFFFFF"/>
        </w:rPr>
        <w:t>11.项目支出：指预算单位为完成其特定的行政工作任务或事业发展目标所发生的支出。</w:t>
      </w:r>
    </w:p>
    <w:p>
      <w:pPr>
        <w:widowControl/>
        <w:spacing w:line="600" w:lineRule="atLeast"/>
        <w:ind w:right="76" w:firstLine="640"/>
      </w:pPr>
      <w:r>
        <w:rPr>
          <w:rFonts w:hint="eastAsia" w:ascii="仿宋" w:hAnsi="仿宋" w:eastAsia="仿宋" w:cs="Arial"/>
          <w:kern w:val="0"/>
          <w:sz w:val="32"/>
          <w:szCs w:val="32"/>
          <w:shd w:val="clear" w:color="auto" w:fill="FFFFFF"/>
        </w:rPr>
        <w:t>12.上缴上级支出：填列事业单位按照财政部门和主管部门的规定上缴上级单位的支出。</w:t>
      </w:r>
    </w:p>
    <w:p>
      <w:pPr>
        <w:widowControl/>
        <w:spacing w:line="600" w:lineRule="atLeast"/>
        <w:ind w:right="76" w:firstLine="640"/>
      </w:pPr>
      <w:r>
        <w:rPr>
          <w:rFonts w:hint="eastAsia" w:ascii="仿宋" w:hAnsi="仿宋" w:eastAsia="仿宋" w:cs="Arial"/>
          <w:kern w:val="0"/>
          <w:sz w:val="32"/>
          <w:szCs w:val="32"/>
          <w:shd w:val="clear" w:color="auto" w:fill="FFFFFF"/>
        </w:rPr>
        <w:t>13.经营支出：指事业单位在专业业务活动及其辅助活动之外开展非独立核算经营活动发生的支出。</w:t>
      </w:r>
    </w:p>
    <w:p>
      <w:pPr>
        <w:widowControl/>
        <w:spacing w:line="600" w:lineRule="atLeast"/>
        <w:ind w:right="76" w:firstLine="640"/>
      </w:pPr>
      <w:r>
        <w:rPr>
          <w:rFonts w:hint="eastAsia" w:ascii="仿宋" w:hAnsi="仿宋" w:eastAsia="仿宋" w:cs="Arial"/>
          <w:kern w:val="0"/>
          <w:sz w:val="32"/>
          <w:szCs w:val="32"/>
          <w:shd w:val="clear" w:color="auto" w:fill="FFFFFF"/>
        </w:rPr>
        <w:t>14.附属单位补助支出：填列事业单位用财政补助收入之外的收入对附属单位补助发生的支出。</w:t>
      </w:r>
    </w:p>
    <w:p>
      <w:pPr>
        <w:widowControl/>
        <w:spacing w:line="600" w:lineRule="atLeast"/>
        <w:ind w:right="76" w:firstLine="640"/>
      </w:pPr>
      <w:r>
        <w:rPr>
          <w:rFonts w:hint="eastAsia" w:ascii="仿宋" w:hAnsi="仿宋" w:eastAsia="仿宋" w:cs="Arial"/>
          <w:kern w:val="0"/>
          <w:sz w:val="32"/>
          <w:szCs w:val="32"/>
          <w:shd w:val="clear" w:color="auto" w:fill="FFFFFF"/>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widowControl/>
        <w:spacing w:line="600" w:lineRule="atLeast"/>
        <w:ind w:right="76" w:firstLine="640"/>
      </w:pPr>
      <w:r>
        <w:rPr>
          <w:rFonts w:hint="eastAsia" w:ascii="仿宋" w:hAnsi="仿宋" w:eastAsia="仿宋" w:cs="Arial"/>
          <w:kern w:val="0"/>
          <w:sz w:val="32"/>
          <w:szCs w:val="32"/>
          <w:shd w:val="clear" w:color="auto" w:fill="FFFFFF"/>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bl>
      <w:tblPr>
        <w:tblStyle w:val="7"/>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41" w:hRule="atLeast"/>
          <w:tblCellSpacing w:w="0" w:type="dxa"/>
        </w:trPr>
        <w:tc>
          <w:tcPr>
            <w:tcW w:w="8306" w:type="dxa"/>
            <w:shd w:val="clear" w:color="auto" w:fill="auto"/>
            <w:noWrap/>
            <w:vAlign w:val="center"/>
          </w:tcPr>
          <w:p>
            <w:pPr>
              <w:pStyle w:val="33"/>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7</w:t>
            </w:r>
            <w:r>
              <w:rPr>
                <w:rFonts w:ascii="仿宋" w:hAnsi="仿宋" w:eastAsia="仿宋"/>
                <w:sz w:val="32"/>
                <w:szCs w:val="32"/>
              </w:rPr>
              <w:t>. 社会保障和就业支出（类）行政事业单位离退休（款）机关事业单位基本养老保险缴费支出（项）：指机关事业单位实施养老保险制度由单位缴纳的基本养老保险支出。</w:t>
            </w:r>
          </w:p>
          <w:p>
            <w:pPr>
              <w:pStyle w:val="33"/>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8</w:t>
            </w:r>
            <w:r>
              <w:rPr>
                <w:rFonts w:ascii="仿宋" w:hAnsi="仿宋" w:eastAsia="仿宋"/>
                <w:sz w:val="32"/>
                <w:szCs w:val="32"/>
              </w:rPr>
              <w:t>. 社会保障和就业支出（类）行政事业单位离退休（款）机关事业单位职业年金缴费支出（项）：指机关事业单位实施养老保险制度由单位实际缴纳的职业年金支出。</w:t>
            </w:r>
          </w:p>
          <w:p>
            <w:pPr>
              <w:spacing w:line="560" w:lineRule="exact"/>
              <w:ind w:left="149" w:leftChars="71" w:firstLine="480" w:firstLineChars="15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9</w:t>
            </w:r>
            <w:r>
              <w:rPr>
                <w:rFonts w:ascii="仿宋" w:hAnsi="仿宋" w:eastAsia="仿宋"/>
                <w:sz w:val="32"/>
                <w:szCs w:val="32"/>
              </w:rPr>
              <w:t>.城乡社区支出</w:t>
            </w:r>
            <w:r>
              <w:rPr>
                <w:rFonts w:hint="eastAsia" w:ascii="仿宋" w:hAnsi="仿宋" w:eastAsia="仿宋"/>
                <w:sz w:val="32"/>
                <w:szCs w:val="32"/>
              </w:rPr>
              <w:t>（类）</w:t>
            </w:r>
            <w:r>
              <w:rPr>
                <w:rFonts w:ascii="仿宋" w:hAnsi="仿宋" w:eastAsia="仿宋"/>
                <w:sz w:val="32"/>
                <w:szCs w:val="32"/>
              </w:rPr>
              <w:t>—城乡社区管理事务</w:t>
            </w:r>
            <w:r>
              <w:rPr>
                <w:rFonts w:hint="eastAsia" w:ascii="仿宋" w:hAnsi="仿宋" w:eastAsia="仿宋"/>
                <w:sz w:val="32"/>
                <w:szCs w:val="32"/>
              </w:rPr>
              <w:t>（款）</w:t>
            </w:r>
            <w:r>
              <w:rPr>
                <w:rFonts w:ascii="仿宋" w:hAnsi="仿宋" w:eastAsia="仿宋"/>
                <w:sz w:val="32"/>
                <w:szCs w:val="32"/>
              </w:rPr>
              <w:t>—行政运行</w:t>
            </w:r>
            <w:r>
              <w:rPr>
                <w:rFonts w:hint="eastAsia" w:ascii="仿宋" w:hAnsi="仿宋" w:eastAsia="仿宋"/>
                <w:sz w:val="32"/>
                <w:szCs w:val="32"/>
              </w:rPr>
              <w:t>（项）</w:t>
            </w:r>
            <w:r>
              <w:rPr>
                <w:rFonts w:ascii="仿宋" w:hAnsi="仿宋" w:eastAsia="仿宋"/>
                <w:sz w:val="32"/>
                <w:szCs w:val="32"/>
              </w:rPr>
              <w:t>：指行政单位（包括实行公务员管理的事业单位）的基本支出。</w:t>
            </w:r>
          </w:p>
          <w:p>
            <w:pPr>
              <w:spacing w:line="560" w:lineRule="exact"/>
              <w:ind w:left="149" w:leftChars="71" w:firstLine="480" w:firstLineChars="150"/>
              <w:rPr>
                <w:rFonts w:ascii="仿宋" w:hAnsi="仿宋" w:eastAsia="仿宋"/>
                <w:sz w:val="32"/>
                <w:szCs w:val="32"/>
              </w:rPr>
            </w:pPr>
            <w:r>
              <w:rPr>
                <w:rFonts w:hint="eastAsia" w:ascii="仿宋" w:hAnsi="仿宋" w:eastAsia="仿宋"/>
                <w:sz w:val="32"/>
                <w:szCs w:val="32"/>
              </w:rPr>
              <w:t>20</w:t>
            </w:r>
            <w:r>
              <w:rPr>
                <w:rFonts w:ascii="仿宋" w:hAnsi="仿宋" w:eastAsia="仿宋"/>
                <w:sz w:val="32"/>
                <w:szCs w:val="32"/>
              </w:rPr>
              <w:t>.城乡社区支出</w:t>
            </w:r>
            <w:r>
              <w:rPr>
                <w:rFonts w:hint="eastAsia" w:ascii="仿宋" w:hAnsi="仿宋" w:eastAsia="仿宋"/>
                <w:sz w:val="32"/>
                <w:szCs w:val="32"/>
              </w:rPr>
              <w:t>（类）</w:t>
            </w:r>
            <w:r>
              <w:rPr>
                <w:rFonts w:ascii="仿宋" w:hAnsi="仿宋" w:eastAsia="仿宋"/>
                <w:sz w:val="32"/>
                <w:szCs w:val="32"/>
              </w:rPr>
              <w:t>—城乡社区管理事务</w:t>
            </w:r>
            <w:r>
              <w:rPr>
                <w:rFonts w:hint="eastAsia" w:ascii="仿宋" w:hAnsi="仿宋" w:eastAsia="仿宋"/>
                <w:sz w:val="32"/>
                <w:szCs w:val="32"/>
              </w:rPr>
              <w:t>（款）</w:t>
            </w:r>
            <w:r>
              <w:rPr>
                <w:rFonts w:ascii="仿宋" w:hAnsi="仿宋" w:eastAsia="仿宋"/>
                <w:sz w:val="32"/>
                <w:szCs w:val="32"/>
              </w:rPr>
              <w:t>—城管执法</w:t>
            </w:r>
            <w:r>
              <w:rPr>
                <w:rFonts w:hint="eastAsia" w:ascii="仿宋" w:hAnsi="仿宋" w:eastAsia="仿宋"/>
                <w:sz w:val="32"/>
                <w:szCs w:val="32"/>
              </w:rPr>
              <w:t>（项）</w:t>
            </w:r>
            <w:r>
              <w:rPr>
                <w:rFonts w:ascii="仿宋" w:hAnsi="仿宋" w:eastAsia="仿宋"/>
                <w:sz w:val="32"/>
                <w:szCs w:val="32"/>
              </w:rPr>
              <w:t>：指城市管理综合行政执法、加强城市市容和环境卫生管理等方面的支出。</w:t>
            </w:r>
          </w:p>
          <w:p>
            <w:pPr>
              <w:spacing w:line="560" w:lineRule="exact"/>
              <w:ind w:left="149" w:leftChars="71" w:firstLine="480" w:firstLineChars="150"/>
              <w:rPr>
                <w:rFonts w:ascii="仿宋" w:hAnsi="仿宋" w:eastAsia="仿宋"/>
                <w:sz w:val="32"/>
                <w:szCs w:val="32"/>
              </w:rPr>
            </w:pPr>
            <w:r>
              <w:rPr>
                <w:rFonts w:hint="eastAsia" w:ascii="仿宋" w:hAnsi="仿宋" w:eastAsia="仿宋"/>
                <w:sz w:val="32"/>
                <w:szCs w:val="32"/>
              </w:rPr>
              <w:t>21</w:t>
            </w:r>
            <w:r>
              <w:rPr>
                <w:rFonts w:ascii="仿宋" w:hAnsi="仿宋" w:eastAsia="仿宋"/>
                <w:sz w:val="32"/>
                <w:szCs w:val="32"/>
              </w:rPr>
              <w:t>.城乡社区支出</w:t>
            </w:r>
            <w:r>
              <w:rPr>
                <w:rFonts w:hint="eastAsia" w:ascii="仿宋" w:hAnsi="仿宋" w:eastAsia="仿宋"/>
                <w:sz w:val="32"/>
                <w:szCs w:val="32"/>
              </w:rPr>
              <w:t>（类）</w:t>
            </w:r>
            <w:r>
              <w:rPr>
                <w:rFonts w:ascii="仿宋" w:hAnsi="仿宋" w:eastAsia="仿宋"/>
                <w:sz w:val="32"/>
                <w:szCs w:val="32"/>
              </w:rPr>
              <w:t>—城乡社区管理事务</w:t>
            </w:r>
            <w:r>
              <w:rPr>
                <w:rFonts w:hint="eastAsia" w:ascii="仿宋" w:hAnsi="仿宋" w:eastAsia="仿宋"/>
                <w:sz w:val="32"/>
                <w:szCs w:val="32"/>
              </w:rPr>
              <w:t>（款）</w:t>
            </w:r>
            <w:r>
              <w:rPr>
                <w:rFonts w:ascii="仿宋" w:hAnsi="仿宋" w:eastAsia="仿宋"/>
                <w:sz w:val="32"/>
                <w:szCs w:val="32"/>
              </w:rPr>
              <w:t>—其他城乡社区管理事务支出</w:t>
            </w:r>
            <w:r>
              <w:rPr>
                <w:rFonts w:hint="eastAsia" w:ascii="仿宋" w:hAnsi="仿宋" w:eastAsia="仿宋"/>
                <w:sz w:val="32"/>
                <w:szCs w:val="32"/>
              </w:rPr>
              <w:t>（项）</w:t>
            </w:r>
            <w:r>
              <w:rPr>
                <w:rFonts w:ascii="仿宋" w:hAnsi="仿宋" w:eastAsia="仿宋"/>
                <w:sz w:val="32"/>
                <w:szCs w:val="32"/>
              </w:rPr>
              <w:t>：指其他用于城乡社区管理事务方面的支出。</w:t>
            </w:r>
          </w:p>
          <w:p>
            <w:pPr>
              <w:pStyle w:val="33"/>
              <w:ind w:firstLine="640" w:firstLineChars="200"/>
              <w:rPr>
                <w:rFonts w:ascii="仿宋" w:hAnsi="仿宋" w:eastAsia="仿宋"/>
                <w:sz w:val="32"/>
                <w:szCs w:val="32"/>
              </w:rPr>
            </w:pPr>
            <w:r>
              <w:rPr>
                <w:rFonts w:ascii="仿宋" w:hAnsi="仿宋" w:eastAsia="仿宋" w:cs="宋体"/>
                <w:sz w:val="32"/>
                <w:szCs w:val="32"/>
              </w:rPr>
              <w:t>2</w:t>
            </w:r>
            <w:r>
              <w:rPr>
                <w:rFonts w:hint="eastAsia" w:ascii="仿宋" w:hAnsi="仿宋" w:eastAsia="仿宋" w:cs="宋体"/>
                <w:sz w:val="32"/>
                <w:szCs w:val="32"/>
              </w:rPr>
              <w:t>2</w:t>
            </w:r>
            <w:r>
              <w:rPr>
                <w:rFonts w:ascii="仿宋" w:hAnsi="仿宋" w:eastAsia="仿宋" w:cs="宋体"/>
                <w:sz w:val="32"/>
                <w:szCs w:val="32"/>
              </w:rPr>
              <w:t>.城乡社区支出</w:t>
            </w:r>
            <w:r>
              <w:rPr>
                <w:rFonts w:ascii="仿宋" w:hAnsi="仿宋" w:eastAsia="仿宋"/>
                <w:sz w:val="32"/>
                <w:szCs w:val="32"/>
              </w:rPr>
              <w:t>（类）</w:t>
            </w:r>
            <w:r>
              <w:rPr>
                <w:rFonts w:ascii="仿宋" w:hAnsi="仿宋" w:eastAsia="仿宋" w:cs="宋体"/>
                <w:sz w:val="32"/>
                <w:szCs w:val="32"/>
              </w:rPr>
              <w:t>—国有土地使用权出让收入及对应专项债务收入安排的支出</w:t>
            </w:r>
            <w:r>
              <w:rPr>
                <w:rFonts w:ascii="仿宋" w:hAnsi="仿宋" w:eastAsia="仿宋"/>
                <w:sz w:val="32"/>
                <w:szCs w:val="32"/>
              </w:rPr>
              <w:t>（款）</w:t>
            </w:r>
            <w:r>
              <w:rPr>
                <w:rFonts w:ascii="仿宋" w:hAnsi="仿宋" w:eastAsia="仿宋" w:cs="宋体"/>
                <w:sz w:val="32"/>
                <w:szCs w:val="32"/>
              </w:rPr>
              <w:t>—其他国有土地使用权出让收入安排的支出</w:t>
            </w:r>
            <w:r>
              <w:rPr>
                <w:rFonts w:ascii="仿宋" w:hAnsi="仿宋" w:eastAsia="仿宋"/>
                <w:sz w:val="32"/>
                <w:szCs w:val="32"/>
              </w:rPr>
              <w:t>（项）：指土地出让收入用于其他方面的支出。不包括市县级政府当年按规定用土地出让收入向中央和省级政府缴纳的新增建设用地土地有偿使用费的支出。</w:t>
            </w:r>
          </w:p>
          <w:p>
            <w:pPr>
              <w:pStyle w:val="2"/>
              <w:spacing w:before="156"/>
              <w:ind w:firstLine="640"/>
              <w:rPr>
                <w:rFonts w:ascii="仿宋" w:hAnsi="仿宋" w:eastAsia="仿宋" w:cs="宋体"/>
                <w:kern w:val="0"/>
                <w:sz w:val="32"/>
                <w:szCs w:val="32"/>
              </w:rPr>
            </w:pPr>
            <w:r>
              <w:rPr>
                <w:rFonts w:hint="eastAsia" w:ascii="仿宋" w:hAnsi="仿宋" w:eastAsia="仿宋" w:cs="宋体"/>
                <w:kern w:val="0"/>
                <w:sz w:val="32"/>
                <w:szCs w:val="32"/>
              </w:rPr>
              <w:t>23.城乡社区支出（类）城市基础设施配套费安排的支出（款）城市环境卫生（项）：指反映城市基础设施配套费安排用于道路清扫、垃圾清运与处理、污水处理、园林绿化等方面的支出。</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24.一般公共服务支出（类）其他一般公共服务支出（款）其他一般公共服务支出（项）：是指其他一般公共服务支出。</w:t>
            </w:r>
          </w:p>
          <w:p>
            <w:pPr>
              <w:pStyle w:val="2"/>
              <w:spacing w:before="156"/>
              <w:ind w:firstLine="640"/>
            </w:pPr>
            <w:r>
              <w:rPr>
                <w:rFonts w:hint="eastAsia" w:ascii="仿宋" w:hAnsi="仿宋" w:eastAsia="仿宋"/>
                <w:sz w:val="32"/>
                <w:szCs w:val="32"/>
                <w:shd w:val="clear" w:color="auto" w:fill="FFFFFF"/>
              </w:rPr>
              <w:t>25.节能环保支出（类）其他节能环保支出（款）其他节能环保支出（项）：指反映其他用于节能环保方面的支出。</w:t>
            </w:r>
          </w:p>
          <w:p>
            <w:pPr>
              <w:jc w:val="center"/>
              <w:rPr>
                <w:rFonts w:ascii="宋体"/>
                <w:sz w:val="18"/>
                <w:szCs w:val="18"/>
              </w:rPr>
            </w:pPr>
          </w:p>
        </w:tc>
      </w:tr>
    </w:tbl>
    <w:p>
      <w:pPr>
        <w:rPr>
          <w:vanish/>
          <w:sz w:val="24"/>
        </w:rPr>
      </w:pPr>
    </w:p>
    <w:tbl>
      <w:tblPr>
        <w:tblStyle w:val="7"/>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41" w:hRule="atLeast"/>
          <w:tblCellSpacing w:w="0" w:type="dxa"/>
        </w:trPr>
        <w:tc>
          <w:tcPr>
            <w:tcW w:w="8306" w:type="dxa"/>
            <w:shd w:val="clear" w:color="auto" w:fill="auto"/>
            <w:noWrap/>
            <w:vAlign w:val="center"/>
          </w:tcPr>
          <w:p>
            <w:pPr>
              <w:jc w:val="center"/>
              <w:rPr>
                <w:rFonts w:ascii="宋体"/>
                <w:sz w:val="18"/>
                <w:szCs w:val="18"/>
              </w:rPr>
            </w:pPr>
          </w:p>
        </w:tc>
      </w:tr>
    </w:tbl>
    <w:p>
      <w:pPr>
        <w:rPr>
          <w:vanish/>
          <w:sz w:val="24"/>
        </w:rPr>
      </w:pPr>
    </w:p>
    <w:tbl>
      <w:tblPr>
        <w:tblStyle w:val="7"/>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41" w:hRule="atLeast"/>
          <w:tblCellSpacing w:w="0" w:type="dxa"/>
        </w:trPr>
        <w:tc>
          <w:tcPr>
            <w:tcW w:w="8306" w:type="dxa"/>
            <w:shd w:val="clear" w:color="auto" w:fill="auto"/>
            <w:noWrap/>
            <w:vAlign w:val="center"/>
          </w:tcPr>
          <w:p>
            <w:pPr>
              <w:jc w:val="center"/>
              <w:rPr>
                <w:rFonts w:ascii="宋体"/>
                <w:sz w:val="18"/>
                <w:szCs w:val="18"/>
              </w:rPr>
            </w:pPr>
          </w:p>
        </w:tc>
      </w:tr>
    </w:tbl>
    <w:p>
      <w:pPr>
        <w:rPr>
          <w:vanish/>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2072759"/>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D4B7C7"/>
    <w:multiLevelType w:val="singleLevel"/>
    <w:tmpl w:val="ABD4B7C7"/>
    <w:lvl w:ilvl="0" w:tentative="0">
      <w:start w:val="4"/>
      <w:numFmt w:val="chineseCounting"/>
      <w:suff w:val="nothing"/>
      <w:lvlText w:val="（%1）"/>
      <w:lvlJc w:val="left"/>
      <w:rPr>
        <w:rFonts w:hint="eastAsia"/>
      </w:rPr>
    </w:lvl>
  </w:abstractNum>
  <w:abstractNum w:abstractNumId="1">
    <w:nsid w:val="CF1B6C33"/>
    <w:multiLevelType w:val="singleLevel"/>
    <w:tmpl w:val="CF1B6C33"/>
    <w:lvl w:ilvl="0" w:tentative="0">
      <w:start w:val="3"/>
      <w:numFmt w:val="decimal"/>
      <w:lvlText w:val="%1."/>
      <w:lvlJc w:val="left"/>
      <w:pPr>
        <w:tabs>
          <w:tab w:val="left" w:pos="312"/>
        </w:tabs>
      </w:pPr>
    </w:lvl>
  </w:abstractNum>
  <w:abstractNum w:abstractNumId="2">
    <w:nsid w:val="DC48926F"/>
    <w:multiLevelType w:val="singleLevel"/>
    <w:tmpl w:val="DC48926F"/>
    <w:lvl w:ilvl="0" w:tentative="0">
      <w:start w:val="1"/>
      <w:numFmt w:val="decimal"/>
      <w:suff w:val="nothing"/>
      <w:lvlText w:val="（%1）"/>
      <w:lvlJc w:val="left"/>
    </w:lvl>
  </w:abstractNum>
  <w:abstractNum w:abstractNumId="3">
    <w:nsid w:val="13584166"/>
    <w:multiLevelType w:val="singleLevel"/>
    <w:tmpl w:val="13584166"/>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218F5"/>
    <w:rsid w:val="001D2D91"/>
    <w:rsid w:val="002916C3"/>
    <w:rsid w:val="00521F56"/>
    <w:rsid w:val="00546B0B"/>
    <w:rsid w:val="006E6605"/>
    <w:rsid w:val="00851B92"/>
    <w:rsid w:val="00904677"/>
    <w:rsid w:val="009D58EF"/>
    <w:rsid w:val="00C068CD"/>
    <w:rsid w:val="00FA39D3"/>
    <w:rsid w:val="0DCC34DD"/>
    <w:rsid w:val="114E1F82"/>
    <w:rsid w:val="148F60CF"/>
    <w:rsid w:val="167E031B"/>
    <w:rsid w:val="2D2A10D3"/>
    <w:rsid w:val="389C080D"/>
    <w:rsid w:val="3EAD1FD8"/>
    <w:rsid w:val="46D579D5"/>
    <w:rsid w:val="529554BB"/>
    <w:rsid w:val="53AA50F5"/>
    <w:rsid w:val="5AB50E5D"/>
    <w:rsid w:val="6DF63236"/>
    <w:rsid w:val="72327A4C"/>
    <w:rsid w:val="740218F5"/>
    <w:rsid w:val="742131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1"/>
    <w:basedOn w:val="1"/>
    <w:next w:val="1"/>
    <w:qFormat/>
    <w:uiPriority w:val="0"/>
    <w:pPr>
      <w:spacing w:beforeLines="50" w:after="100" w:afterAutospacing="1" w:line="360" w:lineRule="auto"/>
      <w:ind w:firstLine="420" w:firstLineChars="200"/>
    </w:pPr>
  </w:style>
  <w:style w:type="paragraph" w:styleId="3">
    <w:name w:val="Balloon Text"/>
    <w:basedOn w:val="1"/>
    <w:link w:val="36"/>
    <w:uiPriority w:val="0"/>
    <w:rPr>
      <w:sz w:val="18"/>
      <w:szCs w:val="18"/>
    </w:rPr>
  </w:style>
  <w:style w:type="paragraph" w:styleId="4">
    <w:name w:val="footer"/>
    <w:basedOn w:val="1"/>
    <w:link w:val="35"/>
    <w:uiPriority w:val="99"/>
    <w:pPr>
      <w:tabs>
        <w:tab w:val="center" w:pos="4153"/>
        <w:tab w:val="right" w:pos="8306"/>
      </w:tabs>
      <w:snapToGrid w:val="0"/>
      <w:jc w:val="left"/>
    </w:pPr>
    <w:rPr>
      <w:sz w:val="18"/>
      <w:szCs w:val="18"/>
    </w:rPr>
  </w:style>
  <w:style w:type="paragraph" w:styleId="5">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TML Definition"/>
    <w:basedOn w:val="8"/>
    <w:qFormat/>
    <w:uiPriority w:val="0"/>
  </w:style>
  <w:style w:type="character" w:styleId="11">
    <w:name w:val="HTML Variable"/>
    <w:basedOn w:val="8"/>
    <w:qFormat/>
    <w:uiPriority w:val="0"/>
  </w:style>
  <w:style w:type="character" w:styleId="12">
    <w:name w:val="Hyperlink"/>
    <w:basedOn w:val="8"/>
    <w:qFormat/>
    <w:uiPriority w:val="0"/>
    <w:rPr>
      <w:color w:val="0000FF"/>
      <w:u w:val="none"/>
    </w:rPr>
  </w:style>
  <w:style w:type="character" w:styleId="13">
    <w:name w:val="HTML Code"/>
    <w:basedOn w:val="8"/>
    <w:qFormat/>
    <w:uiPriority w:val="0"/>
    <w:rPr>
      <w:rFonts w:ascii="Courier New" w:hAnsi="Courier New"/>
      <w:sz w:val="20"/>
      <w:shd w:val="clear" w:color="auto" w:fill="F6F6F6"/>
    </w:rPr>
  </w:style>
  <w:style w:type="character" w:styleId="14">
    <w:name w:val="HTML Cite"/>
    <w:basedOn w:val="8"/>
    <w:qFormat/>
    <w:uiPriority w:val="0"/>
  </w:style>
  <w:style w:type="character" w:customStyle="1" w:styleId="15">
    <w:name w:val="image8"/>
    <w:basedOn w:val="8"/>
    <w:qFormat/>
    <w:uiPriority w:val="0"/>
  </w:style>
  <w:style w:type="character" w:customStyle="1" w:styleId="16">
    <w:name w:val="image9"/>
    <w:basedOn w:val="8"/>
    <w:qFormat/>
    <w:uiPriority w:val="0"/>
  </w:style>
  <w:style w:type="character" w:customStyle="1" w:styleId="17">
    <w:name w:val="image10"/>
    <w:basedOn w:val="8"/>
    <w:qFormat/>
    <w:uiPriority w:val="0"/>
  </w:style>
  <w:style w:type="character" w:customStyle="1" w:styleId="18">
    <w:name w:val="group"/>
    <w:basedOn w:val="8"/>
    <w:qFormat/>
    <w:uiPriority w:val="0"/>
  </w:style>
  <w:style w:type="character" w:customStyle="1" w:styleId="19">
    <w:name w:val="ui-state-hover21"/>
    <w:basedOn w:val="8"/>
    <w:qFormat/>
    <w:uiPriority w:val="0"/>
  </w:style>
  <w:style w:type="character" w:customStyle="1" w:styleId="20">
    <w:name w:val="clicked1"/>
    <w:basedOn w:val="8"/>
    <w:qFormat/>
    <w:uiPriority w:val="0"/>
  </w:style>
  <w:style w:type="character" w:customStyle="1" w:styleId="21">
    <w:name w:val="clicked2"/>
    <w:basedOn w:val="8"/>
    <w:qFormat/>
    <w:uiPriority w:val="0"/>
    <w:rPr>
      <w:color w:val="000000"/>
    </w:rPr>
  </w:style>
  <w:style w:type="character" w:customStyle="1" w:styleId="22">
    <w:name w:val="clicked3"/>
    <w:basedOn w:val="8"/>
    <w:qFormat/>
    <w:uiPriority w:val="0"/>
  </w:style>
  <w:style w:type="character" w:customStyle="1" w:styleId="23">
    <w:name w:val="newstitle"/>
    <w:basedOn w:val="8"/>
    <w:qFormat/>
    <w:uiPriority w:val="0"/>
    <w:rPr>
      <w:b/>
      <w:bCs/>
      <w:color w:val="000000"/>
      <w:sz w:val="24"/>
      <w:szCs w:val="24"/>
    </w:rPr>
  </w:style>
  <w:style w:type="character" w:customStyle="1" w:styleId="24">
    <w:name w:val="item-middle"/>
    <w:basedOn w:val="8"/>
    <w:qFormat/>
    <w:uiPriority w:val="0"/>
  </w:style>
  <w:style w:type="character" w:customStyle="1" w:styleId="25">
    <w:name w:val="button-hover"/>
    <w:basedOn w:val="8"/>
    <w:qFormat/>
    <w:uiPriority w:val="0"/>
  </w:style>
  <w:style w:type="character" w:customStyle="1" w:styleId="26">
    <w:name w:val="button-hover1"/>
    <w:basedOn w:val="8"/>
    <w:qFormat/>
    <w:uiPriority w:val="0"/>
  </w:style>
  <w:style w:type="character" w:customStyle="1" w:styleId="27">
    <w:name w:val="ui-icon33"/>
    <w:basedOn w:val="8"/>
    <w:qFormat/>
    <w:uiPriority w:val="0"/>
  </w:style>
  <w:style w:type="character" w:customStyle="1" w:styleId="28">
    <w:name w:val="ui-state-default12"/>
    <w:basedOn w:val="8"/>
    <w:qFormat/>
    <w:uiPriority w:val="0"/>
  </w:style>
  <w:style w:type="character" w:customStyle="1" w:styleId="29">
    <w:name w:val="ui-state-default13"/>
    <w:basedOn w:val="8"/>
    <w:qFormat/>
    <w:uiPriority w:val="0"/>
  </w:style>
  <w:style w:type="character" w:customStyle="1" w:styleId="30">
    <w:name w:val="directchildrenspan"/>
    <w:basedOn w:val="8"/>
    <w:qFormat/>
    <w:uiPriority w:val="0"/>
  </w:style>
  <w:style w:type="character" w:customStyle="1" w:styleId="31">
    <w:name w:val="ui-state-active6"/>
    <w:basedOn w:val="8"/>
    <w:qFormat/>
    <w:uiPriority w:val="0"/>
  </w:style>
  <w:style w:type="character" w:customStyle="1" w:styleId="32">
    <w:name w:val="imgspan"/>
    <w:basedOn w:val="8"/>
    <w:qFormat/>
    <w:uiPriority w:val="0"/>
  </w:style>
  <w:style w:type="paragraph" w:customStyle="1" w:styleId="33">
    <w:name w:val="Default"/>
    <w:basedOn w:val="1"/>
    <w:qFormat/>
    <w:uiPriority w:val="0"/>
    <w:pPr>
      <w:autoSpaceDE w:val="0"/>
      <w:autoSpaceDN w:val="0"/>
      <w:adjustRightInd w:val="0"/>
    </w:pPr>
    <w:rPr>
      <w:rFonts w:ascii="仿宋_GB2312" w:hAnsi="仿宋_GB2312" w:cs="Times New Roman"/>
      <w:color w:val="000000"/>
    </w:rPr>
  </w:style>
  <w:style w:type="character" w:customStyle="1" w:styleId="34">
    <w:name w:val="页眉 Char"/>
    <w:basedOn w:val="8"/>
    <w:link w:val="5"/>
    <w:uiPriority w:val="0"/>
    <w:rPr>
      <w:rFonts w:asciiTheme="minorHAnsi" w:hAnsiTheme="minorHAnsi" w:eastAsiaTheme="minorEastAsia" w:cstheme="minorBidi"/>
      <w:kern w:val="2"/>
      <w:sz w:val="18"/>
      <w:szCs w:val="18"/>
    </w:rPr>
  </w:style>
  <w:style w:type="character" w:customStyle="1" w:styleId="35">
    <w:name w:val="页脚 Char"/>
    <w:basedOn w:val="8"/>
    <w:link w:val="4"/>
    <w:uiPriority w:val="99"/>
    <w:rPr>
      <w:rFonts w:asciiTheme="minorHAnsi" w:hAnsiTheme="minorHAnsi" w:eastAsiaTheme="minorEastAsia" w:cstheme="minorBidi"/>
      <w:kern w:val="2"/>
      <w:sz w:val="18"/>
      <w:szCs w:val="18"/>
    </w:rPr>
  </w:style>
  <w:style w:type="character" w:customStyle="1" w:styleId="36">
    <w:name w:val="批注框文本 Char"/>
    <w:basedOn w:val="8"/>
    <w:link w:val="3"/>
    <w:uiPriority w:val="0"/>
    <w:rPr>
      <w:rFonts w:asciiTheme="minorHAnsi" w:hAnsiTheme="minorHAnsi" w:eastAsiaTheme="minorEastAsia" w:cstheme="minorBidi"/>
      <w:kern w:val="2"/>
      <w:sz w:val="18"/>
      <w:szCs w:val="18"/>
    </w:rPr>
  </w:style>
  <w:style w:type="paragraph" w:styleId="3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9208</Words>
  <Characters>2492</Characters>
  <Lines>20</Lines>
  <Paragraphs>23</Paragraphs>
  <TotalTime>58</TotalTime>
  <ScaleCrop>false</ScaleCrop>
  <LinksUpToDate>false</LinksUpToDate>
  <CharactersWithSpaces>11677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2021-09-15T00:42:00Z</dcterms:created>
  <dc:creator>Administrator</dc:creator>
  <cp:lastModifiedBy>浙江台温律师事务所</cp:lastModifiedBy>
  <dcterms:modified xsi:type="dcterms:W3CDTF">2022-06-28T08:48:29Z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1CAFA5BBEC7C4ACC976827C4BA587EF8</vt:lpwstr>
  </property>
</Properties>
</file>