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ˎ̥" w:eastAsia="方正小标宋简体" w:cs="宋体"/>
          <w:b/>
          <w:bCs/>
          <w:sz w:val="44"/>
          <w:szCs w:val="44"/>
        </w:rPr>
      </w:pPr>
      <w:bookmarkStart w:id="0" w:name="_GoBack"/>
      <w:bookmarkEnd w:id="0"/>
      <w:r>
        <w:rPr>
          <w:rFonts w:hint="eastAsia" w:ascii="方正小标宋简体" w:hAnsi="ˎ̥" w:eastAsia="方正小标宋简体" w:cs="宋体"/>
          <w:sz w:val="44"/>
          <w:szCs w:val="44"/>
        </w:rPr>
        <w:t>温岭市公共资源交易中心2021年部门预算</w:t>
      </w:r>
    </w:p>
    <w:p>
      <w:pPr>
        <w:spacing w:line="590" w:lineRule="exact"/>
        <w:ind w:firstLine="560" w:firstLineChars="200"/>
        <w:rPr>
          <w:rFonts w:ascii="楷体" w:hAnsi="楷体" w:eastAsia="楷体" w:cs="楷体"/>
          <w:sz w:val="28"/>
          <w:szCs w:val="28"/>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一、温岭市公共资源交易中心概况</w:t>
      </w:r>
    </w:p>
    <w:p>
      <w:pPr>
        <w:spacing w:line="590" w:lineRule="exact"/>
        <w:ind w:firstLine="640" w:firstLineChars="200"/>
        <w:rPr>
          <w:rFonts w:ascii="仿宋_GB2312" w:hAnsi="ˎ̥" w:eastAsia="仿宋_GB2312" w:cs="宋体"/>
          <w:sz w:val="32"/>
          <w:szCs w:val="32"/>
          <w:lang w:val="zh-CN"/>
        </w:rPr>
      </w:pPr>
      <w:r>
        <w:rPr>
          <w:rFonts w:hint="eastAsia" w:ascii="仿宋_GB2312" w:hAnsi="ˎ̥" w:eastAsia="仿宋_GB2312" w:cs="宋体"/>
          <w:sz w:val="32"/>
          <w:szCs w:val="32"/>
          <w:lang w:val="zh-CN"/>
        </w:rPr>
        <w:t>（一）主要职能</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楷体" w:hAnsi="楷体" w:eastAsia="楷体" w:cs="楷体"/>
          <w:color w:val="000000"/>
          <w:sz w:val="28"/>
          <w:szCs w:val="28"/>
          <w:shd w:val="clear" w:color="auto" w:fill="FFFFFF"/>
        </w:rPr>
        <w:t> </w:t>
      </w:r>
      <w:r>
        <w:rPr>
          <w:rFonts w:hint="eastAsia" w:ascii="仿宋_GB2312" w:hAnsi="微软雅黑" w:eastAsia="仿宋_GB2312" w:cs="Arial"/>
          <w:color w:val="000000"/>
          <w:sz w:val="32"/>
          <w:szCs w:val="32"/>
        </w:rPr>
        <w:t>1、根据法律、法规、规章有关规定，制定并实施场内交易管理制度。</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2、负责为各类公共资源交易活动提供设施配套齐全、服务规范的配套交易场所，维护公共资源交易场内工作秩序。</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3、统一发布各类公共资源交易信息，并为公共资源交易各方提供咨询服务。</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4、承办政府集中采购和公共资源拓展项目交易业务。</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5、负责公共资源交易网站的维护管理，负责抽取公共资源交易评标专家，负责建设和管理公共资源交易投标人（供应商） 库。</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6、协助对评标专家、中介代理机构及相关招标人在场内工作的管理和考核。</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7、完成温岭市公共资源交易管理委员会交办的其他任务。</w:t>
      </w:r>
    </w:p>
    <w:p>
      <w:pPr>
        <w:spacing w:line="590" w:lineRule="exact"/>
        <w:ind w:firstLine="640" w:firstLineChars="200"/>
        <w:rPr>
          <w:rFonts w:ascii="仿宋_GB2312" w:hAnsi="ˎ̥" w:eastAsia="仿宋_GB2312" w:cs="宋体"/>
          <w:sz w:val="32"/>
          <w:szCs w:val="32"/>
          <w:lang w:val="zh-CN"/>
        </w:rPr>
      </w:pPr>
      <w:r>
        <w:rPr>
          <w:rFonts w:hint="eastAsia" w:ascii="仿宋_GB2312" w:hAnsi="ˎ̥" w:eastAsia="仿宋_GB2312" w:cs="宋体"/>
          <w:sz w:val="32"/>
          <w:szCs w:val="32"/>
          <w:lang w:val="zh-CN"/>
        </w:rPr>
        <w:t>（二）温岭市公共资源交易中心机构设置情况</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从预算单位构成看，</w:t>
      </w:r>
      <w:r>
        <w:rPr>
          <w:rFonts w:hint="eastAsia" w:ascii="仿宋_GB2312" w:hAnsi="微软雅黑" w:eastAsia="仿宋_GB2312" w:cs="Arial"/>
          <w:color w:val="000000"/>
          <w:sz w:val="32"/>
          <w:szCs w:val="32"/>
          <w:lang w:val="zh-CN"/>
        </w:rPr>
        <w:t>温岭市公共资源交易中心</w:t>
      </w:r>
      <w:r>
        <w:rPr>
          <w:rFonts w:hint="eastAsia" w:ascii="仿宋_GB2312" w:hAnsi="微软雅黑" w:eastAsia="仿宋_GB2312" w:cs="Arial"/>
          <w:color w:val="000000"/>
          <w:sz w:val="32"/>
          <w:szCs w:val="32"/>
        </w:rPr>
        <w:t>部门预算是指本级预算。</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二、温岭市公共资源交易中心2021年部门预算安排情况说明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（一）关于温岭市公共资源交易中心2021年收支预算情况的总体说明</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按照综合预算的原则，温岭市公共资源交易中心所有收入和支出均纳入部门预算管理。收入包括：一般公共预算拨款收入、专户资金收入。支出包括：一般公共服务支出、社会保障和就业支出。温岭市公共资源交易中心2021年收支总预算813.8万元。</w:t>
      </w:r>
    </w:p>
    <w:p>
      <w:pPr>
        <w:spacing w:line="590" w:lineRule="exact"/>
        <w:ind w:firstLine="643" w:firstLineChars="200"/>
        <w:rPr>
          <w:rFonts w:ascii="楷体" w:hAnsi="楷体" w:eastAsia="楷体" w:cs="楷体"/>
          <w:sz w:val="28"/>
          <w:szCs w:val="28"/>
        </w:rPr>
      </w:pPr>
      <w:r>
        <w:rPr>
          <w:rFonts w:hint="eastAsia" w:ascii="仿宋_GB2312" w:hAnsi="ˎ̥" w:eastAsia="仿宋_GB2312" w:cs="宋体"/>
          <w:b/>
          <w:bCs/>
          <w:sz w:val="32"/>
          <w:szCs w:val="32"/>
        </w:rPr>
        <w:t>（二）关于温岭市公共资源交易中心2021年收入预算情况说明</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温岭市公共资源交易中心2021年收入预算813.8万元，比上年收入执行数增加</w:t>
      </w:r>
      <w:r>
        <w:rPr>
          <w:rFonts w:hint="eastAsia" w:ascii="仿宋_GB2312" w:hAnsi="微软雅黑" w:eastAsia="仿宋_GB2312" w:cs="Arial"/>
          <w:sz w:val="32"/>
          <w:szCs w:val="32"/>
        </w:rPr>
        <w:t>124.83万元，增长18.1%，主要原</w:t>
      </w:r>
      <w:r>
        <w:rPr>
          <w:rFonts w:hint="eastAsia" w:ascii="仿宋_GB2312" w:hAnsi="微软雅黑" w:eastAsia="仿宋_GB2312" w:cs="Arial"/>
          <w:color w:val="000000"/>
          <w:sz w:val="32"/>
          <w:szCs w:val="32"/>
        </w:rPr>
        <w:t>因是人员增加，人员经费定额标准有所提高，及新增交易中心评标区改造项目。</w:t>
      </w:r>
    </w:p>
    <w:p>
      <w:pPr>
        <w:pStyle w:val="6"/>
        <w:spacing w:beforeAutospacing="0" w:afterAutospacing="0" w:line="480" w:lineRule="atLeast"/>
        <w:ind w:firstLine="480"/>
        <w:jc w:val="both"/>
        <w:rPr>
          <w:rFonts w:ascii="楷体" w:hAnsi="楷体" w:eastAsia="楷体" w:cs="楷体"/>
          <w:sz w:val="28"/>
          <w:szCs w:val="28"/>
        </w:rPr>
      </w:pPr>
      <w:r>
        <w:rPr>
          <w:rFonts w:hint="eastAsia" w:ascii="仿宋_GB2312" w:hAnsi="微软雅黑" w:eastAsia="仿宋_GB2312" w:cs="Arial"/>
          <w:color w:val="000000"/>
          <w:sz w:val="32"/>
          <w:szCs w:val="32"/>
        </w:rPr>
        <w:t>其中：一般公共预算拨款收入192.46万元，占23.6%；专户资金621.34万元，占76.4%。</w:t>
      </w:r>
      <w:r>
        <w:rPr>
          <w:rFonts w:hint="eastAsia" w:ascii="仿宋_GB2312" w:hAnsi="微软雅黑" w:eastAsia="仿宋_GB2312" w:cs="Arial"/>
          <w:color w:val="000000"/>
          <w:sz w:val="32"/>
          <w:szCs w:val="32"/>
        </w:rPr>
        <w:br w:type="textWrapping"/>
      </w:r>
      <w:r>
        <w:rPr>
          <w:rFonts w:hint="eastAsia" w:ascii="仿宋_GB2312" w:hAnsi="ˎ̥" w:eastAsia="仿宋_GB2312" w:cs="宋体"/>
          <w:b/>
          <w:bCs/>
          <w:kern w:val="2"/>
          <w:sz w:val="32"/>
          <w:szCs w:val="32"/>
        </w:rPr>
        <w:t>（三）关于温岭市公共资源交易中心2021年支出预算情况说明</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温岭市公共资源交易中心2021年支出预算813.8万元，比上年支出增加124.83万元，增长18.1%，主要原因是人员增加，人员经费定额标准有所提高，及新增交易中心评标区改造项目。</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1.按支出功能分类，包括一般公共服务支出767.65万元、社会保障和就业支出46.15万元。</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2.按支出用途分类，包括人员支出414.31万元，占50.9%；日常公用支出68.86万元，占8.5%；事业单位经营支出310.63万元，占38.2%；税金支出20万元，占2.4%。</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（四）关于温岭市公共资源交易中心2021年财政拨款收支预算情况的总体说明</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温岭市公共资源交易中心2021年财政拨款收支总预算192.46万元，比上年执行数增加22.46万元，增长13.2%，主要原因是人员增加，人员经费定额标准有所提高。</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收入包括：一般公共预算192.46万元。</w:t>
      </w:r>
    </w:p>
    <w:p>
      <w:pPr>
        <w:pStyle w:val="6"/>
        <w:spacing w:beforeAutospacing="0" w:afterAutospacing="0" w:line="480" w:lineRule="atLeast"/>
        <w:ind w:firstLine="480"/>
        <w:jc w:val="both"/>
        <w:rPr>
          <w:rFonts w:ascii="仿宋_GB2312" w:hAnsi="微软雅黑" w:eastAsia="仿宋_GB2312" w:cs="Arial"/>
          <w:color w:val="000000"/>
          <w:sz w:val="32"/>
          <w:szCs w:val="32"/>
        </w:rPr>
      </w:pPr>
      <w:r>
        <w:rPr>
          <w:rFonts w:hint="eastAsia" w:ascii="仿宋_GB2312" w:hAnsi="微软雅黑" w:eastAsia="仿宋_GB2312" w:cs="Arial"/>
          <w:color w:val="000000"/>
          <w:sz w:val="32"/>
          <w:szCs w:val="32"/>
        </w:rPr>
        <w:t>支出包括：一般公共服务支出192.46万元。</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（五）关于温岭市公共资源交易中心2021年一般公共预算当年拨款情况说明</w:t>
      </w:r>
    </w:p>
    <w:p>
      <w:pPr>
        <w:spacing w:line="590" w:lineRule="exact"/>
        <w:ind w:firstLine="643" w:firstLineChars="200"/>
        <w:rPr>
          <w:rFonts w:ascii="楷体" w:hAnsi="楷体" w:eastAsia="楷体" w:cs="楷体"/>
          <w:color w:val="000000"/>
          <w:sz w:val="28"/>
          <w:szCs w:val="28"/>
        </w:rPr>
      </w:pPr>
      <w:r>
        <w:rPr>
          <w:rFonts w:hint="eastAsia" w:ascii="仿宋_GB2312" w:hAnsi="ˎ̥" w:eastAsia="仿宋_GB2312" w:cs="宋体"/>
          <w:b/>
          <w:bCs/>
          <w:sz w:val="32"/>
          <w:szCs w:val="32"/>
        </w:rPr>
        <w:t>1.一般公共预算当年拨款规模变化情况。</w:t>
      </w:r>
    </w:p>
    <w:p>
      <w:pPr>
        <w:spacing w:line="590" w:lineRule="exact"/>
        <w:ind w:firstLine="640" w:firstLineChars="200"/>
        <w:rPr>
          <w:rFonts w:ascii="楷体" w:hAnsi="楷体" w:eastAsia="楷体" w:cs="楷体"/>
          <w:color w:val="000000"/>
          <w:sz w:val="28"/>
          <w:szCs w:val="28"/>
        </w:rPr>
      </w:pPr>
      <w:r>
        <w:rPr>
          <w:rFonts w:hint="eastAsia" w:ascii="仿宋_GB2312" w:hAnsi="微软雅黑" w:eastAsia="仿宋_GB2312" w:cs="Arial"/>
          <w:color w:val="000000"/>
          <w:kern w:val="0"/>
          <w:sz w:val="32"/>
          <w:szCs w:val="32"/>
        </w:rPr>
        <w:t>温岭市公共资源交易中心2021年一般公共预算当年拨款192.46万元，比上年执行数增加22.46万元，增长13.2%，主要原因是</w:t>
      </w:r>
      <w:r>
        <w:rPr>
          <w:rFonts w:hint="eastAsia" w:ascii="仿宋_GB2312" w:hAnsi="微软雅黑" w:eastAsia="仿宋_GB2312" w:cs="Arial"/>
          <w:color w:val="000000"/>
          <w:sz w:val="32"/>
          <w:szCs w:val="32"/>
        </w:rPr>
        <w:t>人员增加，人员经费定额标准有所提高。</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90" w:lineRule="exact"/>
        <w:ind w:firstLine="640" w:firstLineChars="200"/>
        <w:rPr>
          <w:rFonts w:ascii="楷体" w:hAnsi="楷体" w:eastAsia="楷体" w:cs="楷体"/>
          <w:color w:val="000000"/>
          <w:sz w:val="28"/>
          <w:szCs w:val="28"/>
        </w:rPr>
      </w:pPr>
      <w:r>
        <w:rPr>
          <w:rFonts w:hint="eastAsia" w:ascii="仿宋_GB2312" w:hAnsi="微软雅黑" w:eastAsia="仿宋_GB2312" w:cs="Arial"/>
          <w:color w:val="000000"/>
          <w:kern w:val="0"/>
          <w:sz w:val="32"/>
          <w:szCs w:val="32"/>
        </w:rPr>
        <w:t>一般公共服务支出（类）192.46万元，占100.0%。</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一般公共服务支出（类）政府办公厅（室）及相关机构事务（款）事业运行（项）192.46万元，主要用于在职事业人员的基本工资、绩效工资。</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（六）关于温岭市公共资源交易中心2021年一般公共预算基本支出情况说明</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温岭市公共资源交易中心2021年一般公共预算基本支出192.46万元，其中：</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人员经费192.46万元，主要包括：基本工资、绩效工资。</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公用经费0万元。</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其他资本性支出0万元。</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（七）关于温岭市公共资源交易中心2021年政府性基金预算支出情况说明</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温岭市公共资源交易中心2021年没有使用政府性基金预算拨款安排的支出。</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（八）关于温岭市公共资源交易中心2021年“三公”经费预算情况说明</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温岭市公共资源交易中心2021年“三公”经费预算数为4.80万元，比上年执行数增加</w:t>
      </w:r>
      <w:r>
        <w:rPr>
          <w:rFonts w:hint="eastAsia" w:ascii="仿宋_GB2312" w:hAnsi="微软雅黑" w:eastAsia="仿宋_GB2312" w:cs="Arial"/>
          <w:kern w:val="0"/>
          <w:sz w:val="32"/>
          <w:szCs w:val="32"/>
        </w:rPr>
        <w:t>4.80</w:t>
      </w:r>
      <w:r>
        <w:rPr>
          <w:rFonts w:hint="eastAsia" w:ascii="仿宋_GB2312" w:hAnsi="微软雅黑" w:eastAsia="仿宋_GB2312" w:cs="Arial"/>
          <w:color w:val="000000"/>
          <w:kern w:val="0"/>
          <w:sz w:val="32"/>
          <w:szCs w:val="32"/>
        </w:rPr>
        <w:t>万元，具体如下：</w:t>
      </w:r>
    </w:p>
    <w:p>
      <w:pPr>
        <w:numPr>
          <w:ilvl w:val="0"/>
          <w:numId w:val="1"/>
        </w:num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因公出国（境）费用：根据因公出国（境）计划和实际工作需要，2021年安排因公出国（境）费用预算0万元，与上年执行数持平。</w:t>
      </w:r>
    </w:p>
    <w:p>
      <w:pPr>
        <w:numPr>
          <w:ilvl w:val="0"/>
          <w:numId w:val="1"/>
        </w:num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公务接待费：2021年安排公务接待费预算4.80万元，比上年执行数增加4.80万元。主要用于周边县市来我中心参观的接待。增加的主要原因是受2020年疫情影响，中心没有安排任何接待。</w:t>
      </w:r>
    </w:p>
    <w:p>
      <w:pPr>
        <w:numPr>
          <w:ilvl w:val="0"/>
          <w:numId w:val="1"/>
        </w:num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公务用车购置及运行维护费：2021年安排公务用车购置及运行维护费预算0万元，与上年执行数持平。</w:t>
      </w:r>
    </w:p>
    <w:p>
      <w:pPr>
        <w:pStyle w:val="6"/>
        <w:spacing w:beforeAutospacing="0" w:afterAutospacing="0" w:line="480" w:lineRule="atLeast"/>
        <w:ind w:firstLine="480"/>
        <w:jc w:val="both"/>
        <w:rPr>
          <w:rFonts w:ascii="仿宋_GB2312" w:hAnsi="ˎ̥" w:eastAsia="仿宋_GB2312" w:cs="宋体"/>
          <w:b/>
          <w:bCs/>
          <w:kern w:val="2"/>
          <w:sz w:val="32"/>
          <w:szCs w:val="32"/>
        </w:rPr>
      </w:pPr>
      <w:r>
        <w:rPr>
          <w:rFonts w:hint="eastAsia" w:ascii="仿宋_GB2312" w:hAnsi="ˎ̥" w:eastAsia="仿宋_GB2312" w:cs="宋体"/>
          <w:b/>
          <w:bCs/>
          <w:kern w:val="2"/>
          <w:sz w:val="32"/>
          <w:szCs w:val="32"/>
        </w:rPr>
        <w:t>（九）其他重要事项的情况说明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2021年温岭市公共资源交易中心的机关运行经费财政拨款预算0万元。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2021年温岭市公共资源交易中心政府采购预算总额146.13万元，其中：政府采购货物预算97.63万元、政府采购工程预算0万元、政府采购服务预算48.50万元。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spacing w:line="590" w:lineRule="exact"/>
        <w:ind w:firstLine="640" w:firstLineChars="200"/>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截至2021年12月31日，温岭市公共资源交易中心共有车辆0辆。单位价值50万元以上通用设备0套，单位价值100万元以上专用设备0台。</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2021年部门预算未安排购置车辆、单位价值50万元以上通用设备及单位价值100万元以上专用设备。</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2021年</w:t>
      </w:r>
      <w:r>
        <w:rPr>
          <w:rFonts w:hint="eastAsia" w:ascii="仿宋_GB2312" w:hAnsi="微软雅黑" w:eastAsia="仿宋_GB2312" w:cs="Arial"/>
          <w:color w:val="000000"/>
          <w:kern w:val="0"/>
          <w:sz w:val="32"/>
          <w:szCs w:val="32"/>
        </w:rPr>
        <w:t>温岭市公共资源交易中心整体绩效目标是：一是</w:t>
      </w:r>
      <w:r>
        <w:rPr>
          <w:rFonts w:hint="eastAsia" w:ascii="仿宋_GB2312" w:hAnsi="ˎ̥" w:eastAsia="仿宋_GB2312" w:cs="宋体"/>
          <w:sz w:val="32"/>
          <w:szCs w:val="32"/>
        </w:rPr>
        <w:t>做好与台州市中心大数据平台的对接工作，实现数据互联共享，显著提高工作管理效率。二是启动建设数字归档、视频归档系统，提升公共资源交易服务水平。三是新增加监管、信用平台等开发项目，实现各领域电子招投标，通过网络系统开发和升级，不仅节约了投标人查询项目信息的人力和时间，而且能够及时起到提醒提示作用，为更好的为招标人投标人服务,减少项目流标率，确保交易进度和质量提供了有力保障。四是预防腐败，为财政节约资金预计5亿元。专项公用类、政策性项目和发展建设类项目均实行绩效目标管理，涉及一般公共预算当年拨款0万元。</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三、名词解释</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1.财政拨款收入：本级财政部门当年拨付的财政预算资金，包括一般公共预算财政拨款和政府性基金预算财政拨款。</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2.专户资金:教育收费作为本部门的事业收入，纳入财政专户管理的资金。</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3.事业收入：事业单位开展专业业务活动及辅助活动所取得的收入，不含专户资金收入。</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4.事业单位经营收入：事业单位在专业业务活动及辅助活动之外开展非独立核算经营活动取得的收入。</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5.其他收入：预算单位在“一般公共预算”“政府性基金”“专户资金”“事业收入”“事业单位经营收入”等之外取得的各项收入（含上级补助收入和附属单位缴款等收入）。</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6.上年结转：指以前年度尚未完成、结转到本年仍按原规定用途继续使用的资金。</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7.基本支出：是预算单位为保障其正常运转，完成日常工作任务所发生的支出，包括人员支出和日常公用支出。</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8.项目支出：是预算单位为完成其特定的行政工作任务或事业发展目标所发生的支出。</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9、经营支出：指事业单位在专业业务活动及其辅助活动之外开展非独立核算经营活动发生的支出。</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10.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11. 一般公共服务支出（类）政府办公厅（室）及相关机构事务（款）事业运行（项）：指事业单位的基本支出，不包括行政单位（包括实行公务员管理的事业单位）后勤服务中心、医务室等附属事业单位。</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12.一般公共服务支出（类）其他一般公共服务支出（款）其他一般公共服务支出（项）：指其他一般公共服务支出。</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13.社会保障和就业支出（类）行政事业单位养老支出（款）机关事业单位基本养老保险缴费支出（项）：指机关事业单位实施养老保险制度由单位缴纳的基本养老保险费支出。</w:t>
      </w:r>
    </w:p>
    <w:p>
      <w:pPr>
        <w:pStyle w:val="8"/>
        <w:spacing w:line="590" w:lineRule="exact"/>
        <w:ind w:firstLine="560" w:firstLineChars="200"/>
        <w:jc w:val="both"/>
        <w:rPr>
          <w:rFonts w:hint="default" w:ascii="仿宋" w:hAnsi="仿宋" w:eastAsia="仿宋" w:cs="仿宋"/>
          <w:sz w:val="28"/>
          <w:szCs w:val="28"/>
        </w:rPr>
      </w:pPr>
    </w:p>
    <w:p>
      <w:pPr>
        <w:spacing w:line="590" w:lineRule="exact"/>
        <w:ind w:firstLine="640" w:firstLineChars="200"/>
        <w:rPr>
          <w:rFonts w:ascii="仿宋_GB2312" w:hAns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E"/>
    <w:rsid w:val="001642AE"/>
    <w:rsid w:val="0067705E"/>
    <w:rsid w:val="0088430D"/>
    <w:rsid w:val="00A51246"/>
    <w:rsid w:val="00AF1309"/>
    <w:rsid w:val="00EB256C"/>
    <w:rsid w:val="03CA04D5"/>
    <w:rsid w:val="11577FC0"/>
    <w:rsid w:val="332E17D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uiPriority w:val="0"/>
    <w:pPr>
      <w:spacing w:beforeAutospacing="1" w:afterAutospacing="1"/>
      <w:jc w:val="left"/>
    </w:pPr>
    <w:rPr>
      <w:kern w:val="0"/>
      <w:sz w:val="24"/>
    </w:rPr>
  </w:style>
  <w:style w:type="paragraph" w:customStyle="1" w:styleId="7">
    <w:name w:val="p0"/>
    <w:basedOn w:val="1"/>
    <w:uiPriority w:val="0"/>
    <w:pPr>
      <w:widowControl/>
    </w:pPr>
    <w:rPr>
      <w:rFonts w:ascii="Calibri" w:hAnsi="Calibri" w:cs="宋体"/>
      <w:kern w:val="0"/>
      <w:szCs w:val="21"/>
    </w:rPr>
  </w:style>
  <w:style w:type="paragraph" w:customStyle="1" w:styleId="8">
    <w:name w:val="Defaul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485</Words>
  <Characters>2767</Characters>
  <Lines>23</Lines>
  <Paragraphs>6</Paragraphs>
  <TotalTime>15</TotalTime>
  <ScaleCrop>false</ScaleCrop>
  <LinksUpToDate>false</LinksUpToDate>
  <CharactersWithSpaces>3246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2021-03-31T15:29:00Z</dcterms:created>
  <dc:creator>A-001A-A1</dc:creator>
  <cp:lastModifiedBy>A-001A-A1</cp:lastModifiedBy>
  <cp:lastPrinted>2021-04-06T10:26:00Z</cp:lastPrinted>
  <dcterms:modified xsi:type="dcterms:W3CDTF">2021-04-15T01:19:55Z</dcterms:modified>
  <dc:title>A-001A-A1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F8D04B91A6F04B8F8CF407633181B774</vt:lpwstr>
  </property>
</Properties>
</file>