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hAnsi="方正小标宋_GBK" w:eastAsia="方正小标宋_GBK" w:cs="方正小标宋_GBK"/>
          <w:sz w:val="48"/>
          <w:szCs w:val="48"/>
        </w:rPr>
      </w:pPr>
    </w:p>
    <w:p>
      <w:pPr>
        <w:spacing w:line="600" w:lineRule="exact"/>
        <w:jc w:val="center"/>
        <w:rPr>
          <w:rFonts w:ascii="方正小标宋_GBK" w:hAnsi="方正小标宋_GBK" w:eastAsia="方正小标宋_GBK" w:cs="方正小标宋_GBK"/>
          <w:sz w:val="48"/>
          <w:szCs w:val="48"/>
        </w:rPr>
      </w:pPr>
    </w:p>
    <w:p>
      <w:pPr>
        <w:spacing w:line="600" w:lineRule="exact"/>
        <w:jc w:val="center"/>
        <w:rPr>
          <w:rFonts w:ascii="方正小标宋_GBK" w:hAnsi="方正小标宋_GBK" w:eastAsia="方正小标宋_GBK" w:cs="方正小标宋_GBK"/>
          <w:sz w:val="48"/>
          <w:szCs w:val="48"/>
        </w:rPr>
      </w:pPr>
    </w:p>
    <w:p>
      <w:pPr>
        <w:spacing w:line="700" w:lineRule="exact"/>
        <w:jc w:val="center"/>
        <w:rPr>
          <w:rFonts w:ascii="方正小标宋_GBK" w:hAnsi="方正小标宋_GBK" w:eastAsia="方正小标宋_GBK" w:cs="方正小标宋_GBK"/>
          <w:sz w:val="48"/>
          <w:szCs w:val="48"/>
        </w:rPr>
      </w:pPr>
    </w:p>
    <w:p>
      <w:pPr>
        <w:spacing w:line="700" w:lineRule="exact"/>
        <w:jc w:val="center"/>
        <w:rPr>
          <w:rFonts w:ascii="方正小标宋_GBK" w:hAnsi="方正小标宋_GBK" w:eastAsia="方正小标宋_GBK" w:cs="方正小标宋_GBK"/>
          <w:sz w:val="48"/>
          <w:szCs w:val="48"/>
        </w:rPr>
      </w:pPr>
    </w:p>
    <w:p>
      <w:pPr>
        <w:spacing w:line="700" w:lineRule="exact"/>
        <w:jc w:val="center"/>
        <w:rPr>
          <w:rFonts w:ascii="方正小标宋_GBK" w:hAnsi="方正小标宋_GBK" w:eastAsia="方正小标宋_GBK" w:cs="方正小标宋_GBK"/>
          <w:sz w:val="48"/>
          <w:szCs w:val="48"/>
        </w:rPr>
      </w:pPr>
    </w:p>
    <w:p>
      <w:pPr>
        <w:spacing w:line="700" w:lineRule="exact"/>
        <w:jc w:val="center"/>
        <w:rPr>
          <w:rFonts w:ascii="方正小标宋_GBK" w:hAnsi="方正小标宋_GBK" w:eastAsia="方正小标宋_GBK" w:cs="方正小标宋_GBK"/>
          <w:sz w:val="48"/>
          <w:szCs w:val="48"/>
        </w:rPr>
      </w:pPr>
    </w:p>
    <w:p>
      <w:pPr>
        <w:spacing w:line="700" w:lineRule="exact"/>
        <w:jc w:val="center"/>
        <w:rPr>
          <w:rFonts w:ascii="方正小标宋_GBK" w:hAnsi="方正小标宋_GBK" w:eastAsia="方正小标宋_GBK" w:cs="方正小标宋_GBK"/>
          <w:sz w:val="48"/>
          <w:szCs w:val="48"/>
        </w:rPr>
      </w:pPr>
    </w:p>
    <w:p>
      <w:pPr>
        <w:spacing w:line="700" w:lineRule="exact"/>
        <w:jc w:val="center"/>
        <w:rPr>
          <w:rFonts w:ascii="方正小标宋_GBK" w:hAnsi="方正小标宋_GBK" w:eastAsia="方正小标宋_GBK" w:cs="方正小标宋_GBK"/>
          <w:sz w:val="48"/>
          <w:szCs w:val="48"/>
        </w:rPr>
      </w:pPr>
      <w:r>
        <w:rPr>
          <w:rFonts w:hint="eastAsia" w:ascii="方正小标宋_GBK" w:hAnsi="方正小标宋_GBK" w:eastAsia="方正小标宋_GBK" w:cs="方正小标宋_GBK"/>
          <w:sz w:val="48"/>
          <w:szCs w:val="48"/>
        </w:rPr>
        <w:t>台州市温岭市人民政府城西街道办事处</w:t>
      </w:r>
    </w:p>
    <w:p>
      <w:pPr>
        <w:spacing w:line="700" w:lineRule="exact"/>
        <w:jc w:val="center"/>
        <w:rPr>
          <w:rFonts w:ascii="方正小标宋_GBK" w:hAnsi="方正小标宋_GBK" w:eastAsia="方正小标宋_GBK" w:cs="方正小标宋_GBK"/>
          <w:sz w:val="48"/>
          <w:szCs w:val="48"/>
        </w:rPr>
      </w:pPr>
    </w:p>
    <w:p>
      <w:pPr>
        <w:spacing w:line="700" w:lineRule="exact"/>
        <w:jc w:val="center"/>
        <w:rPr>
          <w:rFonts w:ascii="宋体" w:hAnsi="宋体" w:eastAsia="宋体" w:cs="宋体"/>
          <w:b/>
          <w:bCs/>
          <w:sz w:val="44"/>
          <w:szCs w:val="44"/>
        </w:rPr>
      </w:pPr>
      <w:r>
        <w:rPr>
          <w:rFonts w:hint="eastAsia" w:ascii="方正小标宋_GBK" w:hAnsi="方正小标宋_GBK" w:eastAsia="方正小标宋_GBK" w:cs="方正小标宋_GBK"/>
          <w:sz w:val="48"/>
          <w:szCs w:val="48"/>
        </w:rPr>
        <w:t>2020年度部门决算</w:t>
      </w:r>
    </w:p>
    <w:p>
      <w:pPr>
        <w:spacing w:line="560" w:lineRule="exact"/>
        <w:jc w:val="center"/>
        <w:rPr>
          <w:rFonts w:ascii="宋体" w:hAnsi="宋体" w:eastAsia="宋体" w:cs="宋体"/>
          <w:b/>
          <w:bCs/>
          <w:sz w:val="44"/>
          <w:szCs w:val="44"/>
        </w:rPr>
        <w:sectPr>
          <w:pgSz w:w="11906" w:h="16838"/>
          <w:pgMar w:top="1417" w:right="1701" w:bottom="1417" w:left="1701" w:header="851" w:footer="992" w:gutter="0"/>
          <w:cols w:space="425" w:num="1"/>
          <w:docGrid w:type="lines" w:linePitch="312" w:charSpace="0"/>
        </w:sectPr>
      </w:pPr>
    </w:p>
    <w:p>
      <w:pPr>
        <w:spacing w:line="700" w:lineRule="exact"/>
        <w:jc w:val="center"/>
        <w:rPr>
          <w:rFonts w:ascii="微软雅黑" w:hAnsi="微软雅黑" w:eastAsia="微软雅黑" w:cs="微软雅黑"/>
          <w:sz w:val="36"/>
          <w:szCs w:val="36"/>
        </w:rPr>
      </w:pPr>
      <w:r>
        <w:rPr>
          <w:rFonts w:hint="eastAsia" w:ascii="微软雅黑" w:hAnsi="微软雅黑" w:eastAsia="微软雅黑" w:cs="微软雅黑"/>
          <w:sz w:val="36"/>
          <w:szCs w:val="36"/>
        </w:rPr>
        <w:t>目录</w:t>
      </w:r>
    </w:p>
    <w:p>
      <w:pPr>
        <w:spacing w:line="600" w:lineRule="exact"/>
        <w:jc w:val="center"/>
        <w:rPr>
          <w:rFonts w:ascii="微软雅黑" w:hAnsi="微软雅黑" w:eastAsia="微软雅黑" w:cs="微软雅黑"/>
          <w:sz w:val="32"/>
          <w:szCs w:val="32"/>
        </w:rPr>
      </w:pPr>
    </w:p>
    <w:p>
      <w:pPr>
        <w:spacing w:line="620" w:lineRule="exact"/>
        <w:jc w:val="left"/>
        <w:rPr>
          <w:rFonts w:ascii="微软雅黑" w:hAnsi="微软雅黑" w:eastAsia="微软雅黑" w:cs="微软雅黑"/>
          <w:spacing w:val="6"/>
          <w:sz w:val="24"/>
        </w:rPr>
      </w:pPr>
      <w:r>
        <w:rPr>
          <w:rFonts w:hint="eastAsia" w:ascii="微软雅黑" w:hAnsi="微软雅黑" w:eastAsia="微软雅黑" w:cs="微软雅黑"/>
          <w:spacing w:val="6"/>
          <w:sz w:val="24"/>
        </w:rPr>
        <w:t>一、概况.................................................................................................................(1)</w:t>
      </w:r>
    </w:p>
    <w:p>
      <w:pPr>
        <w:spacing w:line="620" w:lineRule="exact"/>
        <w:jc w:val="left"/>
        <w:rPr>
          <w:rFonts w:ascii="微软雅黑" w:hAnsi="微软雅黑" w:eastAsia="微软雅黑" w:cs="微软雅黑"/>
          <w:spacing w:val="6"/>
          <w:sz w:val="24"/>
        </w:rPr>
      </w:pPr>
      <w:r>
        <w:rPr>
          <w:rFonts w:hint="eastAsia" w:ascii="微软雅黑" w:hAnsi="微软雅黑" w:eastAsia="微软雅黑" w:cs="微软雅黑"/>
          <w:spacing w:val="6"/>
          <w:sz w:val="24"/>
        </w:rPr>
        <w:t>（一）部门职责......................................................................................................(1)</w:t>
      </w:r>
    </w:p>
    <w:p>
      <w:pPr>
        <w:spacing w:line="620" w:lineRule="exact"/>
        <w:jc w:val="left"/>
        <w:rPr>
          <w:rFonts w:ascii="微软雅黑" w:hAnsi="微软雅黑" w:eastAsia="微软雅黑" w:cs="微软雅黑"/>
          <w:spacing w:val="6"/>
          <w:sz w:val="24"/>
        </w:rPr>
      </w:pPr>
      <w:r>
        <w:rPr>
          <w:rFonts w:hint="eastAsia" w:ascii="微软雅黑" w:hAnsi="微软雅黑" w:eastAsia="微软雅黑" w:cs="微软雅黑"/>
          <w:spacing w:val="6"/>
          <w:sz w:val="24"/>
        </w:rPr>
        <w:t>（二）机构设置.....................................................................................................(2)</w:t>
      </w:r>
    </w:p>
    <w:p>
      <w:pPr>
        <w:spacing w:line="620" w:lineRule="exact"/>
        <w:jc w:val="left"/>
        <w:rPr>
          <w:rFonts w:ascii="微软雅黑" w:hAnsi="微软雅黑" w:eastAsia="微软雅黑" w:cs="微软雅黑"/>
          <w:spacing w:val="6"/>
          <w:sz w:val="24"/>
        </w:rPr>
      </w:pPr>
      <w:r>
        <w:rPr>
          <w:rFonts w:hint="eastAsia" w:ascii="微软雅黑" w:hAnsi="微软雅黑" w:eastAsia="微软雅黑" w:cs="微软雅黑"/>
          <w:spacing w:val="6"/>
          <w:sz w:val="24"/>
        </w:rPr>
        <w:t>二、2020年度部门决算公开表.............................................................................(3)</w:t>
      </w:r>
    </w:p>
    <w:p>
      <w:pPr>
        <w:spacing w:line="620" w:lineRule="exact"/>
        <w:jc w:val="left"/>
        <w:rPr>
          <w:rFonts w:ascii="微软雅黑" w:hAnsi="微软雅黑" w:eastAsia="微软雅黑" w:cs="微软雅黑"/>
          <w:spacing w:val="6"/>
          <w:sz w:val="24"/>
        </w:rPr>
      </w:pPr>
      <w:r>
        <w:rPr>
          <w:rFonts w:hint="eastAsia" w:ascii="微软雅黑" w:hAnsi="微软雅黑" w:eastAsia="微软雅黑" w:cs="微软雅黑"/>
          <w:spacing w:val="6"/>
          <w:sz w:val="24"/>
        </w:rPr>
        <w:t>三、2020年度部门决算情况说明.........................................................................(3)</w:t>
      </w:r>
    </w:p>
    <w:p>
      <w:pPr>
        <w:spacing w:line="620" w:lineRule="exact"/>
        <w:jc w:val="left"/>
        <w:rPr>
          <w:rFonts w:ascii="微软雅黑" w:hAnsi="微软雅黑" w:eastAsia="微软雅黑" w:cs="微软雅黑"/>
          <w:spacing w:val="6"/>
          <w:sz w:val="24"/>
        </w:rPr>
      </w:pPr>
      <w:r>
        <w:rPr>
          <w:rFonts w:hint="eastAsia" w:ascii="微软雅黑" w:hAnsi="微软雅黑" w:eastAsia="微软雅黑" w:cs="微软雅黑"/>
          <w:spacing w:val="6"/>
          <w:sz w:val="24"/>
        </w:rPr>
        <w:t>（一）收入支出决算总体情况说明.....................................................................(3)</w:t>
      </w:r>
    </w:p>
    <w:p>
      <w:pPr>
        <w:spacing w:line="620" w:lineRule="exact"/>
        <w:jc w:val="left"/>
        <w:rPr>
          <w:rFonts w:ascii="微软雅黑" w:hAnsi="微软雅黑" w:eastAsia="微软雅黑" w:cs="微软雅黑"/>
          <w:spacing w:val="6"/>
          <w:sz w:val="24"/>
        </w:rPr>
      </w:pPr>
      <w:r>
        <w:rPr>
          <w:rFonts w:hint="eastAsia" w:ascii="微软雅黑" w:hAnsi="微软雅黑" w:eastAsia="微软雅黑" w:cs="微软雅黑"/>
          <w:spacing w:val="6"/>
          <w:sz w:val="24"/>
        </w:rPr>
        <w:t>（二）收入决算情况说明.....................................................................................(3)</w:t>
      </w:r>
    </w:p>
    <w:p>
      <w:pPr>
        <w:spacing w:line="620" w:lineRule="exact"/>
        <w:jc w:val="left"/>
        <w:rPr>
          <w:rFonts w:ascii="微软雅黑" w:hAnsi="微软雅黑" w:eastAsia="微软雅黑" w:cs="微软雅黑"/>
          <w:spacing w:val="6"/>
          <w:sz w:val="24"/>
        </w:rPr>
      </w:pPr>
      <w:r>
        <w:rPr>
          <w:rFonts w:hint="eastAsia" w:ascii="微软雅黑" w:hAnsi="微软雅黑" w:eastAsia="微软雅黑" w:cs="微软雅黑"/>
          <w:spacing w:val="6"/>
          <w:sz w:val="24"/>
        </w:rPr>
        <w:t>（三）支出决算情况说明.....................................................................................(3)</w:t>
      </w:r>
    </w:p>
    <w:p>
      <w:pPr>
        <w:spacing w:line="620" w:lineRule="exact"/>
        <w:jc w:val="left"/>
        <w:rPr>
          <w:rFonts w:ascii="微软雅黑" w:hAnsi="微软雅黑" w:eastAsia="微软雅黑" w:cs="微软雅黑"/>
          <w:spacing w:val="6"/>
          <w:sz w:val="24"/>
        </w:rPr>
      </w:pPr>
      <w:r>
        <w:rPr>
          <w:rFonts w:hint="eastAsia" w:ascii="微软雅黑" w:hAnsi="微软雅黑" w:eastAsia="微软雅黑" w:cs="微软雅黑"/>
          <w:spacing w:val="6"/>
          <w:sz w:val="24"/>
        </w:rPr>
        <w:t>（四）财政拨款收入支出决算总体情况说明......................................................(3)</w:t>
      </w:r>
    </w:p>
    <w:p>
      <w:pPr>
        <w:spacing w:line="620" w:lineRule="exact"/>
        <w:jc w:val="left"/>
        <w:rPr>
          <w:rFonts w:ascii="微软雅黑" w:hAnsi="微软雅黑" w:eastAsia="微软雅黑" w:cs="微软雅黑"/>
          <w:spacing w:val="6"/>
          <w:sz w:val="24"/>
        </w:rPr>
      </w:pPr>
      <w:r>
        <w:rPr>
          <w:rFonts w:hint="eastAsia" w:ascii="微软雅黑" w:hAnsi="微软雅黑" w:eastAsia="微软雅黑" w:cs="微软雅黑"/>
          <w:spacing w:val="6"/>
          <w:sz w:val="24"/>
        </w:rPr>
        <w:t>（五）一般公共预算财政拨款支出决算情况说明..............................................(4)</w:t>
      </w:r>
    </w:p>
    <w:p>
      <w:pPr>
        <w:spacing w:line="620" w:lineRule="exact"/>
        <w:jc w:val="left"/>
        <w:rPr>
          <w:rFonts w:ascii="微软雅黑" w:hAnsi="微软雅黑" w:eastAsia="微软雅黑" w:cs="微软雅黑"/>
          <w:spacing w:val="6"/>
          <w:sz w:val="24"/>
        </w:rPr>
      </w:pPr>
      <w:r>
        <w:rPr>
          <w:rFonts w:hint="eastAsia" w:ascii="微软雅黑" w:hAnsi="微软雅黑" w:eastAsia="微软雅黑" w:cs="微软雅黑"/>
          <w:spacing w:val="6"/>
          <w:sz w:val="24"/>
        </w:rPr>
        <w:t>（六）一般公共预算财政拨款基本支出决算情况说明....................................(14)</w:t>
      </w:r>
    </w:p>
    <w:p>
      <w:pPr>
        <w:spacing w:line="620" w:lineRule="exact"/>
        <w:jc w:val="left"/>
        <w:rPr>
          <w:rFonts w:ascii="微软雅黑" w:hAnsi="微软雅黑" w:eastAsia="微软雅黑" w:cs="微软雅黑"/>
          <w:spacing w:val="6"/>
          <w:sz w:val="24"/>
        </w:rPr>
      </w:pPr>
      <w:r>
        <w:rPr>
          <w:rFonts w:hint="eastAsia" w:ascii="微软雅黑" w:hAnsi="微软雅黑" w:eastAsia="微软雅黑" w:cs="微软雅黑"/>
          <w:spacing w:val="6"/>
          <w:sz w:val="24"/>
        </w:rPr>
        <w:t>（七）政府性基金预算财政拨款支出决算总体情况说明................................(15)</w:t>
      </w:r>
    </w:p>
    <w:p>
      <w:pPr>
        <w:spacing w:line="620" w:lineRule="exact"/>
        <w:jc w:val="left"/>
        <w:rPr>
          <w:rFonts w:ascii="微软雅黑" w:hAnsi="微软雅黑" w:eastAsia="微软雅黑" w:cs="微软雅黑"/>
          <w:spacing w:val="6"/>
          <w:sz w:val="24"/>
        </w:rPr>
      </w:pPr>
      <w:r>
        <w:rPr>
          <w:rFonts w:hint="eastAsia" w:ascii="微软雅黑" w:hAnsi="微软雅黑" w:eastAsia="微软雅黑" w:cs="微软雅黑"/>
          <w:spacing w:val="6"/>
          <w:sz w:val="24"/>
        </w:rPr>
        <w:t>（八）国有资本经营预算财政拨款支出决算总体情况说明............................(17)</w:t>
      </w:r>
    </w:p>
    <w:p>
      <w:pPr>
        <w:spacing w:line="620" w:lineRule="exact"/>
        <w:jc w:val="left"/>
        <w:rPr>
          <w:rFonts w:ascii="微软雅黑" w:hAnsi="微软雅黑" w:eastAsia="微软雅黑" w:cs="微软雅黑"/>
          <w:spacing w:val="6"/>
          <w:sz w:val="24"/>
        </w:rPr>
      </w:pPr>
      <w:r>
        <w:rPr>
          <w:rFonts w:hint="eastAsia" w:ascii="微软雅黑" w:hAnsi="微软雅黑" w:eastAsia="微软雅黑" w:cs="微软雅黑"/>
          <w:spacing w:val="6"/>
          <w:sz w:val="24"/>
        </w:rPr>
        <w:t>（九）一般公共预算财政拨款“三公”经费支出决算情况说明....................(17)</w:t>
      </w:r>
    </w:p>
    <w:p>
      <w:pPr>
        <w:spacing w:line="620" w:lineRule="exact"/>
        <w:jc w:val="left"/>
        <w:rPr>
          <w:rFonts w:ascii="微软雅黑" w:hAnsi="微软雅黑" w:eastAsia="微软雅黑" w:cs="微软雅黑"/>
          <w:spacing w:val="6"/>
          <w:sz w:val="24"/>
        </w:rPr>
      </w:pPr>
      <w:r>
        <w:rPr>
          <w:rFonts w:hint="eastAsia" w:ascii="微软雅黑" w:hAnsi="微软雅黑" w:eastAsia="微软雅黑" w:cs="微软雅黑"/>
          <w:spacing w:val="6"/>
          <w:sz w:val="24"/>
        </w:rPr>
        <w:t>（十）机关运行经费支出说明...........................................................................(18)</w:t>
      </w:r>
    </w:p>
    <w:p>
      <w:pPr>
        <w:spacing w:line="620" w:lineRule="exact"/>
        <w:jc w:val="left"/>
        <w:rPr>
          <w:rFonts w:ascii="微软雅黑" w:hAnsi="微软雅黑" w:eastAsia="微软雅黑" w:cs="微软雅黑"/>
          <w:spacing w:val="6"/>
          <w:sz w:val="24"/>
        </w:rPr>
      </w:pPr>
      <w:r>
        <w:rPr>
          <w:rFonts w:hint="eastAsia" w:ascii="微软雅黑" w:hAnsi="微软雅黑" w:eastAsia="微软雅黑" w:cs="微软雅黑"/>
          <w:spacing w:val="6"/>
          <w:sz w:val="24"/>
        </w:rPr>
        <w:t>（十一）政府采购支出说明...............................................................................(18)</w:t>
      </w:r>
    </w:p>
    <w:p>
      <w:pPr>
        <w:spacing w:line="620" w:lineRule="exact"/>
        <w:jc w:val="left"/>
        <w:rPr>
          <w:rFonts w:ascii="微软雅黑" w:hAnsi="微软雅黑" w:eastAsia="微软雅黑" w:cs="微软雅黑"/>
          <w:spacing w:val="6"/>
          <w:sz w:val="24"/>
        </w:rPr>
      </w:pPr>
      <w:r>
        <w:rPr>
          <w:rFonts w:hint="eastAsia" w:ascii="微软雅黑" w:hAnsi="微软雅黑" w:eastAsia="微软雅黑" w:cs="微软雅黑"/>
          <w:spacing w:val="6"/>
          <w:sz w:val="24"/>
        </w:rPr>
        <w:t>（十二）国有资产占有情况说明.......................................................................(19)</w:t>
      </w:r>
    </w:p>
    <w:p>
      <w:pPr>
        <w:spacing w:line="620" w:lineRule="exact"/>
        <w:jc w:val="left"/>
        <w:rPr>
          <w:rFonts w:ascii="微软雅黑" w:hAnsi="微软雅黑" w:eastAsia="微软雅黑" w:cs="微软雅黑"/>
          <w:spacing w:val="6"/>
          <w:sz w:val="24"/>
        </w:rPr>
      </w:pPr>
      <w:r>
        <w:rPr>
          <w:rFonts w:hint="eastAsia" w:ascii="微软雅黑" w:hAnsi="微软雅黑" w:eastAsia="微软雅黑" w:cs="微软雅黑"/>
          <w:spacing w:val="6"/>
          <w:sz w:val="24"/>
        </w:rPr>
        <w:t>（十三）预算绩效情况说明...............................................................................(19)</w:t>
      </w:r>
    </w:p>
    <w:p>
      <w:pPr>
        <w:spacing w:line="620" w:lineRule="exact"/>
        <w:jc w:val="left"/>
        <w:rPr>
          <w:rFonts w:ascii="微软雅黑" w:hAnsi="微软雅黑" w:eastAsia="微软雅黑" w:cs="微软雅黑"/>
          <w:spacing w:val="11"/>
          <w:sz w:val="28"/>
          <w:szCs w:val="28"/>
        </w:rPr>
      </w:pPr>
      <w:r>
        <w:rPr>
          <w:rFonts w:hint="eastAsia" w:ascii="微软雅黑" w:hAnsi="微软雅黑" w:eastAsia="微软雅黑" w:cs="微软雅黑"/>
          <w:spacing w:val="6"/>
          <w:sz w:val="24"/>
        </w:rPr>
        <w:t>四、名词解释.......................................................................................................(26)</w:t>
      </w:r>
    </w:p>
    <w:p>
      <w:pPr>
        <w:spacing w:line="560" w:lineRule="exact"/>
        <w:rPr>
          <w:rFonts w:ascii="黑体" w:hAnsi="黑体" w:eastAsia="黑体" w:cs="黑体"/>
          <w:sz w:val="32"/>
          <w:szCs w:val="32"/>
        </w:rPr>
        <w:sectPr>
          <w:pgSz w:w="11906" w:h="16838"/>
          <w:pgMar w:top="1701" w:right="1701" w:bottom="1701" w:left="1701" w:header="851" w:footer="992" w:gutter="0"/>
          <w:cols w:space="425" w:num="1"/>
          <w:docGrid w:type="lines" w:linePitch="312" w:charSpace="0"/>
        </w:sectPr>
      </w:pP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一、概况</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（一）部门职责</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加强党的建设。推进全面从严治党，落实基层党建工作责任制，严格抓好基层党组织建设各项制度，推进街道村（社区）党建与单位党建、行业党建、区域化党建互联互动，统筹抓好辖区内新领域新业态新群体党建工作。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推进区域发展。统筹落实区域发展的重大决策和建设规划，参与辖区公共服务设施建设规划，配合做好城市有机更新，推动辖区健康有序可持续发展；服务“三农”发展，指导农村经济发展，推进农村经济结构调整，促进农民增收。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组织公共服务。组织实施与村（居）民生活密切相关的各项公共服务，落实人力社保、医保、民政、教育、文化、体育、卫生健康等方面相关政策，均衡辖区内公共服务发展。推进“最多跑一次”改革，建立健全群众办事一次办结机制，优化便民服务质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实施综合管理。落实辖区内城市管理、人口管理、社会管理、生态环境保护等工作，承担组织领导、推进实施、综合协调等职责；落实辖区内相关行政事务常态化管理；依托“基层治理四平台”，统筹协调区域内相关力量，协助做好监督检查等事中事后监管工作；组织开展群众监督和社会监督。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（5）加强基层执法。整合基层一线执法力量，充分发挥属地管理优势，强化对辖区范围内执法力量的统一指挥和统筹协调。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（6）维护安全稳定。承担辖区平安建设、社会治安综合治理、公共安全及安全生产监管等相关工作，处理群众来信来访，反映社情民意，化解矛盾纠纷；做好应急防灾等相关工作。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（7）动员社会参与。动员辖区内各类单位、社会组织和社区居民等社会力量参与社会治理，引导辖区单位履行社会责任，整合区域内各种社会力量为街道经济社会发展服务。</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（二）机构设置</w:t>
      </w:r>
    </w:p>
    <w:p>
      <w:pPr>
        <w:widowControl/>
        <w:spacing w:line="600" w:lineRule="atLeas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从预算单位构成看，台州市温岭市人民政府城西街道办事处部门决算包括：街道本级决算、经济建设服务中心、农业综合服务中心、社会事业服务中心。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纳入台州市温岭市人民政府城西街道办事处2020年度部门决算编制范围的二级预算单位包括：二级预算单位并入街道本级，由街道本级统一核算并编制决算报表。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从预算单位构成看，本单位内设：党政综合办公室（挂人大办公室、财政财务管理办公室牌子）、党建工作办公室、社会事务服务管理办公室（挂行政审批办公室牌子）、基层综合治理办公室（挂综合信息指挥室牌子）、经济发展办公室、城市管理办公室（挂综合行政执法办公室、生态环境办公室牌子）、应急管理办公室、民政社区工作办公室、经济建设服务中心（挂企业服务站、劳动保障所、统计中心牌子）、农业综合服务中心、社会事业服务中心（挂便民服务中心、退役军人服务站、民族宗教事务所、综合文化站、社会救助事务所牌子）。</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二、2020年度部门决算公开表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详见附表。</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三、2020年度部门决算情况说明</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（一）收入支出决算总体情况说明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2020年度收入总计6,028.59万元，支出总计6,028.59万元,与2019年度相比，各减少63,718.08万元，下降91.36%。主要原因是：减少土地出让金收入。</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（二）收入决算情况说明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年收入合计6,015.67万元；包括财政拨款收入5,960.67万元（其中，一般公共预算5,256.02万元，政府性基金预算704.66万元,国有资本经营预算0万元），占收入合计99.09%；上级补助收入0万元，占收入合计0%；事业收入0万元，占收入合计0%；经营收入0万元，占收入合计0%；附属单位上缴收入0万元，占收入合计0%；其他收入55.00万元，占收入合计0.91%。</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（三）支出决算情况说明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本年支出合计6,015.67万元，其中基本支出2,133.18万元，占35.46%；项目支出3,882.49万元，占64.54%；上缴上级支出0万元，占0%；经营支出0万元，占0%；对附属单位补助支出0万元，占0%。</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（四）财政拨款收入支出决算总体情况说明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2020年度财政拨款收入总计5,960.67万元，支出总计5,960.67万元，与2019年相比，各减少63,773.08万元，下降91.45%。主要原因是今年无土地出让金收入。</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（五）一般公共预算财政拨款支出决算情况说明</w:t>
      </w:r>
    </w:p>
    <w:p>
      <w:p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1.一般公共预算财政拨款支出决算总体情况。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2020年度一般公共预算财政拨款支出5,256.02万元，占本年支出合计的87.37%。与2019年相比，一般公共预算财政拨款支出减少133.25万元，下降2.47%。主要原因是：本年土地出让金支出减少。</w:t>
      </w:r>
    </w:p>
    <w:p>
      <w:p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2.一般公共预算财政拨款支出决算结构情况。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一般公共预算财政拨款支出5,256.02万元，主要用于以下方面：一般公共服务（类）支出2,553.26万元，占48.58%；国防（类）支出0万元,占0%；公共安全（类）支出67.10万元,占1.28%；教育（类）支出59.00万元,占1.12%；科学技术（类）支出0万元,占0%；文化旅游体育与传媒（类）支出190.26万元,占3.62%；社会保障和就业（类）支出1,121.87万元,占21.34%；卫生健康（类）支出375.93万元,占7.15%；节能环保（类）支出24.00万元,占0.46%；城乡社区（类）支出157.00万元,占2.99%；农林水（类）支出223.50万元,占4.25%；交通运输（类）支出0万元,占0%；资源勘探工业信息等（类）支出45.00万元,占0.86%；商业服务业等（类）支出0万元,占0%；金融（类）支出0万元,占0%；援助其他地区（类）支出0万元,占0%；自然资源海洋气象等（类）支出0万元,占0%；住房保障（类）支出0万元,占0%；粮油物资储备（类）支出0万元,占0%；灾害防治及应急管理（类）支出439.11万元,占8.35%；其他（类）支出0万元,占0%；债务还本（类）支出0万元,占0%；债务付息（类）支出0万元,占0%。</w:t>
      </w:r>
    </w:p>
    <w:p>
      <w:p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3.一般公共预算财政拨款支出决算具体情况。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2020年度一般公共预算财政拨款支出年初预算为4359.01万元，支出决算为5,256.02万元,完成年初预算的120.58%，主要原因是追加民政残联指标。其中：</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一般公共服务支出（类）人大事务（款）其它人大事务支出（项）。2020年年初预算为22万元，2020年支出决算为22万元，完成年初预算的100%，决算数等于预算数，是因为严格按照预算编制来执行支出。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服务支出（类）政府办公厅及相关机构事务支出（款）行政运行（项）。2020年年初预算为961.89万元，2020年支出决算为959.38万元，完成年初预算的99.74%，决算数同年初预算数基本一致，是因为严格执行年初预算的计划安排。</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服务支出（类）政府办公厅及相关机构事务支出（款）事业运行（项）。2020年年初预算为747.11万元，2020年支出决算为744.78万元，完成年初预算的99.69%，决算数同年初预算数基本一致，是因为严格执行年初预算的计划安排。</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服务支出（类）政府办公厅及相关机构事务支出（款）其他政府办公厅及相关机构事务支出（项）。2020年年初预算为402万元，2020年支出决算为379.03万元，完成年初预算的94.29%，决算数同年初预算数基本一致，是因为严格按照预算编制来执行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服务支出（类）统计信息事务（款）统计管理（项）。2020年年初预算为55万元，2020年支出决算为73.35万元，完成年初预算的133.36%，决算数大于预算数，是因为全国第七次人口普查工作经费不足，年中调整增加了18.35万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服务支出（类）纪检监察事务（款）其他纪检监察事务支出（项）。2020年年初预算为2.6万元，2020年支出决算为7.6万元，完成年初预算的291.9%，决算数大于预算数，是因为工作任务调整，年中调整了5万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服务支出（类）群众团体事务（款）其他群众团体事务支出（项）。2020年年初预算为10万元，2020年支出决算为9.72万元，完成年初预算的97.2%，决算数同年初预算数基本一致，是因为严格按照预算编制来执行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服务支出（类）党委办公厅及相关机构事务（款）其他党委办公厅及相关机构事务支出（项）。2020年年初预算为3万元，2020年支出决算为23万元，完成年初预算的766.7%，决算数大于预算数，是因为新增亮化工程，年中调整了20万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服务支出（类）其他共产党事务支出（款）其他共产党事务支出（项）。2020年年初预算为77万元，2020年支出决算为81.9万元，完成年初预算的106.36%，决算数大于预算数，是因为党组织建设需要，年中调整了12万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服务支出（类）其他一般公共服务支出（款）其他一般公共服务支出（项）。2020年年初预算为9万元，2020年支出决算为252.47万元，完成年初预算的2805.2%，决算数大于预算数，是因为社区工作人员及交管站人员增加等，年中追加了243.47万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公共安全支出（类）公安支出（款）其他公安支出（项）。2020年年初预算为68万元，2020年支出决算为67.1万元，完成年初预算的98.68%，决算数同年初预算数基本一致，是因为严格按照预算编制来执行支出。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教育支出（类）其他教育支出（款）其他教育支出（项）。2020年年初预算为59万元，2020年支出决算为59万元，完成年初预算的100%，决算数等于预算数，是因为严格按照预算编制来执行支出。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文化体育与传媒支出（类）文化（款）群众文化支出（项）。2020年年初预算为60万元，2020年支出决算为58.33万元，完成年初预算的97.22%，决算数同年初预算数基本一致，是因为严格按照预算编制来执行支出。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文化体育与传媒支出（类）文化（款）其他文化和旅游支出（项）。2020年年初预算为52万元，2020年支出决算为119.93万元，完成年初预算的230.6%，决算数大于预算数，是因为增加教育宣传，年中追加了67.93万元。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文化体育与传媒支出（类）体育（款）群众体育（项）。2020年年初预算为16万元，2020年支出决算为12万元，完成年初预算的75%，其中资产采购因为政策调整没有根据年初预算计划安排执行，支出减少4万元。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会保障和就业支出（类）民政管理事务（款）基层政权建设和社区管理（项）。2020年年初预算为314.2万元，2020年支出决算为307.12万元，完成年初预算的97.75%，决算数同年初预算数基本一致，是因为严格按照预算编制来执行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社会保障和就业支出（类）民政管理事务（款）其他民政管理事务（项）。2020年年初预算为0万元，2020年支出决算为13.7万元，决算数大于预算数，是因为追加社区工作人员经费，年中追加了13.7万元。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会保障和就业支出（类）行政事业单位离退休（款）机关事业单位基本养老保险缴费支出（项）。2020年年初预算为110.27万元，2020年支出决算为101.96万元，完成年初预算的92.46%，决算数同年初预算数基本一致，是因为严格按照预算编制来执行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会保障和就业支出（类）行政事业单位离退休（款）机关事业单位职业年金缴费支出（项）。2020年年初预算为55.13万元，2020年支出决算为50.98万元，完成年初预算的92.47%，决算数同年初预算数基本一致，是因为严格按照预算编制来执行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社会保障和就业支出（类）抚恤（款）死亡抚恤（项）。2020年年初预算为0万元，2020年支出决算为2.35万元，决算数大于预算数，是因为追加“三属”定补及牺牲病故军人一次性抚恤，年中追加了2.35万元。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社会保障和就业支出（类）抚恤（款）伤残抚恤（项）。2020年年初预算为0万元，2020年支出决算为30.41万元，决算数大于预算数，是因为追加烈士子女生活补助，年中追加了30.41万元。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社会保障和就业支出（类）抚恤（款）在乡复员、退伍军人生活补助（项）。2020年年初预算为0万元，2020年支出决算为36.54万元，决算数大于预算数，是因为追加复员、退伍军人生活补助，年中追加了36.54万元。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社会保障和就业支出（类）抚恤（款）义务兵优待（项）。2020年年初预算为16万元，2020年支出决算为80.63万元，完成年初预算的503.9%，决算数大于预算数，是因为追加义务兵优待金，年中追加了64.63万元。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会保障和就业支出（类）抚恤（款）农村籍退役士兵老年生活补助（项）。2020年年初预算为0万元，2020年支出决算为49.48万元，决算数大于预算数，是因为追加农村籍退役士兵老年生活补助，年中追加了49.48万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社会保障和就业支出（类）抚恤（款）其他优抚支出（项）。2020年年初预算为0万元，2020年支出决算为23.44万元，决算数大于预算数，是因为追加退役军人定期补助，年中追加了23.44万元。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社会保障和就业支出（类）退役安置（款）退役士兵安置（项）。2020年年初预算为0万元，2020年支出决算为40.12万元，决算数大于预算数，是因为追加退伍军人安置费，年中追加了40.12万元。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社会保障和就业支出（类）社会福利（款）儿童福利（项）。2020年年初预算为0万元，2020年支出决算为4.41万元，决算数大于预算数，是因为追加困境儿童基本生活费，年中追加了4.41万元。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社会保障和就业支出（类）社会福利（款）老年福利（项）。2020年年初预算为0万元，2020年支出决算为32.95万元，决算数大于预算数，是因为追加高龄老人补贴及养老护理员补贴等，年中追加了32.95万元。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会保障和就业支出（类）社会福利（款）养老服务（项）。2020年年初预算为0万元，2020年支出决算为65.71万元，决算数大于预算数，是因为追加居家养老中心补助及社区居家照料中心建设、运行保险补助经费，年中追加了65.71万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社会保障和就业支出（类）残疾人事业（款）残疾人康复（项）。2020年年初预算为0万元，2020年支出决算为3.79万元，决算数大于预算数，是因为追加残疾人教育经费、医疗支出，年中追加了3.79万元。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社会保障和就业支出（类）残疾人事业（款）残疾人就业和扶贫（项）。2020年年初预算为0万元，2020年支出决算为4.5万元，决算数大于预算数，是因为追加残疾人就业扶持经费，年中追加了4.5万元。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社会保障和就业支出（类）残疾人事业（款）残疾人事业和生活补贴（项）。2020年年初预算为0万元，2020年支出决算为104.64万元，决算数大于预算数，是因为追加困难重度残疾人护理补贴，年中追加了104.64万元。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会保障和就业支出（类）残疾人事业（款）其他残疾人事业支出（项）。2020年年初预算为0万元，2020年支出决算为6.35万元，决算数大于预算数，是因为追加残疾人助残经费、残联专职委员经费、教育经费等，年中追加了6.35万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社会保障和就业支出（类）最低生活保障（款）城市最低生活保障支出（项）。2020年年初预算为0万元，2020年支出决算为80.7万元，决算数大于预算数，是因为追加城乡居民最低生活保障金，年中追加了80.7万元。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会保障和就业支出（类）临时救助（款）临时救助支出（项）。2020年年初预算为0万元，2020年支出决算为27.18万元，决算数大于预算数，是因为追加重点优抚对象基本生活价格补贴及临时救助，年中追加了27.18万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会保障和就业支出（类）特困人员救助供养（款）城市特困人员救助供养支出（项）。2020年年初预算为0万元，2020年支出决算为0.5万元，决算数大于预算数，是因为追加特困对象护理补贴和门诊补贴，年中追加了0.5万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社会保障和就业支出（类）其他生活救助（款）其他城市生活救助（项）。2020年年初预算为0万元，2020年支出决算为5.39万元，决算数大于预算数，是因为追加春节元旦慰问经费，年中追加了5.39万元。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会保障和就业支出（类）其他生活救助（款）其他农村生活救助（项）。2020年年初预算为0万元，2020年支出决算为10万元，决算数大于预算数，是因为追加各类社救对象定补及丧葬补助费及支宁返乡固定生活补助金，年中追加了10万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会保障和就业支出（类）退役军人管理事务（款）拥军优属（项）。2020年年初预算为0万元，2020年支出决算为3.52万元，决算数大于预算数，是因为追加春节八一拥军专项经费及社会化拥军，年中追加了3.52万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会保障和就业支出（类）其他社会保障和就业支出（款）其他社会保障和就业支出（项）。2020年年初预算为20万元，2020年支出决算为35.47万元，完成年初预算的177.35%，决算数大于预算数，是因为追加城乡居民最低生活保障金、民政福利工作经费，年中追加了15.47万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医疗卫生与计划生育支出（类）计划生育事务（款）其他计划生育事务支出（项）。2020年年初预算为30万元，2020年支出决算为25万元，完成年初预算的83.3%，其中因为卫健员调整，支出调整5万元。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医疗卫生与计划生育支出（类）优抚对象医疗（款）优抚对象医疗补助（项）。2020年年初预算为0万元，2020年支出决算为5万元，决算数大于预算数，是因为追加伤残军人补助，年中追加了5万元。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医疗卫生与计划生育支出（类）其他卫生健康支出（款）其他卫生健康支出（项）。2020年年初预算为406.6万元，2020年支出决算为345.93万元，完成年初预算的85.08%，因为病媒生物防制专业化服务按合同支付，年中调减60.67万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节能环保支出（类）环境保护管理事务（款）其他环境保护管理事务支出（项）。2020年年初预算为24万元，2020年支出决算为24万元，完成年初预算的100%，决算数等于预算数，是因为严格按照预算编制来执行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城乡社区支出（类）城乡社区环境卫生（款）城乡社区环境卫生（项）。2020年年初预算为157万元，2020年支出决算为157万元，完成年初预算的100%，决算数等于预算数，是因为严格按照预算编制来执行支出。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农林水支出（类）农业（款）对高校毕业生到基层任职补助（项）。2020年年初预算为7万元，2020年支出决算为9.33万元，完成年初预算的133.29%，决算数大于预算数，是因为追加人员调资经费，年中追加了2.33万元。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农林水支出（类）农业（款）其他农业农村支出（项）。2020年年初预算为60万元，2020年支出决算为41.3万元，完成年初预算的68.8%，因为大屏采购调整，年中调减18.7万元。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农林水支出（类）水利（款）其他水利支出（项）。2020年年初预算为158万元，2020年支出决算为156.58万元，完成年初预算的99.1%，决算数同年初预算数基本一致，是因为严格按照预算编制来执行支出。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农林水支出（类）农村综合改革（款）对村级一事一议的补助（项）。2020年年初预算为0万元，2020年支出决算为16.29万元，决算数大于预算数，是因为追加村级便民服务中心、村邮员运行经费，年中追加了16.29万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资源勘探信息等支出（类）支持中小企业发展和管理支出（款）其他支持中小企业发展和管理支出（项）。2020年年初预算45万元，2020年支出决算为45万元，完成年初预算的100%，决算数等于预算数，是因为严格按照预算编制来执行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灾害防治及应急管理支出（类）应急管理事务（款）安全监管（项）。2020年年初预算为411.2万元，2020年支出决算为439.1万元，完成年初预算的106.8%，决算数大于预算数，是因为追加应急中队人员报酬，年中追加了27.9万元。</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（六）一般公共预算财政拨款基本支出决算情况说明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2020年度一般公共预算财政拨款基本支出2,133.18万元，其中：：</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人员经费1,853.27万元，主要包括：基本工资、津贴补贴、奖金、绩效工资、职业年金缴费、生活补助、职工基本医疗保险缴费、公务员医疗补助缴费、机关事业单位基本养老保险缴费、住房公积金等。</w:t>
      </w:r>
    </w:p>
    <w:p>
      <w:pPr>
        <w:autoSpaceDE w:val="0"/>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公用经费279.91万元，主要包括：办公费、印刷费、人员劳务费、维护费、水电费、物业管理费、租赁费、培训费、会议费、公务接待费、专用材料费、专用燃料费、委托业务费、工会经费、福利费、其他交通费用、其他商品和服务支出、办公设备购置等。</w:t>
      </w:r>
    </w:p>
    <w:p>
      <w:pPr>
        <w:spacing w:line="600" w:lineRule="exact"/>
        <w:ind w:firstLine="643" w:firstLineChars="200"/>
        <w:rPr>
          <w:rFonts w:ascii="楷体_GB2312" w:hAnsi="楷体_GB2312" w:eastAsia="楷体_GB2312" w:cs="楷体_GB2312"/>
          <w:b/>
          <w:bCs/>
          <w:sz w:val="32"/>
          <w:szCs w:val="32"/>
        </w:rPr>
      </w:pP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（七）政府性基金预算财政拨款支出决算总体情况</w:t>
      </w:r>
    </w:p>
    <w:p>
      <w:p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1.政府性基金预算财政拨款支出决算总体情况。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2020年度政府性基金预算财政拨款支出704.66万元，占本年支出合计的11.71%。与2019年相比，政府性基金预算财政拨款支出减少63,639.84万元，下降98.90%。主要原因是：今年无土地出让金收入。</w:t>
      </w:r>
    </w:p>
    <w:p>
      <w:p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2.政府性基金预算财政拨款支出决算结构情况。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政府性基金预算财政拨款支出704.66万元，主要用于以下方面：科学技术（类）支出0万元,占0%；文化旅游体育与传媒（类）支出0万元,占0%；社会保障和就业（类）支出0万元,占0%；节能环保（类）支出0万元,占0%；城乡社区（类）支出646.71万元,占91.78%；农林水（类）支出0万元,占0%；交通运输（类）支出0万元,占0%；资源勘探信息等（类）支出0万元,占0%；金融（类）支出0万元,占0%；其他（类）支出57.95万元,占8.22%；债务付息（类）支出0万元,占0%；抗疫特别国债安排（类）支出0万元,占0%。</w:t>
      </w:r>
    </w:p>
    <w:p>
      <w:p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3.政府性基金预算财政拨款支出决算具体情况。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2020年度政府性基金预算财政拨款支出年初预算为640万元，支出决算为704.66万元,完成年初预算的110.1%，主要原因是追加温江路沿线整治工程、“三改一拆”拆违补贴。其中：</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城乡社区支出（类）国有土地使用权出让收入及对应专项债务收入安排的支出（款）城市建设支出（项）。年初预算为0万元，支出决算为158.2万元，决算数大于预算数，是因为追加温江路沿线整治工程，年中追加了158.2万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城乡社区支出（类）国有土地使用权出让收入及对应专项债务收入安排的支出（款）其他国有土地使用权出让收入安排的支出（项）。年初预算为140万元，支出决算为139.5万元，完成年初预算的99.64%，决算数同年初预算数基本一致，是因为严格按照预算编制来执行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城乡社区支出（类）城市基础设施配套费安排的支出（款）其他城市基础设施配套费安排的支出（项）。年初预算为500万元，支出决算为349万元，完成年初预算的69.8%，因为川城路改造整治工程按工程进度结算，年中调减151万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他支出（类）其他政府性基金及对应专项债务收入安排的支出（款）其他政府性基金安排的支出（项）。年初预算为0万元，支出决算为35.66万元，决算数大于预算数，是因为追加“三改一拆”拆违补贴，年中追加了35.66万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其他支出（类）彩票公益金安排的支出（款）用于社会福利的彩票公益金支出（项）。年初预算为0万元，支</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出决算为19.35万元，决算数大于预算数，是因为追加低保家庭儿童基本生活保障费等费用，年中追加了19.35万元。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其他支出（类）彩票公益金安排的支出（款）用于其他社会公益事业的彩票公益金支出（项）。年初预算为0万元，支出决算为2.95万元，决算数大于预算数，是因为追加复退军人定期补助，年中追加了2.95万元。</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（八）国有资本经营预算财政拨款支出决算总体情况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本部门2020年度无国有资本经营预算财政拨款收支安排，故无相关数据。</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（九）一般公共预算财政拨款“三公”经费支出决算情况说明</w:t>
      </w:r>
    </w:p>
    <w:p>
      <w:p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1.“三公”经费一般公共预算财政拨款支出决算总体情况说明。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2020年度“三公”经费一般公共预算财政拨款支出预算为21.73万元，支出决算为8.25万元，完成预算的37.96%,2020年度“三公”经费支出决算数小于预算数的主要原因是街道进一步规范公务用车、公务接待等支出。</w:t>
      </w:r>
    </w:p>
    <w:p>
      <w:p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2.“三公”经费一般公共预算财政拨款支出决算具体情况说明。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2020年度“三公”经费一般公共预算财政拨款支出决算中，因公出国（境）费用支出决算为0万元，占0%，与2019年度相比，减少4.04万元，下降100.00%，主要原因是</w:t>
      </w:r>
      <w:r>
        <w:rPr>
          <w:rFonts w:hint="eastAsia" w:ascii="仿宋_GB2312" w:hAnsi="仿宋_GB2312" w:cs="仿宋_GB2312"/>
          <w:sz w:val="32"/>
          <w:szCs w:val="32"/>
        </w:rPr>
        <w:t>2020年无</w:t>
      </w:r>
      <w:r>
        <w:rPr>
          <w:rFonts w:hint="eastAsia" w:ascii="仿宋_GB2312" w:hAnsi="仿宋_GB2312" w:eastAsia="仿宋_GB2312" w:cs="仿宋_GB2312"/>
          <w:sz w:val="32"/>
          <w:szCs w:val="32"/>
        </w:rPr>
        <w:t>因公出国；公务用车购置及运行维护费支出决算为6.48万元，占78.55%，与2019年度相比，减少4.72万元，下降42.14%，主要原因是进一步规范公务用车支出；公务接待费支出决算为1.77万元，占21.45%，与2019年度相比，增加0.63万元。具体情况如下：</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因公出国（境）费预算数为0万元，支出决算为0万元。完成预算的100%。主要用于机关及下属预算单位人员的公务出国（境）的住宿费、国际旅费、培训费、公杂费等支出。决算数等于预算数的主要原因是严格按照预算计划安排支出。全年使用一般公共预算财政拨款支出涉及因公出国(境)团组0个；累计0人次。本年无开支内容。</w:t>
      </w:r>
    </w:p>
    <w:p>
      <w:pPr>
        <w:spacing w:line="600" w:lineRule="atLeast"/>
        <w:ind w:firstLine="640"/>
        <w:rPr>
          <w:rFonts w:hint="eastAsia" w:ascii="仿宋_GB2312" w:hAnsi="仿宋_GB2312" w:cs="仿宋_GB2312"/>
          <w:sz w:val="32"/>
          <w:szCs w:val="32"/>
        </w:rPr>
      </w:pPr>
      <w:r>
        <w:rPr>
          <w:rFonts w:hint="eastAsia" w:ascii="仿宋" w:hAnsi="仿宋" w:eastAsia="仿宋" w:cs="Arial"/>
          <w:sz w:val="32"/>
          <w:szCs w:val="32"/>
        </w:rPr>
        <w:t>（2）</w:t>
      </w:r>
      <w:r>
        <w:rPr>
          <w:rFonts w:hint="eastAsia" w:ascii="仿宋" w:hAnsi="仿宋" w:eastAsia="仿宋" w:cs="Arial"/>
          <w:kern w:val="0"/>
          <w:sz w:val="32"/>
          <w:szCs w:val="32"/>
        </w:rPr>
        <w:t>公务用车购置及运行维护费预算数为</w:t>
      </w:r>
      <w:r>
        <w:rPr>
          <w:rFonts w:hint="eastAsia" w:ascii="仿宋_GB2312" w:hAnsi="仿宋_GB2312" w:eastAsia="仿宋_GB2312" w:cs="仿宋_GB2312"/>
          <w:sz w:val="32"/>
          <w:szCs w:val="32"/>
        </w:rPr>
        <w:t>13.25</w:t>
      </w:r>
      <w:r>
        <w:rPr>
          <w:rFonts w:hint="eastAsia" w:ascii="仿宋" w:hAnsi="仿宋" w:eastAsia="仿宋" w:cs="Arial"/>
          <w:kern w:val="0"/>
          <w:sz w:val="32"/>
          <w:szCs w:val="32"/>
        </w:rPr>
        <w:t>万元，支出决算为6.48万元，完成预算的</w:t>
      </w:r>
      <w:r>
        <w:rPr>
          <w:rFonts w:hint="eastAsia" w:ascii="仿宋_GB2312" w:hAnsi="仿宋_GB2312" w:eastAsia="仿宋_GB2312" w:cs="仿宋_GB2312"/>
          <w:sz w:val="32"/>
          <w:szCs w:val="32"/>
        </w:rPr>
        <w:t>48.9</w:t>
      </w:r>
      <w:r>
        <w:rPr>
          <w:rFonts w:hint="eastAsia" w:ascii="仿宋" w:hAnsi="仿宋" w:eastAsia="仿宋" w:cs="Arial"/>
          <w:kern w:val="0"/>
          <w:sz w:val="32"/>
          <w:szCs w:val="32"/>
        </w:rPr>
        <w:t>%。</w:t>
      </w:r>
      <w:r>
        <w:rPr>
          <w:rFonts w:hint="eastAsia" w:ascii="仿宋_GB2312" w:hAnsi="仿宋_GB2312" w:eastAsia="仿宋_GB2312" w:cs="仿宋_GB2312"/>
          <w:sz w:val="32"/>
          <w:szCs w:val="32"/>
        </w:rPr>
        <w:t>决算数小于预算数的主要原因是进一步规范公务用车支出。</w:t>
      </w:r>
    </w:p>
    <w:p>
      <w:pPr>
        <w:spacing w:line="600" w:lineRule="atLeast"/>
        <w:ind w:firstLine="640"/>
        <w:rPr>
          <w:rFonts w:ascii="宋体" w:hAnsi="宋体" w:eastAsia="宋体" w:cs="宋体"/>
          <w:kern w:val="0"/>
          <w:sz w:val="24"/>
        </w:rPr>
      </w:pPr>
      <w:r>
        <w:rPr>
          <w:rFonts w:hint="eastAsia" w:ascii="仿宋" w:hAnsi="仿宋" w:eastAsia="仿宋" w:cs="Arial"/>
          <w:kern w:val="0"/>
          <w:sz w:val="32"/>
          <w:szCs w:val="32"/>
        </w:rPr>
        <w:t>公务用车购置预算数为0万元，支出决算为0万元（含购置税等附加费用），完成预算的0%。决算数等于预算数的主要原因是无公务用车购置。主要用于经批准购置的0辆公务用车；</w:t>
      </w:r>
    </w:p>
    <w:p>
      <w:pPr>
        <w:widowControl/>
        <w:spacing w:line="600" w:lineRule="atLeast"/>
        <w:ind w:firstLine="640"/>
        <w:rPr>
          <w:rFonts w:ascii="宋体" w:hAnsi="宋体" w:eastAsia="宋体" w:cs="宋体"/>
          <w:kern w:val="0"/>
          <w:sz w:val="24"/>
        </w:rPr>
      </w:pPr>
      <w:r>
        <w:rPr>
          <w:rFonts w:hint="eastAsia" w:ascii="仿宋" w:hAnsi="仿宋" w:eastAsia="仿宋" w:cs="Arial"/>
          <w:kern w:val="0"/>
          <w:sz w:val="32"/>
          <w:szCs w:val="32"/>
        </w:rPr>
        <w:t>公务用车运行维护费预算数为</w:t>
      </w:r>
      <w:r>
        <w:rPr>
          <w:rFonts w:hint="eastAsia" w:ascii="仿宋_GB2312" w:hAnsi="仿宋_GB2312" w:eastAsia="仿宋_GB2312" w:cs="仿宋_GB2312"/>
          <w:sz w:val="32"/>
          <w:szCs w:val="32"/>
        </w:rPr>
        <w:t>13.25</w:t>
      </w:r>
      <w:r>
        <w:rPr>
          <w:rFonts w:hint="eastAsia" w:ascii="仿宋" w:hAnsi="仿宋" w:eastAsia="仿宋" w:cs="Arial"/>
          <w:kern w:val="0"/>
          <w:sz w:val="32"/>
          <w:szCs w:val="32"/>
        </w:rPr>
        <w:t>万元，支出6.48万元，完成预算的</w:t>
      </w:r>
      <w:r>
        <w:rPr>
          <w:rFonts w:hint="eastAsia" w:ascii="仿宋_GB2312" w:hAnsi="仿宋_GB2312" w:eastAsia="仿宋_GB2312" w:cs="仿宋_GB2312"/>
          <w:sz w:val="32"/>
          <w:szCs w:val="32"/>
        </w:rPr>
        <w:t>48.9</w:t>
      </w:r>
      <w:r>
        <w:rPr>
          <w:rFonts w:hint="eastAsia" w:ascii="仿宋" w:hAnsi="仿宋" w:eastAsia="仿宋" w:cs="Arial"/>
          <w:kern w:val="0"/>
          <w:sz w:val="32"/>
          <w:szCs w:val="32"/>
        </w:rPr>
        <w:t>%。决算数小于预算数的主要原因</w:t>
      </w:r>
      <w:r>
        <w:rPr>
          <w:rFonts w:hint="eastAsia" w:ascii="仿宋_GB2312" w:hAnsi="仿宋_GB2312" w:eastAsia="仿宋_GB2312" w:cs="仿宋_GB2312"/>
          <w:sz w:val="32"/>
          <w:szCs w:val="32"/>
        </w:rPr>
        <w:t>是进一步规范公务用车支出</w:t>
      </w:r>
      <w:r>
        <w:rPr>
          <w:rFonts w:hint="eastAsia" w:ascii="仿宋" w:hAnsi="仿宋" w:eastAsia="仿宋" w:cs="Arial"/>
          <w:kern w:val="0"/>
          <w:sz w:val="32"/>
          <w:szCs w:val="32"/>
        </w:rPr>
        <w:t>。主要用于所需的公务用车燃 料费、维修费、过路过桥费、保险费、安全奖励费用等支出；2020年度，本级及所属单位开支一般公共预算财政拨款的公务用车保有量为5辆。</w:t>
      </w:r>
    </w:p>
    <w:p>
      <w:pPr>
        <w:spacing w:line="600" w:lineRule="exact"/>
        <w:ind w:firstLine="640" w:firstLineChars="200"/>
        <w:rPr>
          <w:rFonts w:ascii="仿宋_GB2312" w:hAnsi="仿宋_GB2312" w:cs="仿宋_GB2312"/>
          <w:sz w:val="32"/>
          <w:szCs w:val="32"/>
        </w:rPr>
      </w:pPr>
      <w:r>
        <w:rPr>
          <w:rFonts w:hint="eastAsia" w:ascii="仿宋_GB2312" w:hAnsi="仿宋_GB2312" w:eastAsia="仿宋_GB2312" w:cs="仿宋_GB2312"/>
          <w:sz w:val="32"/>
          <w:szCs w:val="32"/>
        </w:rPr>
        <w:t>（3）公务接待费预算数为8.48万元，支出决算为1.77万元，完成预算的20.87%。决算数小于预算数的主要原因是进一步规范公务接待支出。全年使用一般公共预算财政拨款国内公务接待5团组，累计100人次。</w:t>
      </w:r>
    </w:p>
    <w:p>
      <w:pPr>
        <w:spacing w:line="600" w:lineRule="exact"/>
        <w:ind w:firstLine="640" w:firstLineChars="200"/>
        <w:rPr>
          <w:rFonts w:ascii="仿宋_GB2312" w:hAnsi="仿宋_GB2312" w:eastAsia="仿宋_GB2312" w:cs="仿宋_GB2312"/>
          <w:sz w:val="32"/>
          <w:szCs w:val="32"/>
        </w:rPr>
      </w:pPr>
      <w:r>
        <w:rPr>
          <w:rFonts w:hint="eastAsia" w:ascii="仿宋" w:hAnsi="仿宋" w:eastAsia="仿宋" w:cs="Arial"/>
          <w:sz w:val="32"/>
          <w:szCs w:val="32"/>
        </w:rPr>
        <w:t>外宾接待支出0万元，主要用于外事接待0团组，0人次。</w:t>
      </w:r>
      <w:r>
        <w:rPr>
          <w:rFonts w:hint="eastAsia" w:ascii="仿宋_GB2312" w:hAnsi="仿宋_GB2312" w:eastAsia="仿宋_GB2312" w:cs="仿宋_GB2312"/>
          <w:sz w:val="32"/>
          <w:szCs w:val="32"/>
        </w:rPr>
        <w:t>其他国内公务接待支出1.77万元，主要用于交叉检查接待5团组，100人次。</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（十）机关运行经费支出说明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2020年度机关运行经费年初预算数为187.44万元，支出决算为279.91万元，完成年初预算的149.33%，决算数大于预算数的主要原因是追加人员经费；比2019年度减少63.22万元，下降18.42%，主要原因是严控公用经费。</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（十一）政府采购支出说明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政府采购支出总额194.89万元，其中：政府采购货物支出123.09万元、政府采购工程支出0万元、政府采购服务支出71.80万元。授予中小企业合同金额194.89万元，占政府采购支出总额的100.00%。其中，授予小微企业合同金额0万元，占政府采购支出总额的0%。</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（十二）国有资产占有情况说明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截至2020年12月31日，城西街道办事处及所属各单位共有车辆5辆，其中，副部（省）级及以上领导用车0辆、主要领导干部用车0辆、机要通信用车0辆、应急保障用车0辆、执法执勤用车0辆、特种专业技术用车0辆、离退休干部用车0辆、其他用车5辆,其他用车主要是计生服务指导站车辆；单价50万元以上通用设备0台（套），单价100万元以上专用设备0台（套）。 </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（十三）预算绩效情况说明</w:t>
      </w:r>
    </w:p>
    <w:p>
      <w:p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1.预算绩效管理工作开展情况。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城西街道办事处对2020年度一般公共预算项目支出全面开展绩效自评，涉及项目52个，共涉及资金2716.98万元，占一般公共预算项目支出总额的62.33%。组织对2020年度川城路改造整治工程、三改一拆等4个政府性基金预算项目支出开展绩效自评，共涉及资金489万元，占政府性基金预算项目支出总额的76.4%。</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本年无部门评价。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组织对本部门开展整体支出绩效评价试点，从评价情况来看，整体绩效评价得分85.77分，评价结论为“良”。</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本年无下属部门或单位整体支出绩效评价。</w:t>
      </w:r>
    </w:p>
    <w:p>
      <w:p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2.部门决算中项目绩效自评结果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城西街道在2020年度部门决算中反映大楼电梯更换工程及三改一拆工作经费项目绩效自评结果。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大楼电梯更换工程绩效自评综述：根据年初设定的绩效目标，项目自评得分70分，自评结论为“中”。项目全年预算数为62万元，执行数为39.05万元，完成预算的62.98%。项目绩效目标完成情况：一是保障大楼电梯使用安全，确保大楼正常运行；二是完成2部电梯的更换；三是按工期按时完工。发现的问题及原因：一是未考虑工期及外界因素，导致设备提供不及时；二是疫情影响电梯配件无法按时提供。下一步改进措施：一是及时督促施工方加快进度；二是及时对电梯进行质检。</w:t>
      </w:r>
    </w:p>
    <w:p>
      <w:pPr>
        <w:pStyle w:val="2"/>
      </w:pPr>
    </w:p>
    <w:tbl>
      <w:tblPr>
        <w:tblStyle w:val="6"/>
        <w:tblW w:w="896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458"/>
        <w:gridCol w:w="492"/>
        <w:gridCol w:w="856"/>
        <w:gridCol w:w="29"/>
        <w:gridCol w:w="1389"/>
        <w:gridCol w:w="189"/>
        <w:gridCol w:w="1370"/>
        <w:gridCol w:w="1315"/>
        <w:gridCol w:w="252"/>
        <w:gridCol w:w="559"/>
        <w:gridCol w:w="749"/>
        <w:gridCol w:w="300"/>
        <w:gridCol w:w="10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07" w:hRule="atLeast"/>
        </w:trPr>
        <w:tc>
          <w:tcPr>
            <w:tcW w:w="950" w:type="dxa"/>
            <w:gridSpan w:val="2"/>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kern w:val="0"/>
                <w:szCs w:val="21"/>
              </w:rPr>
            </w:pPr>
            <w:r>
              <w:rPr>
                <w:rFonts w:hint="eastAsia" w:ascii="宋体" w:hAnsi="宋体" w:cs="仿宋_GB2312"/>
                <w:kern w:val="0"/>
                <w:szCs w:val="21"/>
              </w:rPr>
              <w:t>项目</w:t>
            </w:r>
          </w:p>
          <w:p>
            <w:pPr>
              <w:widowControl/>
              <w:adjustRightInd w:val="0"/>
              <w:snapToGrid w:val="0"/>
              <w:jc w:val="center"/>
              <w:rPr>
                <w:rFonts w:ascii="宋体" w:hAnsi="宋体" w:cs="仿宋_GB2312"/>
                <w:kern w:val="0"/>
                <w:szCs w:val="21"/>
              </w:rPr>
            </w:pPr>
            <w:r>
              <w:rPr>
                <w:rFonts w:hint="eastAsia" w:ascii="宋体" w:hAnsi="宋体" w:cs="仿宋_GB2312"/>
                <w:kern w:val="0"/>
                <w:szCs w:val="21"/>
              </w:rPr>
              <w:t>名称</w:t>
            </w:r>
          </w:p>
        </w:tc>
        <w:tc>
          <w:tcPr>
            <w:tcW w:w="8015" w:type="dxa"/>
            <w:gridSpan w:val="11"/>
            <w:shd w:val="clear" w:color="auto" w:fill="FFFFFF"/>
            <w:tcMar>
              <w:top w:w="0" w:type="dxa"/>
              <w:left w:w="105" w:type="dxa"/>
              <w:bottom w:w="0" w:type="dxa"/>
              <w:right w:w="105" w:type="dxa"/>
            </w:tcMar>
            <w:vAlign w:val="center"/>
          </w:tcPr>
          <w:p>
            <w:pPr>
              <w:widowControl/>
              <w:adjustRightInd w:val="0"/>
              <w:snapToGrid w:val="0"/>
              <w:jc w:val="left"/>
              <w:rPr>
                <w:rFonts w:ascii="宋体" w:hAnsi="宋体" w:cs="仿宋_GB2312"/>
                <w:spacing w:val="7"/>
                <w:kern w:val="0"/>
                <w:szCs w:val="21"/>
              </w:rPr>
            </w:pPr>
            <w:r>
              <w:rPr>
                <w:rFonts w:hint="eastAsia" w:ascii="宋体" w:hAnsi="宋体" w:cs="仿宋_GB2312"/>
                <w:spacing w:val="7"/>
                <w:kern w:val="0"/>
                <w:szCs w:val="21"/>
              </w:rPr>
              <w:t>大楼电梯更换工程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72" w:hRule="atLeast"/>
        </w:trPr>
        <w:tc>
          <w:tcPr>
            <w:tcW w:w="950" w:type="dxa"/>
            <w:gridSpan w:val="2"/>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主管</w:t>
            </w:r>
          </w:p>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部门</w:t>
            </w:r>
          </w:p>
        </w:tc>
        <w:tc>
          <w:tcPr>
            <w:tcW w:w="3833" w:type="dxa"/>
            <w:gridSpan w:val="5"/>
            <w:shd w:val="clear" w:color="auto" w:fill="FFFFFF"/>
            <w:tcMar>
              <w:top w:w="0" w:type="dxa"/>
              <w:left w:w="105" w:type="dxa"/>
              <w:bottom w:w="0" w:type="dxa"/>
              <w:right w:w="105" w:type="dxa"/>
            </w:tcMar>
            <w:vAlign w:val="center"/>
          </w:tcPr>
          <w:p>
            <w:pPr>
              <w:widowControl/>
              <w:adjustRightInd w:val="0"/>
              <w:snapToGrid w:val="0"/>
              <w:rPr>
                <w:rFonts w:ascii="宋体" w:hAnsi="宋体" w:cs="仿宋_GB2312"/>
                <w:spacing w:val="7"/>
                <w:kern w:val="0"/>
                <w:szCs w:val="21"/>
              </w:rPr>
            </w:pPr>
            <w:r>
              <w:rPr>
                <w:rFonts w:ascii="宋体" w:hAnsi="宋体" w:cs="仿宋_GB2312"/>
                <w:spacing w:val="7"/>
                <w:kern w:val="0"/>
                <w:szCs w:val="21"/>
              </w:rPr>
              <w:t>温岭市城西街道办事处</w:t>
            </w:r>
          </w:p>
        </w:tc>
        <w:tc>
          <w:tcPr>
            <w:tcW w:w="1567" w:type="dxa"/>
            <w:gridSpan w:val="2"/>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实施单位</w:t>
            </w:r>
          </w:p>
        </w:tc>
        <w:tc>
          <w:tcPr>
            <w:tcW w:w="2615" w:type="dxa"/>
            <w:gridSpan w:val="4"/>
            <w:shd w:val="clear" w:color="auto" w:fill="FFFFFF"/>
            <w:tcMar>
              <w:top w:w="0" w:type="dxa"/>
              <w:left w:w="105" w:type="dxa"/>
              <w:bottom w:w="0" w:type="dxa"/>
              <w:right w:w="105" w:type="dxa"/>
            </w:tcMar>
            <w:vAlign w:val="center"/>
          </w:tcPr>
          <w:p>
            <w:pPr>
              <w:widowControl/>
              <w:adjustRightInd w:val="0"/>
              <w:snapToGrid w:val="0"/>
              <w:rPr>
                <w:rFonts w:ascii="宋体" w:hAnsi="宋体" w:cs="仿宋_GB2312"/>
                <w:spacing w:val="7"/>
                <w:kern w:val="0"/>
                <w:szCs w:val="21"/>
              </w:rPr>
            </w:pPr>
            <w:r>
              <w:rPr>
                <w:rFonts w:ascii="宋体" w:hAnsi="宋体" w:cs="仿宋_GB2312"/>
                <w:spacing w:val="7"/>
                <w:kern w:val="0"/>
                <w:szCs w:val="21"/>
              </w:rPr>
              <w:t>温岭市城西街道办事处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exact"/>
        </w:trPr>
        <w:tc>
          <w:tcPr>
            <w:tcW w:w="950" w:type="dxa"/>
            <w:gridSpan w:val="2"/>
            <w:vMerge w:val="restart"/>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项目</w:t>
            </w:r>
          </w:p>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资金(万元)</w:t>
            </w:r>
          </w:p>
        </w:tc>
        <w:tc>
          <w:tcPr>
            <w:tcW w:w="2463" w:type="dxa"/>
            <w:gridSpan w:val="4"/>
            <w:shd w:val="clear" w:color="auto" w:fill="FFFFFF"/>
            <w:tcMar>
              <w:top w:w="0" w:type="dxa"/>
              <w:left w:w="105" w:type="dxa"/>
              <w:bottom w:w="0" w:type="dxa"/>
              <w:right w:w="105" w:type="dxa"/>
            </w:tcMar>
            <w:vAlign w:val="center"/>
          </w:tcPr>
          <w:p>
            <w:pPr>
              <w:widowControl/>
              <w:adjustRightInd w:val="0"/>
              <w:snapToGrid w:val="0"/>
              <w:rPr>
                <w:rFonts w:ascii="宋体" w:hAnsi="宋体" w:cs="仿宋_GB2312"/>
                <w:spacing w:val="7"/>
                <w:kern w:val="0"/>
                <w:szCs w:val="21"/>
              </w:rPr>
            </w:pPr>
          </w:p>
        </w:tc>
        <w:tc>
          <w:tcPr>
            <w:tcW w:w="1370" w:type="dxa"/>
            <w:shd w:val="clear" w:color="auto" w:fill="FFFFFF"/>
            <w:tcMar>
              <w:top w:w="0" w:type="dxa"/>
              <w:left w:w="105" w:type="dxa"/>
              <w:bottom w:w="0" w:type="dxa"/>
              <w:right w:w="105" w:type="dxa"/>
            </w:tcMar>
            <w:vAlign w:val="center"/>
          </w:tcPr>
          <w:p>
            <w:pPr>
              <w:widowControl/>
              <w:adjustRightInd w:val="0"/>
              <w:snapToGrid w:val="0"/>
              <w:rPr>
                <w:rFonts w:ascii="宋体" w:hAnsi="宋体" w:cs="仿宋_GB2312"/>
                <w:spacing w:val="7"/>
                <w:kern w:val="0"/>
                <w:szCs w:val="21"/>
              </w:rPr>
            </w:pPr>
            <w:r>
              <w:rPr>
                <w:rFonts w:hint="eastAsia" w:ascii="宋体" w:hAnsi="宋体" w:cs="仿宋_GB2312"/>
                <w:spacing w:val="7"/>
                <w:kern w:val="0"/>
                <w:szCs w:val="21"/>
              </w:rPr>
              <w:t>年初预算数</w:t>
            </w:r>
          </w:p>
        </w:tc>
        <w:tc>
          <w:tcPr>
            <w:tcW w:w="1567" w:type="dxa"/>
            <w:gridSpan w:val="2"/>
            <w:shd w:val="clear" w:color="auto" w:fill="FFFFFF"/>
            <w:tcMar>
              <w:top w:w="0" w:type="dxa"/>
              <w:left w:w="105" w:type="dxa"/>
              <w:bottom w:w="0" w:type="dxa"/>
              <w:right w:w="105" w:type="dxa"/>
            </w:tcMar>
            <w:vAlign w:val="center"/>
          </w:tcPr>
          <w:p>
            <w:pPr>
              <w:widowControl/>
              <w:adjustRightInd w:val="0"/>
              <w:snapToGrid w:val="0"/>
              <w:rPr>
                <w:rFonts w:ascii="宋体" w:hAnsi="宋体" w:cs="仿宋_GB2312"/>
                <w:spacing w:val="7"/>
                <w:kern w:val="0"/>
                <w:szCs w:val="21"/>
              </w:rPr>
            </w:pPr>
            <w:r>
              <w:rPr>
                <w:rFonts w:hint="eastAsia" w:ascii="宋体" w:hAnsi="宋体" w:cs="仿宋_GB2312"/>
                <w:spacing w:val="7"/>
                <w:kern w:val="0"/>
                <w:szCs w:val="21"/>
              </w:rPr>
              <w:t>全年预算数</w:t>
            </w:r>
          </w:p>
        </w:tc>
        <w:tc>
          <w:tcPr>
            <w:tcW w:w="1608" w:type="dxa"/>
            <w:gridSpan w:val="3"/>
            <w:shd w:val="clear" w:color="auto" w:fill="FFFFFF"/>
            <w:tcMar>
              <w:top w:w="0" w:type="dxa"/>
              <w:left w:w="105" w:type="dxa"/>
              <w:bottom w:w="0" w:type="dxa"/>
              <w:right w:w="105" w:type="dxa"/>
            </w:tcMar>
            <w:vAlign w:val="center"/>
          </w:tcPr>
          <w:p>
            <w:pPr>
              <w:widowControl/>
              <w:adjustRightInd w:val="0"/>
              <w:snapToGrid w:val="0"/>
              <w:rPr>
                <w:rFonts w:ascii="宋体" w:hAnsi="宋体" w:cs="仿宋_GB2312"/>
                <w:spacing w:val="7"/>
                <w:kern w:val="0"/>
                <w:szCs w:val="21"/>
              </w:rPr>
            </w:pPr>
            <w:r>
              <w:rPr>
                <w:rFonts w:hint="eastAsia" w:ascii="宋体" w:hAnsi="宋体" w:cs="仿宋_GB2312"/>
                <w:spacing w:val="7"/>
                <w:kern w:val="0"/>
                <w:szCs w:val="21"/>
              </w:rPr>
              <w:t>全年执行数</w:t>
            </w:r>
          </w:p>
        </w:tc>
        <w:tc>
          <w:tcPr>
            <w:tcW w:w="1007" w:type="dxa"/>
            <w:shd w:val="clear" w:color="auto" w:fill="FFFFFF"/>
            <w:tcMar>
              <w:top w:w="0" w:type="dxa"/>
              <w:left w:w="105" w:type="dxa"/>
              <w:bottom w:w="0" w:type="dxa"/>
              <w:right w:w="105" w:type="dxa"/>
            </w:tcMar>
            <w:vAlign w:val="center"/>
          </w:tcPr>
          <w:p>
            <w:pPr>
              <w:widowControl/>
              <w:adjustRightInd w:val="0"/>
              <w:snapToGrid w:val="0"/>
              <w:rPr>
                <w:rFonts w:ascii="宋体" w:hAnsi="宋体" w:cs="仿宋_GB2312"/>
                <w:spacing w:val="7"/>
                <w:kern w:val="0"/>
                <w:szCs w:val="21"/>
              </w:rPr>
            </w:pPr>
            <w:r>
              <w:rPr>
                <w:rFonts w:hint="eastAsia" w:ascii="宋体" w:hAnsi="宋体" w:cs="仿宋_GB2312"/>
                <w:spacing w:val="7"/>
                <w:kern w:val="0"/>
                <w:szCs w:val="21"/>
              </w:rPr>
              <w:t>执行率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exact"/>
        </w:trPr>
        <w:tc>
          <w:tcPr>
            <w:tcW w:w="950" w:type="dxa"/>
            <w:gridSpan w:val="2"/>
            <w:vMerge w:val="continue"/>
            <w:shd w:val="clear" w:color="auto" w:fill="FFFFFF"/>
            <w:vAlign w:val="center"/>
          </w:tcPr>
          <w:p>
            <w:pPr>
              <w:widowControl/>
              <w:adjustRightInd w:val="0"/>
              <w:snapToGrid w:val="0"/>
              <w:rPr>
                <w:rFonts w:ascii="宋体" w:hAnsi="宋体" w:cs="仿宋_GB2312"/>
                <w:spacing w:val="7"/>
                <w:kern w:val="0"/>
                <w:szCs w:val="21"/>
              </w:rPr>
            </w:pPr>
          </w:p>
        </w:tc>
        <w:tc>
          <w:tcPr>
            <w:tcW w:w="2463" w:type="dxa"/>
            <w:gridSpan w:val="4"/>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年度资金总额</w:t>
            </w:r>
          </w:p>
        </w:tc>
        <w:tc>
          <w:tcPr>
            <w:tcW w:w="1370" w:type="dxa"/>
            <w:shd w:val="clear" w:color="auto" w:fill="FFFFFF"/>
            <w:tcMar>
              <w:top w:w="0" w:type="dxa"/>
              <w:left w:w="105" w:type="dxa"/>
              <w:bottom w:w="0" w:type="dxa"/>
              <w:right w:w="105" w:type="dxa"/>
            </w:tcMar>
            <w:vAlign w:val="center"/>
          </w:tcPr>
          <w:p>
            <w:pPr>
              <w:widowControl/>
              <w:adjustRightInd w:val="0"/>
              <w:snapToGrid w:val="0"/>
              <w:jc w:val="right"/>
              <w:rPr>
                <w:rFonts w:ascii="宋体" w:hAnsi="宋体" w:cs="仿宋_GB2312"/>
                <w:spacing w:val="7"/>
                <w:kern w:val="0"/>
                <w:szCs w:val="21"/>
              </w:rPr>
            </w:pPr>
            <w:r>
              <w:rPr>
                <w:rFonts w:hint="eastAsia" w:ascii="宋体" w:hAnsi="宋体" w:cs="仿宋_GB2312"/>
                <w:spacing w:val="7"/>
                <w:kern w:val="0"/>
                <w:szCs w:val="21"/>
              </w:rPr>
              <w:t>62</w:t>
            </w:r>
          </w:p>
        </w:tc>
        <w:tc>
          <w:tcPr>
            <w:tcW w:w="1567" w:type="dxa"/>
            <w:gridSpan w:val="2"/>
            <w:shd w:val="clear" w:color="auto" w:fill="FFFFFF"/>
            <w:tcMar>
              <w:top w:w="0" w:type="dxa"/>
              <w:left w:w="105" w:type="dxa"/>
              <w:bottom w:w="0" w:type="dxa"/>
              <w:right w:w="105" w:type="dxa"/>
            </w:tcMar>
            <w:vAlign w:val="center"/>
          </w:tcPr>
          <w:p>
            <w:pPr>
              <w:jc w:val="right"/>
              <w:rPr>
                <w:rFonts w:ascii="宋体" w:hAnsi="宋体" w:cs="宋体"/>
                <w:bCs/>
                <w:szCs w:val="21"/>
              </w:rPr>
            </w:pPr>
            <w:r>
              <w:rPr>
                <w:rFonts w:hint="eastAsia" w:ascii="宋体" w:hAnsi="宋体" w:cs="仿宋_GB2312"/>
                <w:spacing w:val="7"/>
                <w:kern w:val="0"/>
                <w:szCs w:val="21"/>
              </w:rPr>
              <w:t>62</w:t>
            </w:r>
          </w:p>
        </w:tc>
        <w:tc>
          <w:tcPr>
            <w:tcW w:w="1608" w:type="dxa"/>
            <w:gridSpan w:val="3"/>
            <w:shd w:val="clear" w:color="auto" w:fill="FFFFFF"/>
            <w:tcMar>
              <w:top w:w="0" w:type="dxa"/>
              <w:left w:w="105" w:type="dxa"/>
              <w:bottom w:w="0" w:type="dxa"/>
              <w:right w:w="105" w:type="dxa"/>
            </w:tcMar>
            <w:vAlign w:val="center"/>
          </w:tcPr>
          <w:p>
            <w:pPr>
              <w:widowControl/>
              <w:adjustRightInd w:val="0"/>
              <w:snapToGrid w:val="0"/>
              <w:jc w:val="right"/>
              <w:rPr>
                <w:rFonts w:ascii="宋体" w:hAnsi="宋体" w:cs="仿宋_GB2312"/>
                <w:spacing w:val="7"/>
                <w:kern w:val="0"/>
                <w:szCs w:val="21"/>
              </w:rPr>
            </w:pPr>
            <w:r>
              <w:rPr>
                <w:rFonts w:ascii="宋体" w:hAnsi="宋体" w:cs="仿宋_GB2312"/>
                <w:spacing w:val="7"/>
                <w:kern w:val="0"/>
                <w:szCs w:val="21"/>
              </w:rPr>
              <w:t>39.05</w:t>
            </w:r>
          </w:p>
        </w:tc>
        <w:tc>
          <w:tcPr>
            <w:tcW w:w="1007" w:type="dxa"/>
            <w:shd w:val="clear" w:color="auto" w:fill="FFFFFF"/>
            <w:tcMar>
              <w:top w:w="0" w:type="dxa"/>
              <w:left w:w="105" w:type="dxa"/>
              <w:bottom w:w="0" w:type="dxa"/>
              <w:right w:w="105" w:type="dxa"/>
            </w:tcMar>
            <w:vAlign w:val="center"/>
          </w:tcPr>
          <w:p>
            <w:pPr>
              <w:widowControl/>
              <w:adjustRightInd w:val="0"/>
              <w:snapToGrid w:val="0"/>
              <w:jc w:val="right"/>
              <w:rPr>
                <w:rFonts w:ascii="宋体" w:hAnsi="宋体" w:cs="仿宋_GB2312"/>
                <w:spacing w:val="7"/>
                <w:kern w:val="0"/>
                <w:szCs w:val="21"/>
              </w:rPr>
            </w:pPr>
            <w:r>
              <w:rPr>
                <w:rFonts w:hint="eastAsia" w:ascii="宋体" w:hAnsi="宋体" w:cs="仿宋_GB2312"/>
                <w:spacing w:val="7"/>
                <w:kern w:val="0"/>
                <w:szCs w:val="21"/>
              </w:rPr>
              <w:t>62.98%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exact"/>
        </w:trPr>
        <w:tc>
          <w:tcPr>
            <w:tcW w:w="950" w:type="dxa"/>
            <w:gridSpan w:val="2"/>
            <w:vMerge w:val="continue"/>
            <w:shd w:val="clear" w:color="auto" w:fill="FFFFFF"/>
            <w:vAlign w:val="center"/>
          </w:tcPr>
          <w:p>
            <w:pPr>
              <w:widowControl/>
              <w:adjustRightInd w:val="0"/>
              <w:snapToGrid w:val="0"/>
              <w:rPr>
                <w:rFonts w:ascii="宋体" w:hAnsi="宋体" w:cs="仿宋_GB2312"/>
                <w:spacing w:val="7"/>
                <w:kern w:val="0"/>
                <w:szCs w:val="21"/>
              </w:rPr>
            </w:pPr>
          </w:p>
        </w:tc>
        <w:tc>
          <w:tcPr>
            <w:tcW w:w="2463" w:type="dxa"/>
            <w:gridSpan w:val="4"/>
            <w:shd w:val="clear" w:color="auto" w:fill="FFFFFF"/>
            <w:tcMar>
              <w:top w:w="0" w:type="dxa"/>
              <w:left w:w="105" w:type="dxa"/>
              <w:bottom w:w="0" w:type="dxa"/>
              <w:right w:w="105" w:type="dxa"/>
            </w:tcMar>
            <w:vAlign w:val="center"/>
          </w:tcPr>
          <w:p>
            <w:pPr>
              <w:widowControl/>
              <w:adjustRightInd w:val="0"/>
              <w:snapToGrid w:val="0"/>
              <w:rPr>
                <w:rFonts w:ascii="宋体" w:hAnsi="宋体" w:cs="仿宋_GB2312"/>
                <w:spacing w:val="7"/>
                <w:kern w:val="0"/>
                <w:szCs w:val="21"/>
              </w:rPr>
            </w:pPr>
            <w:r>
              <w:rPr>
                <w:rFonts w:hint="eastAsia" w:ascii="宋体" w:hAnsi="宋体" w:cs="仿宋_GB2312"/>
                <w:spacing w:val="7"/>
                <w:kern w:val="0"/>
                <w:szCs w:val="21"/>
              </w:rPr>
              <w:t>其中：当年财政拨款</w:t>
            </w:r>
          </w:p>
        </w:tc>
        <w:tc>
          <w:tcPr>
            <w:tcW w:w="1370" w:type="dxa"/>
            <w:shd w:val="clear" w:color="auto" w:fill="FFFFFF"/>
            <w:tcMar>
              <w:top w:w="0" w:type="dxa"/>
              <w:left w:w="105" w:type="dxa"/>
              <w:bottom w:w="0" w:type="dxa"/>
              <w:right w:w="105" w:type="dxa"/>
            </w:tcMar>
            <w:vAlign w:val="center"/>
          </w:tcPr>
          <w:p>
            <w:pPr>
              <w:widowControl/>
              <w:adjustRightInd w:val="0"/>
              <w:snapToGrid w:val="0"/>
              <w:jc w:val="right"/>
              <w:rPr>
                <w:rFonts w:ascii="宋体" w:hAnsi="宋体" w:cs="仿宋_GB2312"/>
                <w:spacing w:val="7"/>
                <w:kern w:val="0"/>
                <w:szCs w:val="21"/>
              </w:rPr>
            </w:pPr>
            <w:r>
              <w:rPr>
                <w:rFonts w:hint="eastAsia" w:ascii="宋体" w:hAnsi="宋体" w:cs="仿宋_GB2312"/>
                <w:spacing w:val="7"/>
                <w:kern w:val="0"/>
                <w:szCs w:val="21"/>
              </w:rPr>
              <w:t>62</w:t>
            </w:r>
          </w:p>
        </w:tc>
        <w:tc>
          <w:tcPr>
            <w:tcW w:w="1567" w:type="dxa"/>
            <w:gridSpan w:val="2"/>
            <w:shd w:val="clear" w:color="auto" w:fill="FFFFFF"/>
            <w:tcMar>
              <w:top w:w="0" w:type="dxa"/>
              <w:left w:w="105" w:type="dxa"/>
              <w:bottom w:w="0" w:type="dxa"/>
              <w:right w:w="105" w:type="dxa"/>
            </w:tcMar>
            <w:vAlign w:val="center"/>
          </w:tcPr>
          <w:p>
            <w:pPr>
              <w:jc w:val="right"/>
              <w:rPr>
                <w:rFonts w:ascii="宋体" w:hAnsi="宋体" w:cs="宋体"/>
                <w:bCs/>
                <w:szCs w:val="21"/>
              </w:rPr>
            </w:pPr>
            <w:r>
              <w:rPr>
                <w:rFonts w:hint="eastAsia" w:ascii="宋体" w:hAnsi="宋体" w:cs="仿宋_GB2312"/>
                <w:spacing w:val="7"/>
                <w:kern w:val="0"/>
                <w:szCs w:val="21"/>
              </w:rPr>
              <w:t>62</w:t>
            </w:r>
          </w:p>
        </w:tc>
        <w:tc>
          <w:tcPr>
            <w:tcW w:w="1608" w:type="dxa"/>
            <w:gridSpan w:val="3"/>
            <w:shd w:val="clear" w:color="auto" w:fill="FFFFFF"/>
            <w:tcMar>
              <w:top w:w="0" w:type="dxa"/>
              <w:left w:w="105" w:type="dxa"/>
              <w:bottom w:w="0" w:type="dxa"/>
              <w:right w:w="105" w:type="dxa"/>
            </w:tcMar>
            <w:vAlign w:val="center"/>
          </w:tcPr>
          <w:p>
            <w:pPr>
              <w:widowControl/>
              <w:adjustRightInd w:val="0"/>
              <w:snapToGrid w:val="0"/>
              <w:jc w:val="right"/>
              <w:rPr>
                <w:rFonts w:ascii="宋体" w:hAnsi="宋体" w:cs="仿宋_GB2312"/>
                <w:spacing w:val="7"/>
                <w:kern w:val="0"/>
                <w:szCs w:val="21"/>
              </w:rPr>
            </w:pPr>
            <w:r>
              <w:rPr>
                <w:rFonts w:ascii="宋体" w:hAnsi="宋体" w:cs="仿宋_GB2312"/>
                <w:spacing w:val="7"/>
                <w:kern w:val="0"/>
                <w:szCs w:val="21"/>
              </w:rPr>
              <w:t>39.05</w:t>
            </w:r>
          </w:p>
        </w:tc>
        <w:tc>
          <w:tcPr>
            <w:tcW w:w="1007" w:type="dxa"/>
            <w:shd w:val="clear" w:color="auto" w:fill="FFFFFF"/>
            <w:tcMar>
              <w:top w:w="0" w:type="dxa"/>
              <w:left w:w="105" w:type="dxa"/>
              <w:bottom w:w="0" w:type="dxa"/>
              <w:right w:w="105" w:type="dxa"/>
            </w:tcMar>
            <w:vAlign w:val="center"/>
          </w:tcPr>
          <w:p>
            <w:pPr>
              <w:widowControl/>
              <w:adjustRightInd w:val="0"/>
              <w:snapToGrid w:val="0"/>
              <w:jc w:val="right"/>
              <w:rPr>
                <w:rFonts w:ascii="宋体" w:hAnsi="宋体" w:cs="仿宋_GB2312"/>
                <w:spacing w:val="7"/>
                <w:kern w:val="0"/>
                <w:szCs w:val="21"/>
              </w:rPr>
            </w:pPr>
            <w:r>
              <w:rPr>
                <w:rFonts w:hint="eastAsia" w:ascii="宋体" w:hAnsi="宋体" w:cs="仿宋_GB2312"/>
                <w:spacing w:val="7"/>
                <w:kern w:val="0"/>
                <w:szCs w:val="21"/>
              </w:rPr>
              <w:t>62.98%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exact"/>
        </w:trPr>
        <w:tc>
          <w:tcPr>
            <w:tcW w:w="950" w:type="dxa"/>
            <w:gridSpan w:val="2"/>
            <w:vMerge w:val="continue"/>
            <w:shd w:val="clear" w:color="auto" w:fill="FFFFFF"/>
            <w:vAlign w:val="center"/>
          </w:tcPr>
          <w:p>
            <w:pPr>
              <w:widowControl/>
              <w:adjustRightInd w:val="0"/>
              <w:snapToGrid w:val="0"/>
              <w:rPr>
                <w:rFonts w:ascii="宋体" w:hAnsi="宋体" w:cs="仿宋_GB2312"/>
                <w:spacing w:val="7"/>
                <w:kern w:val="0"/>
                <w:szCs w:val="21"/>
              </w:rPr>
            </w:pPr>
          </w:p>
        </w:tc>
        <w:tc>
          <w:tcPr>
            <w:tcW w:w="2463" w:type="dxa"/>
            <w:gridSpan w:val="4"/>
            <w:shd w:val="clear" w:color="auto" w:fill="FFFFFF"/>
            <w:tcMar>
              <w:top w:w="0" w:type="dxa"/>
              <w:left w:w="105" w:type="dxa"/>
              <w:bottom w:w="0" w:type="dxa"/>
              <w:right w:w="105" w:type="dxa"/>
            </w:tcMar>
            <w:vAlign w:val="center"/>
          </w:tcPr>
          <w:p>
            <w:pPr>
              <w:widowControl/>
              <w:adjustRightInd w:val="0"/>
              <w:snapToGrid w:val="0"/>
              <w:rPr>
                <w:rFonts w:ascii="宋体" w:hAnsi="宋体" w:cs="仿宋_GB2312"/>
                <w:spacing w:val="7"/>
                <w:kern w:val="0"/>
                <w:szCs w:val="21"/>
              </w:rPr>
            </w:pPr>
            <w:r>
              <w:rPr>
                <w:rFonts w:hint="eastAsia" w:ascii="宋体" w:hAnsi="宋体" w:cs="仿宋_GB2312"/>
                <w:spacing w:val="7"/>
                <w:kern w:val="0"/>
                <w:szCs w:val="21"/>
              </w:rPr>
              <w:t>   上年结转资金</w:t>
            </w:r>
          </w:p>
        </w:tc>
        <w:tc>
          <w:tcPr>
            <w:tcW w:w="1370" w:type="dxa"/>
            <w:shd w:val="clear" w:color="auto" w:fill="FFFFFF"/>
            <w:tcMar>
              <w:top w:w="0" w:type="dxa"/>
              <w:left w:w="105" w:type="dxa"/>
              <w:bottom w:w="0" w:type="dxa"/>
              <w:right w:w="105" w:type="dxa"/>
            </w:tcMar>
            <w:vAlign w:val="center"/>
          </w:tcPr>
          <w:p>
            <w:pPr>
              <w:widowControl/>
              <w:adjustRightInd w:val="0"/>
              <w:snapToGrid w:val="0"/>
              <w:rPr>
                <w:rFonts w:ascii="宋体" w:hAnsi="宋体" w:cs="仿宋_GB2312"/>
                <w:spacing w:val="7"/>
                <w:kern w:val="0"/>
                <w:szCs w:val="21"/>
              </w:rPr>
            </w:pPr>
          </w:p>
        </w:tc>
        <w:tc>
          <w:tcPr>
            <w:tcW w:w="1567" w:type="dxa"/>
            <w:gridSpan w:val="2"/>
            <w:shd w:val="clear" w:color="auto" w:fill="FFFFFF"/>
            <w:tcMar>
              <w:top w:w="0" w:type="dxa"/>
              <w:left w:w="105" w:type="dxa"/>
              <w:bottom w:w="0" w:type="dxa"/>
              <w:right w:w="105" w:type="dxa"/>
            </w:tcMar>
            <w:vAlign w:val="center"/>
          </w:tcPr>
          <w:p>
            <w:pPr>
              <w:widowControl/>
              <w:adjustRightInd w:val="0"/>
              <w:snapToGrid w:val="0"/>
              <w:rPr>
                <w:rFonts w:ascii="宋体" w:hAnsi="宋体" w:cs="仿宋_GB2312"/>
                <w:spacing w:val="7"/>
                <w:kern w:val="0"/>
                <w:szCs w:val="21"/>
              </w:rPr>
            </w:pPr>
          </w:p>
        </w:tc>
        <w:tc>
          <w:tcPr>
            <w:tcW w:w="1608" w:type="dxa"/>
            <w:gridSpan w:val="3"/>
            <w:shd w:val="clear" w:color="auto" w:fill="FFFFFF"/>
            <w:tcMar>
              <w:top w:w="0" w:type="dxa"/>
              <w:left w:w="105" w:type="dxa"/>
              <w:bottom w:w="0" w:type="dxa"/>
              <w:right w:w="105" w:type="dxa"/>
            </w:tcMar>
            <w:vAlign w:val="center"/>
          </w:tcPr>
          <w:p>
            <w:pPr>
              <w:widowControl/>
              <w:adjustRightInd w:val="0"/>
              <w:snapToGrid w:val="0"/>
              <w:rPr>
                <w:rFonts w:ascii="宋体" w:hAnsi="宋体" w:cs="仿宋_GB2312"/>
                <w:spacing w:val="7"/>
                <w:kern w:val="0"/>
                <w:szCs w:val="21"/>
              </w:rPr>
            </w:pPr>
          </w:p>
        </w:tc>
        <w:tc>
          <w:tcPr>
            <w:tcW w:w="1007" w:type="dxa"/>
            <w:shd w:val="clear" w:color="auto" w:fill="FFFFFF"/>
            <w:tcMar>
              <w:top w:w="0" w:type="dxa"/>
              <w:left w:w="105" w:type="dxa"/>
              <w:bottom w:w="0" w:type="dxa"/>
              <w:right w:w="105" w:type="dxa"/>
            </w:tcMar>
            <w:vAlign w:val="center"/>
          </w:tcPr>
          <w:p>
            <w:pPr>
              <w:widowControl/>
              <w:adjustRightInd w:val="0"/>
              <w:snapToGrid w:val="0"/>
              <w:rPr>
                <w:rFonts w:ascii="宋体" w:hAnsi="宋体" w:cs="仿宋_GB2312"/>
                <w:spacing w:val="7"/>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exact"/>
        </w:trPr>
        <w:tc>
          <w:tcPr>
            <w:tcW w:w="950" w:type="dxa"/>
            <w:gridSpan w:val="2"/>
            <w:vMerge w:val="continue"/>
            <w:shd w:val="clear" w:color="auto" w:fill="FFFFFF"/>
            <w:vAlign w:val="center"/>
          </w:tcPr>
          <w:p>
            <w:pPr>
              <w:widowControl/>
              <w:adjustRightInd w:val="0"/>
              <w:snapToGrid w:val="0"/>
              <w:rPr>
                <w:rFonts w:ascii="宋体" w:hAnsi="宋体" w:cs="仿宋_GB2312"/>
                <w:spacing w:val="7"/>
                <w:kern w:val="0"/>
                <w:szCs w:val="21"/>
              </w:rPr>
            </w:pPr>
          </w:p>
        </w:tc>
        <w:tc>
          <w:tcPr>
            <w:tcW w:w="2463" w:type="dxa"/>
            <w:gridSpan w:val="4"/>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其他资金</w:t>
            </w:r>
          </w:p>
        </w:tc>
        <w:tc>
          <w:tcPr>
            <w:tcW w:w="1370" w:type="dxa"/>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p>
        </w:tc>
        <w:tc>
          <w:tcPr>
            <w:tcW w:w="1567" w:type="dxa"/>
            <w:gridSpan w:val="2"/>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p>
        </w:tc>
        <w:tc>
          <w:tcPr>
            <w:tcW w:w="1608" w:type="dxa"/>
            <w:gridSpan w:val="3"/>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p>
        </w:tc>
        <w:tc>
          <w:tcPr>
            <w:tcW w:w="1007" w:type="dxa"/>
            <w:shd w:val="clear" w:color="auto" w:fill="FFFFFF"/>
            <w:tcMar>
              <w:top w:w="0" w:type="dxa"/>
              <w:left w:w="105" w:type="dxa"/>
              <w:bottom w:w="0" w:type="dxa"/>
              <w:right w:w="105" w:type="dxa"/>
            </w:tcMar>
            <w:vAlign w:val="center"/>
          </w:tcPr>
          <w:p>
            <w:pPr>
              <w:widowControl/>
              <w:adjustRightInd w:val="0"/>
              <w:snapToGrid w:val="0"/>
              <w:rPr>
                <w:rFonts w:ascii="宋体" w:hAnsi="宋体" w:cs="仿宋_GB2312"/>
                <w:spacing w:val="7"/>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exact"/>
        </w:trPr>
        <w:tc>
          <w:tcPr>
            <w:tcW w:w="950" w:type="dxa"/>
            <w:gridSpan w:val="2"/>
            <w:vMerge w:val="restart"/>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年度总体目标</w:t>
            </w:r>
          </w:p>
        </w:tc>
        <w:tc>
          <w:tcPr>
            <w:tcW w:w="3833" w:type="dxa"/>
            <w:gridSpan w:val="5"/>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预期目标</w:t>
            </w:r>
          </w:p>
        </w:tc>
        <w:tc>
          <w:tcPr>
            <w:tcW w:w="4182" w:type="dxa"/>
            <w:gridSpan w:val="6"/>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实际完成情况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363" w:hRule="atLeast"/>
        </w:trPr>
        <w:tc>
          <w:tcPr>
            <w:tcW w:w="950" w:type="dxa"/>
            <w:gridSpan w:val="2"/>
            <w:vMerge w:val="continue"/>
            <w:shd w:val="clear" w:color="auto" w:fill="FFFFFF"/>
            <w:vAlign w:val="center"/>
          </w:tcPr>
          <w:p>
            <w:pPr>
              <w:widowControl/>
              <w:adjustRightInd w:val="0"/>
              <w:snapToGrid w:val="0"/>
              <w:rPr>
                <w:rFonts w:ascii="宋体" w:hAnsi="宋体" w:cs="仿宋_GB2312"/>
                <w:spacing w:val="7"/>
                <w:kern w:val="0"/>
                <w:szCs w:val="21"/>
              </w:rPr>
            </w:pPr>
          </w:p>
        </w:tc>
        <w:tc>
          <w:tcPr>
            <w:tcW w:w="3833" w:type="dxa"/>
            <w:gridSpan w:val="5"/>
            <w:shd w:val="clear" w:color="auto" w:fill="FFFFFF"/>
            <w:tcMar>
              <w:top w:w="0" w:type="dxa"/>
              <w:left w:w="105" w:type="dxa"/>
              <w:bottom w:w="0" w:type="dxa"/>
              <w:right w:w="105" w:type="dxa"/>
            </w:tcMar>
            <w:vAlign w:val="center"/>
          </w:tcPr>
          <w:p>
            <w:pPr>
              <w:widowControl/>
              <w:adjustRightInd w:val="0"/>
              <w:snapToGrid w:val="0"/>
              <w:rPr>
                <w:rFonts w:ascii="宋体" w:hAnsi="宋体" w:cs="仿宋_GB2312"/>
                <w:spacing w:val="7"/>
                <w:kern w:val="0"/>
                <w:szCs w:val="21"/>
              </w:rPr>
            </w:pPr>
            <w:r>
              <w:rPr>
                <w:rFonts w:hint="eastAsia" w:ascii="宋体" w:hAnsi="宋体" w:cs="仿宋_GB2312"/>
                <w:spacing w:val="7"/>
                <w:kern w:val="0"/>
                <w:szCs w:val="21"/>
              </w:rPr>
              <w:t>对街道大楼电梯进行更换</w:t>
            </w:r>
          </w:p>
        </w:tc>
        <w:tc>
          <w:tcPr>
            <w:tcW w:w="4182" w:type="dxa"/>
            <w:gridSpan w:val="6"/>
            <w:shd w:val="clear" w:color="auto" w:fill="FFFFFF"/>
            <w:tcMar>
              <w:top w:w="0" w:type="dxa"/>
              <w:left w:w="105" w:type="dxa"/>
              <w:bottom w:w="0" w:type="dxa"/>
              <w:right w:w="105" w:type="dxa"/>
            </w:tcMar>
            <w:vAlign w:val="center"/>
          </w:tcPr>
          <w:p>
            <w:pPr>
              <w:widowControl/>
              <w:adjustRightInd w:val="0"/>
              <w:snapToGrid w:val="0"/>
              <w:rPr>
                <w:rFonts w:ascii="宋体" w:hAnsi="宋体" w:cs="仿宋_GB2312"/>
                <w:spacing w:val="7"/>
                <w:kern w:val="0"/>
                <w:szCs w:val="21"/>
              </w:rPr>
            </w:pPr>
            <w:r>
              <w:rPr>
                <w:rFonts w:hint="eastAsia" w:ascii="宋体" w:hAnsi="宋体" w:cs="仿宋_GB2312"/>
                <w:spacing w:val="7"/>
                <w:kern w:val="0"/>
                <w:szCs w:val="21"/>
              </w:rPr>
              <w:t>完成对街道大楼电梯进行更换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40" w:hRule="atLeast"/>
        </w:trPr>
        <w:tc>
          <w:tcPr>
            <w:tcW w:w="458" w:type="dxa"/>
            <w:vMerge w:val="restart"/>
            <w:shd w:val="clear" w:color="auto" w:fill="FFFFFF"/>
            <w:tcMar>
              <w:top w:w="0" w:type="dxa"/>
              <w:left w:w="105" w:type="dxa"/>
              <w:bottom w:w="0" w:type="dxa"/>
              <w:right w:w="105" w:type="dxa"/>
            </w:tcMar>
            <w:vAlign w:val="center"/>
          </w:tcPr>
          <w:p>
            <w:pPr>
              <w:widowControl/>
              <w:adjustRightInd w:val="0"/>
              <w:snapToGrid w:val="0"/>
              <w:rPr>
                <w:rFonts w:ascii="宋体" w:hAnsi="宋体" w:cs="仿宋_GB2312"/>
                <w:spacing w:val="7"/>
                <w:kern w:val="0"/>
                <w:szCs w:val="21"/>
              </w:rPr>
            </w:pPr>
            <w:r>
              <w:rPr>
                <w:rFonts w:hint="eastAsia" w:ascii="宋体" w:hAnsi="宋体" w:cs="仿宋_GB2312"/>
                <w:spacing w:val="7"/>
                <w:kern w:val="0"/>
                <w:szCs w:val="21"/>
              </w:rPr>
              <w:t>绩效指标</w:t>
            </w:r>
          </w:p>
        </w:tc>
        <w:tc>
          <w:tcPr>
            <w:tcW w:w="492" w:type="dxa"/>
            <w:shd w:val="clear" w:color="auto" w:fill="FFFFFF"/>
            <w:tcMar>
              <w:top w:w="0" w:type="dxa"/>
              <w:left w:w="105" w:type="dxa"/>
              <w:bottom w:w="0" w:type="dxa"/>
              <w:right w:w="105" w:type="dxa"/>
            </w:tcMar>
            <w:vAlign w:val="center"/>
          </w:tcPr>
          <w:p>
            <w:pPr>
              <w:widowControl/>
              <w:adjustRightInd w:val="0"/>
              <w:snapToGrid w:val="0"/>
              <w:rPr>
                <w:rFonts w:ascii="宋体" w:hAnsi="宋体" w:cs="仿宋_GB2312"/>
                <w:spacing w:val="7"/>
                <w:kern w:val="0"/>
                <w:szCs w:val="21"/>
              </w:rPr>
            </w:pPr>
            <w:r>
              <w:rPr>
                <w:rFonts w:hint="eastAsia" w:ascii="宋体" w:hAnsi="宋体" w:cs="仿宋_GB2312"/>
                <w:spacing w:val="7"/>
                <w:kern w:val="0"/>
                <w:szCs w:val="21"/>
              </w:rPr>
              <w:t>一级指标</w:t>
            </w:r>
          </w:p>
        </w:tc>
        <w:tc>
          <w:tcPr>
            <w:tcW w:w="856" w:type="dxa"/>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二级</w:t>
            </w:r>
          </w:p>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指标</w:t>
            </w:r>
          </w:p>
        </w:tc>
        <w:tc>
          <w:tcPr>
            <w:tcW w:w="1418" w:type="dxa"/>
            <w:gridSpan w:val="2"/>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三级</w:t>
            </w:r>
          </w:p>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指标</w:t>
            </w:r>
          </w:p>
        </w:tc>
        <w:tc>
          <w:tcPr>
            <w:tcW w:w="1559" w:type="dxa"/>
            <w:gridSpan w:val="2"/>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年度</w:t>
            </w:r>
          </w:p>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指标值</w:t>
            </w:r>
          </w:p>
        </w:tc>
        <w:tc>
          <w:tcPr>
            <w:tcW w:w="1315" w:type="dxa"/>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实际</w:t>
            </w:r>
          </w:p>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完成值</w:t>
            </w:r>
          </w:p>
        </w:tc>
        <w:tc>
          <w:tcPr>
            <w:tcW w:w="811" w:type="dxa"/>
            <w:gridSpan w:val="2"/>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权重</w:t>
            </w:r>
          </w:p>
        </w:tc>
        <w:tc>
          <w:tcPr>
            <w:tcW w:w="749" w:type="dxa"/>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得分</w:t>
            </w:r>
          </w:p>
        </w:tc>
        <w:tc>
          <w:tcPr>
            <w:tcW w:w="1307" w:type="dxa"/>
            <w:gridSpan w:val="2"/>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偏差原因分析及改进措施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637" w:hRule="exact"/>
        </w:trPr>
        <w:tc>
          <w:tcPr>
            <w:tcW w:w="458" w:type="dxa"/>
            <w:vMerge w:val="continue"/>
            <w:shd w:val="clear" w:color="auto" w:fill="FFFFFF"/>
            <w:vAlign w:val="center"/>
          </w:tcPr>
          <w:p>
            <w:pPr>
              <w:widowControl/>
              <w:adjustRightInd w:val="0"/>
              <w:snapToGrid w:val="0"/>
              <w:rPr>
                <w:rFonts w:ascii="宋体" w:hAnsi="宋体" w:cs="仿宋_GB2312"/>
                <w:spacing w:val="7"/>
                <w:kern w:val="0"/>
                <w:szCs w:val="21"/>
              </w:rPr>
            </w:pPr>
          </w:p>
        </w:tc>
        <w:tc>
          <w:tcPr>
            <w:tcW w:w="492" w:type="dxa"/>
            <w:vMerge w:val="restart"/>
            <w:shd w:val="clear" w:color="auto" w:fill="FFFFFF"/>
            <w:tcMar>
              <w:top w:w="0" w:type="dxa"/>
              <w:left w:w="105" w:type="dxa"/>
              <w:bottom w:w="0" w:type="dxa"/>
              <w:right w:w="105" w:type="dxa"/>
            </w:tcMar>
            <w:vAlign w:val="center"/>
          </w:tcPr>
          <w:p>
            <w:pPr>
              <w:adjustRightInd w:val="0"/>
              <w:snapToGrid w:val="0"/>
              <w:rPr>
                <w:rFonts w:ascii="宋体" w:hAnsi="宋体" w:cs="仿宋_GB2312"/>
                <w:spacing w:val="7"/>
                <w:kern w:val="0"/>
                <w:szCs w:val="21"/>
              </w:rPr>
            </w:pPr>
            <w:r>
              <w:rPr>
                <w:rFonts w:hint="eastAsia" w:ascii="宋体" w:hAnsi="宋体" w:cs="仿宋_GB2312"/>
                <w:spacing w:val="7"/>
                <w:kern w:val="0"/>
                <w:szCs w:val="21"/>
              </w:rPr>
              <w:t>产出 指标</w:t>
            </w:r>
          </w:p>
        </w:tc>
        <w:tc>
          <w:tcPr>
            <w:tcW w:w="856" w:type="dxa"/>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数量</w:t>
            </w:r>
          </w:p>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指标</w:t>
            </w:r>
          </w:p>
        </w:tc>
        <w:tc>
          <w:tcPr>
            <w:tcW w:w="1418" w:type="dxa"/>
            <w:gridSpan w:val="2"/>
            <w:shd w:val="clear" w:color="auto" w:fill="FFFFFF"/>
            <w:tcMar>
              <w:top w:w="0" w:type="dxa"/>
              <w:left w:w="105" w:type="dxa"/>
              <w:bottom w:w="0" w:type="dxa"/>
              <w:right w:w="105" w:type="dxa"/>
            </w:tcMar>
            <w:vAlign w:val="center"/>
          </w:tcPr>
          <w:p>
            <w:pPr>
              <w:jc w:val="center"/>
              <w:rPr>
                <w:rFonts w:ascii="宋体" w:hAnsi="宋体" w:cs="Arial"/>
                <w:szCs w:val="21"/>
              </w:rPr>
            </w:pPr>
            <w:r>
              <w:rPr>
                <w:rFonts w:hint="eastAsia" w:ascii="宋体" w:hAnsi="宋体" w:cs="仿宋_GB2312"/>
                <w:spacing w:val="7"/>
                <w:kern w:val="0"/>
                <w:szCs w:val="21"/>
              </w:rPr>
              <w:t>电梯更换台数</w:t>
            </w:r>
          </w:p>
        </w:tc>
        <w:tc>
          <w:tcPr>
            <w:tcW w:w="1559" w:type="dxa"/>
            <w:gridSpan w:val="2"/>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2</w:t>
            </w:r>
          </w:p>
        </w:tc>
        <w:tc>
          <w:tcPr>
            <w:tcW w:w="1315" w:type="dxa"/>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color w:val="FF0000"/>
                <w:spacing w:val="7"/>
                <w:kern w:val="0"/>
                <w:szCs w:val="21"/>
              </w:rPr>
            </w:pPr>
            <w:r>
              <w:rPr>
                <w:rFonts w:hint="eastAsia" w:ascii="宋体" w:hAnsi="宋体" w:cs="仿宋_GB2312"/>
                <w:color w:val="FF0000"/>
                <w:spacing w:val="7"/>
                <w:kern w:val="0"/>
                <w:szCs w:val="21"/>
              </w:rPr>
              <w:t>1</w:t>
            </w:r>
          </w:p>
        </w:tc>
        <w:tc>
          <w:tcPr>
            <w:tcW w:w="811" w:type="dxa"/>
            <w:gridSpan w:val="2"/>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30</w:t>
            </w:r>
          </w:p>
        </w:tc>
        <w:tc>
          <w:tcPr>
            <w:tcW w:w="749" w:type="dxa"/>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15</w:t>
            </w:r>
          </w:p>
        </w:tc>
        <w:tc>
          <w:tcPr>
            <w:tcW w:w="1307" w:type="dxa"/>
            <w:gridSpan w:val="2"/>
            <w:shd w:val="clear" w:color="auto" w:fill="FFFFFF"/>
            <w:tcMar>
              <w:top w:w="0" w:type="dxa"/>
              <w:left w:w="105" w:type="dxa"/>
              <w:bottom w:w="0" w:type="dxa"/>
              <w:right w:w="105" w:type="dxa"/>
            </w:tcMar>
            <w:vAlign w:val="center"/>
          </w:tcPr>
          <w:p>
            <w:pPr>
              <w:widowControl/>
              <w:adjustRightInd w:val="0"/>
              <w:snapToGrid w:val="0"/>
              <w:rPr>
                <w:rFonts w:ascii="宋体" w:hAnsi="宋体" w:cs="仿宋_GB2312"/>
                <w:spacing w:val="7"/>
                <w:kern w:val="0"/>
                <w:szCs w:val="21"/>
              </w:rPr>
            </w:pPr>
            <w:r>
              <w:rPr>
                <w:rFonts w:hint="eastAsia" w:ascii="宋体" w:hAnsi="宋体" w:cs="仿宋_GB2312"/>
                <w:spacing w:val="7"/>
                <w:kern w:val="0"/>
                <w:szCs w:val="21"/>
              </w:rPr>
              <w:t>因疫情影响电梯无法及时供货，已督促施工方加快进度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438" w:hRule="exact"/>
        </w:trPr>
        <w:tc>
          <w:tcPr>
            <w:tcW w:w="458" w:type="dxa"/>
            <w:vMerge w:val="continue"/>
            <w:shd w:val="clear" w:color="auto" w:fill="FFFFFF"/>
            <w:vAlign w:val="center"/>
          </w:tcPr>
          <w:p>
            <w:pPr>
              <w:widowControl/>
              <w:adjustRightInd w:val="0"/>
              <w:snapToGrid w:val="0"/>
              <w:rPr>
                <w:rFonts w:ascii="宋体" w:hAnsi="宋体" w:cs="仿宋_GB2312"/>
                <w:spacing w:val="7"/>
                <w:kern w:val="0"/>
                <w:szCs w:val="21"/>
              </w:rPr>
            </w:pPr>
          </w:p>
        </w:tc>
        <w:tc>
          <w:tcPr>
            <w:tcW w:w="492" w:type="dxa"/>
            <w:vMerge w:val="continue"/>
            <w:shd w:val="clear" w:color="auto" w:fill="FFFFFF"/>
            <w:tcMar>
              <w:top w:w="0" w:type="dxa"/>
              <w:left w:w="105" w:type="dxa"/>
              <w:bottom w:w="0" w:type="dxa"/>
              <w:right w:w="105" w:type="dxa"/>
            </w:tcMar>
            <w:vAlign w:val="center"/>
          </w:tcPr>
          <w:p>
            <w:pPr>
              <w:adjustRightInd w:val="0"/>
              <w:snapToGrid w:val="0"/>
              <w:rPr>
                <w:rFonts w:ascii="宋体" w:hAnsi="宋体" w:cs="仿宋_GB2312"/>
                <w:spacing w:val="7"/>
                <w:kern w:val="0"/>
                <w:szCs w:val="21"/>
              </w:rPr>
            </w:pPr>
          </w:p>
        </w:tc>
        <w:tc>
          <w:tcPr>
            <w:tcW w:w="856" w:type="dxa"/>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ascii="宋体" w:hAnsi="宋体" w:cs="仿宋_GB2312"/>
                <w:spacing w:val="7"/>
                <w:kern w:val="0"/>
                <w:szCs w:val="21"/>
              </w:rPr>
              <w:t>及时性指标</w:t>
            </w:r>
          </w:p>
        </w:tc>
        <w:tc>
          <w:tcPr>
            <w:tcW w:w="1418" w:type="dxa"/>
            <w:gridSpan w:val="2"/>
            <w:shd w:val="clear" w:color="auto" w:fill="FFFFFF"/>
            <w:tcMar>
              <w:top w:w="0" w:type="dxa"/>
              <w:left w:w="105" w:type="dxa"/>
              <w:bottom w:w="0" w:type="dxa"/>
              <w:right w:w="105" w:type="dxa"/>
            </w:tcMar>
            <w:vAlign w:val="center"/>
          </w:tcPr>
          <w:p>
            <w:pPr>
              <w:jc w:val="center"/>
              <w:rPr>
                <w:rFonts w:ascii="宋体" w:hAnsi="宋体" w:cs="Arial"/>
                <w:szCs w:val="21"/>
              </w:rPr>
            </w:pPr>
            <w:r>
              <w:rPr>
                <w:rFonts w:hint="eastAsia" w:ascii="宋体" w:hAnsi="宋体" w:cs="Arial"/>
                <w:szCs w:val="21"/>
              </w:rPr>
              <w:t>完工及时性</w:t>
            </w:r>
          </w:p>
        </w:tc>
        <w:tc>
          <w:tcPr>
            <w:tcW w:w="1559" w:type="dxa"/>
            <w:gridSpan w:val="2"/>
            <w:shd w:val="clear" w:color="auto" w:fill="FFFFFF"/>
            <w:tcMar>
              <w:top w:w="0" w:type="dxa"/>
              <w:left w:w="105" w:type="dxa"/>
              <w:bottom w:w="0" w:type="dxa"/>
              <w:right w:w="105" w:type="dxa"/>
            </w:tcMar>
            <w:vAlign w:val="center"/>
          </w:tcPr>
          <w:p>
            <w:pPr>
              <w:widowControl/>
              <w:adjustRightInd w:val="0"/>
              <w:snapToGrid w:val="0"/>
              <w:jc w:val="center"/>
              <w:rPr>
                <w:rFonts w:ascii="宋体" w:hAnsi="宋体" w:cs="Arial"/>
                <w:szCs w:val="21"/>
              </w:rPr>
            </w:pPr>
            <w:r>
              <w:rPr>
                <w:rFonts w:ascii="宋体" w:hAnsi="宋体" w:cs="Arial"/>
                <w:szCs w:val="21"/>
              </w:rPr>
              <w:t>按工期完工</w:t>
            </w:r>
          </w:p>
        </w:tc>
        <w:tc>
          <w:tcPr>
            <w:tcW w:w="1315" w:type="dxa"/>
            <w:shd w:val="clear" w:color="auto" w:fill="FFFFFF"/>
            <w:tcMar>
              <w:top w:w="0" w:type="dxa"/>
              <w:left w:w="105" w:type="dxa"/>
              <w:bottom w:w="0" w:type="dxa"/>
              <w:right w:w="105" w:type="dxa"/>
            </w:tcMar>
            <w:vAlign w:val="center"/>
          </w:tcPr>
          <w:p>
            <w:pPr>
              <w:widowControl/>
              <w:adjustRightInd w:val="0"/>
              <w:snapToGrid w:val="0"/>
              <w:jc w:val="center"/>
              <w:rPr>
                <w:rFonts w:ascii="宋体" w:hAnsi="宋体" w:cs="Arial"/>
                <w:szCs w:val="21"/>
              </w:rPr>
            </w:pPr>
            <w:r>
              <w:rPr>
                <w:rFonts w:ascii="宋体" w:hAnsi="宋体" w:cs="Arial"/>
                <w:szCs w:val="21"/>
              </w:rPr>
              <w:t>未完工</w:t>
            </w:r>
          </w:p>
        </w:tc>
        <w:tc>
          <w:tcPr>
            <w:tcW w:w="811" w:type="dxa"/>
            <w:gridSpan w:val="2"/>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30</w:t>
            </w:r>
          </w:p>
        </w:tc>
        <w:tc>
          <w:tcPr>
            <w:tcW w:w="749" w:type="dxa"/>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15</w:t>
            </w:r>
          </w:p>
        </w:tc>
        <w:tc>
          <w:tcPr>
            <w:tcW w:w="1307" w:type="dxa"/>
            <w:gridSpan w:val="2"/>
            <w:shd w:val="clear" w:color="auto" w:fill="FFFFFF"/>
            <w:tcMar>
              <w:top w:w="0" w:type="dxa"/>
              <w:left w:w="105" w:type="dxa"/>
              <w:bottom w:w="0" w:type="dxa"/>
              <w:right w:w="105" w:type="dxa"/>
            </w:tcMar>
            <w:vAlign w:val="center"/>
          </w:tcPr>
          <w:p>
            <w:pPr>
              <w:widowControl/>
              <w:adjustRightInd w:val="0"/>
              <w:snapToGrid w:val="0"/>
              <w:rPr>
                <w:rFonts w:ascii="宋体" w:hAnsi="宋体" w:cs="仿宋_GB2312"/>
                <w:spacing w:val="7"/>
                <w:kern w:val="0"/>
                <w:szCs w:val="21"/>
              </w:rPr>
            </w:pPr>
            <w:r>
              <w:rPr>
                <w:rFonts w:hint="eastAsia" w:ascii="宋体" w:hAnsi="宋体" w:cs="仿宋_GB2312"/>
                <w:spacing w:val="7"/>
                <w:kern w:val="0"/>
                <w:szCs w:val="21"/>
              </w:rPr>
              <w:t>疫情影响电梯配件无法按时提供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438" w:hRule="exact"/>
        </w:trPr>
        <w:tc>
          <w:tcPr>
            <w:tcW w:w="458" w:type="dxa"/>
            <w:vMerge w:val="continue"/>
            <w:shd w:val="clear" w:color="auto" w:fill="FFFFFF"/>
            <w:vAlign w:val="center"/>
          </w:tcPr>
          <w:p>
            <w:pPr>
              <w:widowControl/>
              <w:adjustRightInd w:val="0"/>
              <w:snapToGrid w:val="0"/>
              <w:rPr>
                <w:rFonts w:ascii="宋体" w:hAnsi="宋体" w:cs="仿宋_GB2312"/>
                <w:spacing w:val="7"/>
                <w:kern w:val="0"/>
                <w:szCs w:val="21"/>
              </w:rPr>
            </w:pPr>
          </w:p>
        </w:tc>
        <w:tc>
          <w:tcPr>
            <w:tcW w:w="492" w:type="dxa"/>
            <w:vMerge w:val="continue"/>
            <w:shd w:val="clear" w:color="auto" w:fill="FFFFFF"/>
            <w:tcMar>
              <w:top w:w="0" w:type="dxa"/>
              <w:left w:w="105" w:type="dxa"/>
              <w:bottom w:w="0" w:type="dxa"/>
              <w:right w:w="105" w:type="dxa"/>
            </w:tcMar>
            <w:vAlign w:val="center"/>
          </w:tcPr>
          <w:p>
            <w:pPr>
              <w:adjustRightInd w:val="0"/>
              <w:snapToGrid w:val="0"/>
              <w:rPr>
                <w:rFonts w:ascii="宋体" w:hAnsi="宋体" w:cs="仿宋_GB2312"/>
                <w:spacing w:val="7"/>
                <w:kern w:val="0"/>
                <w:szCs w:val="21"/>
              </w:rPr>
            </w:pPr>
          </w:p>
        </w:tc>
        <w:tc>
          <w:tcPr>
            <w:tcW w:w="856" w:type="dxa"/>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ascii="宋体" w:hAnsi="宋体" w:cs="仿宋_GB2312"/>
                <w:spacing w:val="7"/>
                <w:kern w:val="0"/>
                <w:szCs w:val="21"/>
              </w:rPr>
              <w:t>质量指标</w:t>
            </w:r>
          </w:p>
        </w:tc>
        <w:tc>
          <w:tcPr>
            <w:tcW w:w="1418" w:type="dxa"/>
            <w:gridSpan w:val="2"/>
            <w:shd w:val="clear" w:color="auto" w:fill="FFFFFF"/>
            <w:tcMar>
              <w:top w:w="0" w:type="dxa"/>
              <w:left w:w="105" w:type="dxa"/>
              <w:bottom w:w="0" w:type="dxa"/>
              <w:right w:w="105" w:type="dxa"/>
            </w:tcMar>
            <w:vAlign w:val="center"/>
          </w:tcPr>
          <w:p>
            <w:pPr>
              <w:jc w:val="center"/>
              <w:rPr>
                <w:rFonts w:ascii="宋体" w:hAnsi="宋体" w:cs="Arial"/>
                <w:szCs w:val="21"/>
              </w:rPr>
            </w:pPr>
            <w:r>
              <w:rPr>
                <w:rFonts w:hint="eastAsia" w:ascii="宋体" w:hAnsi="宋体" w:cs="Arial"/>
                <w:szCs w:val="21"/>
              </w:rPr>
              <w:t>采购电梯质量</w:t>
            </w:r>
          </w:p>
        </w:tc>
        <w:tc>
          <w:tcPr>
            <w:tcW w:w="1559" w:type="dxa"/>
            <w:gridSpan w:val="2"/>
            <w:shd w:val="clear" w:color="auto" w:fill="FFFFFF"/>
            <w:tcMar>
              <w:top w:w="0" w:type="dxa"/>
              <w:left w:w="105" w:type="dxa"/>
              <w:bottom w:w="0" w:type="dxa"/>
              <w:right w:w="105" w:type="dxa"/>
            </w:tcMar>
            <w:vAlign w:val="center"/>
          </w:tcPr>
          <w:p>
            <w:pPr>
              <w:widowControl/>
              <w:adjustRightInd w:val="0"/>
              <w:snapToGrid w:val="0"/>
              <w:jc w:val="center"/>
              <w:rPr>
                <w:rFonts w:ascii="宋体" w:hAnsi="宋体" w:cs="Arial"/>
                <w:szCs w:val="21"/>
              </w:rPr>
            </w:pPr>
            <w:r>
              <w:rPr>
                <w:rFonts w:ascii="宋体" w:hAnsi="宋体" w:cs="Arial"/>
                <w:szCs w:val="21"/>
              </w:rPr>
              <w:t>无质量问题</w:t>
            </w:r>
          </w:p>
        </w:tc>
        <w:tc>
          <w:tcPr>
            <w:tcW w:w="1315" w:type="dxa"/>
            <w:shd w:val="clear" w:color="auto" w:fill="FFFFFF"/>
            <w:tcMar>
              <w:top w:w="0" w:type="dxa"/>
              <w:left w:w="105" w:type="dxa"/>
              <w:bottom w:w="0" w:type="dxa"/>
              <w:right w:w="105" w:type="dxa"/>
            </w:tcMar>
            <w:vAlign w:val="center"/>
          </w:tcPr>
          <w:p>
            <w:pPr>
              <w:widowControl/>
              <w:adjustRightInd w:val="0"/>
              <w:snapToGrid w:val="0"/>
              <w:jc w:val="center"/>
              <w:rPr>
                <w:rFonts w:ascii="宋体" w:hAnsi="宋体" w:cs="Arial"/>
                <w:szCs w:val="21"/>
              </w:rPr>
            </w:pPr>
            <w:r>
              <w:rPr>
                <w:rFonts w:hint="eastAsia" w:ascii="宋体" w:hAnsi="宋体" w:cs="仿宋_GB2312"/>
                <w:spacing w:val="7"/>
                <w:kern w:val="0"/>
                <w:szCs w:val="21"/>
              </w:rPr>
              <w:t>已更换的一台电梯目前无质量问题</w:t>
            </w:r>
          </w:p>
        </w:tc>
        <w:tc>
          <w:tcPr>
            <w:tcW w:w="811" w:type="dxa"/>
            <w:gridSpan w:val="2"/>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20</w:t>
            </w:r>
          </w:p>
        </w:tc>
        <w:tc>
          <w:tcPr>
            <w:tcW w:w="749" w:type="dxa"/>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20</w:t>
            </w:r>
          </w:p>
        </w:tc>
        <w:tc>
          <w:tcPr>
            <w:tcW w:w="1307" w:type="dxa"/>
            <w:gridSpan w:val="2"/>
            <w:shd w:val="clear" w:color="auto" w:fill="FFFFFF"/>
            <w:tcMar>
              <w:top w:w="0" w:type="dxa"/>
              <w:left w:w="105" w:type="dxa"/>
              <w:bottom w:w="0" w:type="dxa"/>
              <w:right w:w="105" w:type="dxa"/>
            </w:tcMar>
            <w:vAlign w:val="center"/>
          </w:tcPr>
          <w:p>
            <w:pPr>
              <w:widowControl/>
              <w:adjustRightInd w:val="0"/>
              <w:snapToGrid w:val="0"/>
              <w:rPr>
                <w:rFonts w:ascii="宋体" w:hAnsi="宋体" w:cs="仿宋_GB2312"/>
                <w:spacing w:val="7"/>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724" w:hRule="exact"/>
        </w:trPr>
        <w:tc>
          <w:tcPr>
            <w:tcW w:w="458" w:type="dxa"/>
            <w:vMerge w:val="continue"/>
            <w:shd w:val="clear" w:color="auto" w:fill="FFFFFF"/>
            <w:vAlign w:val="center"/>
          </w:tcPr>
          <w:p>
            <w:pPr>
              <w:widowControl/>
              <w:adjustRightInd w:val="0"/>
              <w:snapToGrid w:val="0"/>
              <w:rPr>
                <w:rFonts w:ascii="宋体" w:hAnsi="宋体" w:cs="仿宋_GB2312"/>
                <w:spacing w:val="7"/>
                <w:kern w:val="0"/>
                <w:szCs w:val="21"/>
              </w:rPr>
            </w:pPr>
          </w:p>
        </w:tc>
        <w:tc>
          <w:tcPr>
            <w:tcW w:w="492" w:type="dxa"/>
            <w:shd w:val="clear" w:color="auto" w:fill="FFFFFF"/>
            <w:vAlign w:val="center"/>
          </w:tcPr>
          <w:p>
            <w:pPr>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效益指标</w:t>
            </w:r>
          </w:p>
        </w:tc>
        <w:tc>
          <w:tcPr>
            <w:tcW w:w="856" w:type="dxa"/>
            <w:shd w:val="clear" w:color="auto" w:fill="FFFFFF"/>
            <w:tcMar>
              <w:top w:w="0" w:type="dxa"/>
              <w:left w:w="105" w:type="dxa"/>
              <w:bottom w:w="0" w:type="dxa"/>
              <w:right w:w="105" w:type="dxa"/>
            </w:tcMar>
            <w:vAlign w:val="center"/>
          </w:tcPr>
          <w:p>
            <w:pPr>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社会效益指标</w:t>
            </w:r>
          </w:p>
        </w:tc>
        <w:tc>
          <w:tcPr>
            <w:tcW w:w="1418" w:type="dxa"/>
            <w:gridSpan w:val="2"/>
            <w:shd w:val="clear" w:color="auto" w:fill="FFFFFF"/>
            <w:tcMar>
              <w:top w:w="0" w:type="dxa"/>
              <w:left w:w="105" w:type="dxa"/>
              <w:bottom w:w="0" w:type="dxa"/>
              <w:right w:w="105" w:type="dxa"/>
            </w:tcMar>
            <w:vAlign w:val="center"/>
          </w:tcPr>
          <w:p>
            <w:pPr>
              <w:widowControl/>
              <w:adjustRightInd w:val="0"/>
              <w:snapToGrid w:val="0"/>
              <w:rPr>
                <w:rFonts w:ascii="宋体" w:hAnsi="宋体" w:cs="仿宋_GB2312"/>
                <w:spacing w:val="7"/>
                <w:kern w:val="0"/>
                <w:szCs w:val="21"/>
              </w:rPr>
            </w:pPr>
            <w:r>
              <w:rPr>
                <w:rFonts w:ascii="宋体" w:hAnsi="宋体" w:cs="仿宋_GB2312"/>
                <w:spacing w:val="7"/>
                <w:kern w:val="0"/>
                <w:szCs w:val="21"/>
              </w:rPr>
              <w:t>保障大楼电梯使用安全</w:t>
            </w:r>
          </w:p>
        </w:tc>
        <w:tc>
          <w:tcPr>
            <w:tcW w:w="1559" w:type="dxa"/>
            <w:gridSpan w:val="2"/>
            <w:shd w:val="clear" w:color="auto" w:fill="FFFFFF"/>
            <w:tcMar>
              <w:top w:w="0" w:type="dxa"/>
              <w:left w:w="105" w:type="dxa"/>
              <w:bottom w:w="0" w:type="dxa"/>
              <w:right w:w="105" w:type="dxa"/>
            </w:tcMar>
            <w:vAlign w:val="center"/>
          </w:tcPr>
          <w:p>
            <w:pPr>
              <w:widowControl/>
              <w:adjustRightInd w:val="0"/>
              <w:snapToGrid w:val="0"/>
              <w:rPr>
                <w:rFonts w:ascii="宋体" w:hAnsi="宋体" w:cs="仿宋_GB2312"/>
                <w:spacing w:val="7"/>
                <w:kern w:val="0"/>
                <w:szCs w:val="21"/>
              </w:rPr>
            </w:pPr>
            <w:r>
              <w:rPr>
                <w:rFonts w:ascii="宋体" w:hAnsi="宋体" w:cs="仿宋_GB2312"/>
                <w:spacing w:val="7"/>
                <w:kern w:val="0"/>
                <w:szCs w:val="21"/>
              </w:rPr>
              <w:t>更换后电梯正常运行</w:t>
            </w:r>
          </w:p>
        </w:tc>
        <w:tc>
          <w:tcPr>
            <w:tcW w:w="1315" w:type="dxa"/>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已更换的一台电梯运行正常</w:t>
            </w:r>
          </w:p>
        </w:tc>
        <w:tc>
          <w:tcPr>
            <w:tcW w:w="811" w:type="dxa"/>
            <w:gridSpan w:val="2"/>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20</w:t>
            </w:r>
          </w:p>
        </w:tc>
        <w:tc>
          <w:tcPr>
            <w:tcW w:w="749" w:type="dxa"/>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20</w:t>
            </w:r>
          </w:p>
        </w:tc>
        <w:tc>
          <w:tcPr>
            <w:tcW w:w="1307" w:type="dxa"/>
            <w:gridSpan w:val="2"/>
            <w:shd w:val="clear" w:color="auto" w:fill="FFFFFF"/>
            <w:tcMar>
              <w:top w:w="0" w:type="dxa"/>
              <w:left w:w="105" w:type="dxa"/>
              <w:bottom w:w="0" w:type="dxa"/>
              <w:right w:w="105" w:type="dxa"/>
            </w:tcMar>
            <w:vAlign w:val="center"/>
          </w:tcPr>
          <w:p>
            <w:pPr>
              <w:widowControl/>
              <w:adjustRightInd w:val="0"/>
              <w:snapToGrid w:val="0"/>
              <w:rPr>
                <w:rFonts w:ascii="宋体" w:hAnsi="宋体" w:cs="仿宋_GB2312"/>
                <w:spacing w:val="7"/>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65" w:hRule="atLeast"/>
        </w:trPr>
        <w:tc>
          <w:tcPr>
            <w:tcW w:w="6098" w:type="dxa"/>
            <w:gridSpan w:val="8"/>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总分</w:t>
            </w:r>
          </w:p>
        </w:tc>
        <w:tc>
          <w:tcPr>
            <w:tcW w:w="811" w:type="dxa"/>
            <w:gridSpan w:val="2"/>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100</w:t>
            </w:r>
          </w:p>
        </w:tc>
        <w:tc>
          <w:tcPr>
            <w:tcW w:w="749" w:type="dxa"/>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70</w:t>
            </w:r>
          </w:p>
        </w:tc>
        <w:tc>
          <w:tcPr>
            <w:tcW w:w="1307" w:type="dxa"/>
            <w:gridSpan w:val="2"/>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428" w:hRule="atLeast"/>
        </w:trPr>
        <w:tc>
          <w:tcPr>
            <w:tcW w:w="1835" w:type="dxa"/>
            <w:gridSpan w:val="4"/>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自评结论</w:t>
            </w:r>
          </w:p>
        </w:tc>
        <w:tc>
          <w:tcPr>
            <w:tcW w:w="4263" w:type="dxa"/>
            <w:gridSpan w:val="4"/>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color w:val="000000"/>
                <w:kern w:val="0"/>
                <w:szCs w:val="21"/>
              </w:rPr>
              <w:t>优□      良□      中</w:t>
            </w:r>
            <w:r>
              <w:rPr>
                <w:rFonts w:hint="eastAsia" w:ascii="宋体" w:hAnsi="宋体" w:cs="仿宋_GB2312"/>
                <w:color w:val="000000"/>
                <w:kern w:val="0"/>
                <w:szCs w:val="21"/>
              </w:rPr>
              <w:sym w:font="Wingdings 2" w:char="F052"/>
            </w:r>
            <w:r>
              <w:rPr>
                <w:rFonts w:hint="eastAsia" w:ascii="宋体" w:hAnsi="宋体" w:cs="仿宋_GB2312"/>
                <w:color w:val="000000"/>
                <w:kern w:val="0"/>
                <w:szCs w:val="21"/>
              </w:rPr>
              <w:t xml:space="preserve">    差□</w:t>
            </w:r>
          </w:p>
        </w:tc>
        <w:tc>
          <w:tcPr>
            <w:tcW w:w="2867" w:type="dxa"/>
            <w:gridSpan w:val="5"/>
            <w:shd w:val="clear" w:color="auto" w:fill="FFFFFF"/>
            <w:tcMar>
              <w:top w:w="0" w:type="dxa"/>
              <w:left w:w="105" w:type="dxa"/>
              <w:bottom w:w="0" w:type="dxa"/>
              <w:right w:w="105" w:type="dxa"/>
            </w:tcMar>
            <w:vAlign w:val="center"/>
          </w:tcPr>
          <w:p>
            <w:pPr>
              <w:widowControl/>
              <w:adjustRightInd w:val="0"/>
              <w:snapToGrid w:val="0"/>
              <w:rPr>
                <w:rFonts w:ascii="宋体" w:hAnsi="宋体" w:cs="仿宋_GB2312"/>
                <w:spacing w:val="7"/>
                <w:kern w:val="0"/>
                <w:szCs w:val="21"/>
              </w:rPr>
            </w:pPr>
            <w:r>
              <w:rPr>
                <w:rFonts w:hint="eastAsia" w:ascii="宋体" w:hAnsi="宋体" w:cs="仿宋_GB2312"/>
                <w:color w:val="000000"/>
                <w:kern w:val="0"/>
                <w:szCs w:val="21"/>
              </w:rPr>
              <w:t>总分高于90分（含）的结论为“优”，90～80分（含）为“良”，80～60分（含）为“中”，低于60分为“差”。</w:t>
            </w:r>
          </w:p>
        </w:tc>
      </w:tr>
    </w:tbl>
    <w:p>
      <w:pPr>
        <w:pStyle w:val="2"/>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改一拆工作经费绩效自评综述：根据年初设定的绩效目标，项目自评得分100分，自评结论为“优”。项目全年预算数为90.66万元，执行数为90.66万元，完成预算的100%。项目绩效目标完成情况：一是违法建筑拆除面积达到3万平方米；二是创建台州市“无违建街道”，通过复评；三是扩大城市发展利用空间，优化经社会发展环境。下一步改进措施：一是加强拆违工作力度；二是完善城市发展规划。</w:t>
      </w:r>
    </w:p>
    <w:tbl>
      <w:tblPr>
        <w:tblStyle w:val="6"/>
        <w:tblW w:w="896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458"/>
        <w:gridCol w:w="492"/>
        <w:gridCol w:w="856"/>
        <w:gridCol w:w="29"/>
        <w:gridCol w:w="1389"/>
        <w:gridCol w:w="189"/>
        <w:gridCol w:w="1461"/>
        <w:gridCol w:w="1224"/>
        <w:gridCol w:w="252"/>
        <w:gridCol w:w="543"/>
        <w:gridCol w:w="765"/>
        <w:gridCol w:w="300"/>
        <w:gridCol w:w="10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07" w:hRule="atLeast"/>
        </w:trPr>
        <w:tc>
          <w:tcPr>
            <w:tcW w:w="950" w:type="dxa"/>
            <w:gridSpan w:val="2"/>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kern w:val="0"/>
                <w:szCs w:val="21"/>
              </w:rPr>
            </w:pPr>
            <w:r>
              <w:rPr>
                <w:rFonts w:hint="eastAsia" w:ascii="宋体" w:hAnsi="宋体" w:cs="仿宋_GB2312"/>
                <w:kern w:val="0"/>
                <w:szCs w:val="21"/>
              </w:rPr>
              <w:t>项目</w:t>
            </w:r>
          </w:p>
          <w:p>
            <w:pPr>
              <w:widowControl/>
              <w:adjustRightInd w:val="0"/>
              <w:snapToGrid w:val="0"/>
              <w:jc w:val="center"/>
              <w:rPr>
                <w:rFonts w:ascii="宋体" w:hAnsi="宋体" w:cs="仿宋_GB2312"/>
                <w:kern w:val="0"/>
                <w:szCs w:val="21"/>
              </w:rPr>
            </w:pPr>
            <w:r>
              <w:rPr>
                <w:rFonts w:hint="eastAsia" w:ascii="宋体" w:hAnsi="宋体" w:cs="仿宋_GB2312"/>
                <w:kern w:val="0"/>
                <w:szCs w:val="21"/>
              </w:rPr>
              <w:t>名称</w:t>
            </w:r>
          </w:p>
        </w:tc>
        <w:tc>
          <w:tcPr>
            <w:tcW w:w="8015" w:type="dxa"/>
            <w:gridSpan w:val="11"/>
            <w:shd w:val="clear" w:color="auto" w:fill="FFFFFF"/>
            <w:tcMar>
              <w:top w:w="0" w:type="dxa"/>
              <w:left w:w="105" w:type="dxa"/>
              <w:bottom w:w="0" w:type="dxa"/>
              <w:right w:w="105" w:type="dxa"/>
            </w:tcMar>
            <w:vAlign w:val="center"/>
          </w:tcPr>
          <w:p>
            <w:pPr>
              <w:widowControl/>
              <w:adjustRightInd w:val="0"/>
              <w:snapToGrid w:val="0"/>
              <w:jc w:val="left"/>
              <w:rPr>
                <w:rFonts w:ascii="宋体" w:hAnsi="宋体" w:cs="仿宋_GB2312"/>
                <w:spacing w:val="7"/>
                <w:kern w:val="0"/>
                <w:szCs w:val="21"/>
              </w:rPr>
            </w:pPr>
            <w:r>
              <w:rPr>
                <w:rFonts w:hint="eastAsia" w:ascii="宋体" w:hAnsi="宋体" w:cs="仿宋_GB2312"/>
                <w:spacing w:val="7"/>
                <w:kern w:val="0"/>
                <w:szCs w:val="21"/>
              </w:rPr>
              <w:t>三改一拆工作经费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72" w:hRule="atLeast"/>
        </w:trPr>
        <w:tc>
          <w:tcPr>
            <w:tcW w:w="950" w:type="dxa"/>
            <w:gridSpan w:val="2"/>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主管</w:t>
            </w:r>
          </w:p>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部门</w:t>
            </w:r>
          </w:p>
        </w:tc>
        <w:tc>
          <w:tcPr>
            <w:tcW w:w="3924" w:type="dxa"/>
            <w:gridSpan w:val="5"/>
            <w:shd w:val="clear" w:color="auto" w:fill="FFFFFF"/>
            <w:tcMar>
              <w:top w:w="0" w:type="dxa"/>
              <w:left w:w="105" w:type="dxa"/>
              <w:bottom w:w="0" w:type="dxa"/>
              <w:right w:w="105" w:type="dxa"/>
            </w:tcMar>
            <w:vAlign w:val="center"/>
          </w:tcPr>
          <w:p>
            <w:pPr>
              <w:widowControl/>
              <w:adjustRightInd w:val="0"/>
              <w:snapToGrid w:val="0"/>
              <w:rPr>
                <w:rFonts w:ascii="宋体" w:hAnsi="宋体" w:cs="仿宋_GB2312"/>
                <w:spacing w:val="7"/>
                <w:kern w:val="0"/>
                <w:szCs w:val="21"/>
              </w:rPr>
            </w:pPr>
            <w:r>
              <w:rPr>
                <w:rFonts w:ascii="宋体" w:hAnsi="宋体" w:cs="仿宋_GB2312"/>
                <w:spacing w:val="7"/>
                <w:kern w:val="0"/>
                <w:szCs w:val="21"/>
              </w:rPr>
              <w:t>温岭市城西街道办事处</w:t>
            </w:r>
          </w:p>
        </w:tc>
        <w:tc>
          <w:tcPr>
            <w:tcW w:w="1476" w:type="dxa"/>
            <w:gridSpan w:val="2"/>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实施单位</w:t>
            </w:r>
          </w:p>
        </w:tc>
        <w:tc>
          <w:tcPr>
            <w:tcW w:w="2615" w:type="dxa"/>
            <w:gridSpan w:val="4"/>
            <w:shd w:val="clear" w:color="auto" w:fill="FFFFFF"/>
            <w:tcMar>
              <w:top w:w="0" w:type="dxa"/>
              <w:left w:w="105" w:type="dxa"/>
              <w:bottom w:w="0" w:type="dxa"/>
              <w:right w:w="105" w:type="dxa"/>
            </w:tcMar>
            <w:vAlign w:val="center"/>
          </w:tcPr>
          <w:p>
            <w:pPr>
              <w:widowControl/>
              <w:adjustRightInd w:val="0"/>
              <w:snapToGrid w:val="0"/>
              <w:rPr>
                <w:rFonts w:ascii="宋体" w:hAnsi="宋体" w:cs="仿宋_GB2312"/>
                <w:spacing w:val="7"/>
                <w:kern w:val="0"/>
                <w:szCs w:val="21"/>
              </w:rPr>
            </w:pPr>
            <w:r>
              <w:rPr>
                <w:rFonts w:ascii="宋体" w:hAnsi="宋体" w:cs="仿宋_GB2312"/>
                <w:spacing w:val="7"/>
                <w:kern w:val="0"/>
                <w:szCs w:val="21"/>
              </w:rPr>
              <w:t>温岭市城西街道办事处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exact"/>
        </w:trPr>
        <w:tc>
          <w:tcPr>
            <w:tcW w:w="950" w:type="dxa"/>
            <w:gridSpan w:val="2"/>
            <w:vMerge w:val="restart"/>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项目</w:t>
            </w:r>
          </w:p>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资金(万元)</w:t>
            </w:r>
          </w:p>
        </w:tc>
        <w:tc>
          <w:tcPr>
            <w:tcW w:w="2463" w:type="dxa"/>
            <w:gridSpan w:val="4"/>
            <w:shd w:val="clear" w:color="auto" w:fill="FFFFFF"/>
            <w:tcMar>
              <w:top w:w="0" w:type="dxa"/>
              <w:left w:w="105" w:type="dxa"/>
              <w:bottom w:w="0" w:type="dxa"/>
              <w:right w:w="105" w:type="dxa"/>
            </w:tcMar>
            <w:vAlign w:val="center"/>
          </w:tcPr>
          <w:p>
            <w:pPr>
              <w:widowControl/>
              <w:adjustRightInd w:val="0"/>
              <w:snapToGrid w:val="0"/>
              <w:rPr>
                <w:rFonts w:ascii="宋体" w:hAnsi="宋体" w:cs="仿宋_GB2312"/>
                <w:spacing w:val="7"/>
                <w:kern w:val="0"/>
                <w:szCs w:val="21"/>
              </w:rPr>
            </w:pPr>
          </w:p>
        </w:tc>
        <w:tc>
          <w:tcPr>
            <w:tcW w:w="1461" w:type="dxa"/>
            <w:shd w:val="clear" w:color="auto" w:fill="FFFFFF"/>
            <w:tcMar>
              <w:top w:w="0" w:type="dxa"/>
              <w:left w:w="105" w:type="dxa"/>
              <w:bottom w:w="0" w:type="dxa"/>
              <w:right w:w="105" w:type="dxa"/>
            </w:tcMar>
            <w:vAlign w:val="center"/>
          </w:tcPr>
          <w:p>
            <w:pPr>
              <w:widowControl/>
              <w:adjustRightInd w:val="0"/>
              <w:snapToGrid w:val="0"/>
              <w:rPr>
                <w:rFonts w:ascii="宋体" w:hAnsi="宋体" w:cs="仿宋_GB2312"/>
                <w:spacing w:val="7"/>
                <w:kern w:val="0"/>
                <w:szCs w:val="21"/>
              </w:rPr>
            </w:pPr>
            <w:r>
              <w:rPr>
                <w:rFonts w:hint="eastAsia" w:ascii="宋体" w:hAnsi="宋体" w:cs="仿宋_GB2312"/>
                <w:spacing w:val="7"/>
                <w:kern w:val="0"/>
                <w:szCs w:val="21"/>
              </w:rPr>
              <w:t>年初预算数</w:t>
            </w:r>
          </w:p>
        </w:tc>
        <w:tc>
          <w:tcPr>
            <w:tcW w:w="1476" w:type="dxa"/>
            <w:gridSpan w:val="2"/>
            <w:shd w:val="clear" w:color="auto" w:fill="FFFFFF"/>
            <w:tcMar>
              <w:top w:w="0" w:type="dxa"/>
              <w:left w:w="105" w:type="dxa"/>
              <w:bottom w:w="0" w:type="dxa"/>
              <w:right w:w="105" w:type="dxa"/>
            </w:tcMar>
            <w:vAlign w:val="center"/>
          </w:tcPr>
          <w:p>
            <w:pPr>
              <w:widowControl/>
              <w:adjustRightInd w:val="0"/>
              <w:snapToGrid w:val="0"/>
              <w:rPr>
                <w:rFonts w:ascii="宋体" w:hAnsi="宋体" w:cs="仿宋_GB2312"/>
                <w:spacing w:val="7"/>
                <w:kern w:val="0"/>
                <w:szCs w:val="21"/>
              </w:rPr>
            </w:pPr>
            <w:r>
              <w:rPr>
                <w:rFonts w:hint="eastAsia" w:ascii="宋体" w:hAnsi="宋体" w:cs="仿宋_GB2312"/>
                <w:spacing w:val="7"/>
                <w:kern w:val="0"/>
                <w:szCs w:val="21"/>
              </w:rPr>
              <w:t>全年预算数</w:t>
            </w:r>
          </w:p>
        </w:tc>
        <w:tc>
          <w:tcPr>
            <w:tcW w:w="1608" w:type="dxa"/>
            <w:gridSpan w:val="3"/>
            <w:shd w:val="clear" w:color="auto" w:fill="FFFFFF"/>
            <w:tcMar>
              <w:top w:w="0" w:type="dxa"/>
              <w:left w:w="105" w:type="dxa"/>
              <w:bottom w:w="0" w:type="dxa"/>
              <w:right w:w="105" w:type="dxa"/>
            </w:tcMar>
            <w:vAlign w:val="center"/>
          </w:tcPr>
          <w:p>
            <w:pPr>
              <w:widowControl/>
              <w:adjustRightInd w:val="0"/>
              <w:snapToGrid w:val="0"/>
              <w:rPr>
                <w:rFonts w:ascii="宋体" w:hAnsi="宋体" w:cs="仿宋_GB2312"/>
                <w:spacing w:val="7"/>
                <w:kern w:val="0"/>
                <w:szCs w:val="21"/>
              </w:rPr>
            </w:pPr>
            <w:r>
              <w:rPr>
                <w:rFonts w:hint="eastAsia" w:ascii="宋体" w:hAnsi="宋体" w:cs="仿宋_GB2312"/>
                <w:spacing w:val="7"/>
                <w:kern w:val="0"/>
                <w:szCs w:val="21"/>
              </w:rPr>
              <w:t>全年执行数</w:t>
            </w:r>
          </w:p>
        </w:tc>
        <w:tc>
          <w:tcPr>
            <w:tcW w:w="1007" w:type="dxa"/>
            <w:shd w:val="clear" w:color="auto" w:fill="FFFFFF"/>
            <w:tcMar>
              <w:top w:w="0" w:type="dxa"/>
              <w:left w:w="105" w:type="dxa"/>
              <w:bottom w:w="0" w:type="dxa"/>
              <w:right w:w="105" w:type="dxa"/>
            </w:tcMar>
            <w:vAlign w:val="center"/>
          </w:tcPr>
          <w:p>
            <w:pPr>
              <w:widowControl/>
              <w:adjustRightInd w:val="0"/>
              <w:snapToGrid w:val="0"/>
              <w:rPr>
                <w:rFonts w:ascii="宋体" w:hAnsi="宋体" w:cs="仿宋_GB2312"/>
                <w:spacing w:val="7"/>
                <w:kern w:val="0"/>
                <w:szCs w:val="21"/>
              </w:rPr>
            </w:pPr>
            <w:r>
              <w:rPr>
                <w:rFonts w:hint="eastAsia" w:ascii="宋体" w:hAnsi="宋体" w:cs="仿宋_GB2312"/>
                <w:spacing w:val="7"/>
                <w:kern w:val="0"/>
                <w:szCs w:val="21"/>
              </w:rPr>
              <w:t>执行率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exact"/>
        </w:trPr>
        <w:tc>
          <w:tcPr>
            <w:tcW w:w="950" w:type="dxa"/>
            <w:gridSpan w:val="2"/>
            <w:vMerge w:val="continue"/>
            <w:shd w:val="clear" w:color="auto" w:fill="FFFFFF"/>
            <w:vAlign w:val="center"/>
          </w:tcPr>
          <w:p>
            <w:pPr>
              <w:widowControl/>
              <w:adjustRightInd w:val="0"/>
              <w:snapToGrid w:val="0"/>
              <w:rPr>
                <w:rFonts w:ascii="宋体" w:hAnsi="宋体" w:cs="仿宋_GB2312"/>
                <w:spacing w:val="7"/>
                <w:kern w:val="0"/>
                <w:szCs w:val="21"/>
              </w:rPr>
            </w:pPr>
          </w:p>
        </w:tc>
        <w:tc>
          <w:tcPr>
            <w:tcW w:w="2463" w:type="dxa"/>
            <w:gridSpan w:val="4"/>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年度资金总额</w:t>
            </w:r>
          </w:p>
        </w:tc>
        <w:tc>
          <w:tcPr>
            <w:tcW w:w="1461" w:type="dxa"/>
            <w:shd w:val="clear" w:color="auto" w:fill="FFFFFF"/>
            <w:tcMar>
              <w:top w:w="0" w:type="dxa"/>
              <w:left w:w="105" w:type="dxa"/>
              <w:bottom w:w="0" w:type="dxa"/>
              <w:right w:w="105" w:type="dxa"/>
            </w:tcMar>
            <w:vAlign w:val="center"/>
          </w:tcPr>
          <w:p>
            <w:pPr>
              <w:widowControl/>
              <w:adjustRightInd w:val="0"/>
              <w:snapToGrid w:val="0"/>
              <w:jc w:val="right"/>
              <w:rPr>
                <w:rFonts w:ascii="宋体" w:hAnsi="宋体" w:cs="仿宋_GB2312"/>
                <w:spacing w:val="7"/>
                <w:kern w:val="0"/>
                <w:szCs w:val="21"/>
              </w:rPr>
            </w:pPr>
            <w:r>
              <w:rPr>
                <w:rFonts w:hint="eastAsia" w:ascii="宋体" w:hAnsi="宋体" w:cs="仿宋_GB2312"/>
                <w:spacing w:val="7"/>
                <w:kern w:val="0"/>
                <w:szCs w:val="21"/>
              </w:rPr>
              <w:t>100</w:t>
            </w:r>
          </w:p>
        </w:tc>
        <w:tc>
          <w:tcPr>
            <w:tcW w:w="1476" w:type="dxa"/>
            <w:gridSpan w:val="2"/>
            <w:shd w:val="clear" w:color="auto" w:fill="FFFFFF"/>
            <w:tcMar>
              <w:top w:w="0" w:type="dxa"/>
              <w:left w:w="105" w:type="dxa"/>
              <w:bottom w:w="0" w:type="dxa"/>
              <w:right w:w="105" w:type="dxa"/>
            </w:tcMar>
            <w:vAlign w:val="center"/>
          </w:tcPr>
          <w:p>
            <w:pPr>
              <w:jc w:val="right"/>
              <w:rPr>
                <w:rFonts w:ascii="宋体" w:hAnsi="宋体" w:cs="宋体"/>
                <w:bCs/>
                <w:szCs w:val="21"/>
              </w:rPr>
            </w:pPr>
            <w:r>
              <w:rPr>
                <w:rFonts w:hint="eastAsia" w:ascii="宋体" w:hAnsi="宋体" w:cs="仿宋_GB2312"/>
                <w:spacing w:val="7"/>
                <w:kern w:val="0"/>
                <w:szCs w:val="21"/>
              </w:rPr>
              <w:t>90.66</w:t>
            </w:r>
          </w:p>
        </w:tc>
        <w:tc>
          <w:tcPr>
            <w:tcW w:w="1608" w:type="dxa"/>
            <w:gridSpan w:val="3"/>
            <w:shd w:val="clear" w:color="auto" w:fill="FFFFFF"/>
            <w:tcMar>
              <w:top w:w="0" w:type="dxa"/>
              <w:left w:w="105" w:type="dxa"/>
              <w:bottom w:w="0" w:type="dxa"/>
              <w:right w:w="105" w:type="dxa"/>
            </w:tcMar>
            <w:vAlign w:val="center"/>
          </w:tcPr>
          <w:p>
            <w:pPr>
              <w:widowControl/>
              <w:adjustRightInd w:val="0"/>
              <w:snapToGrid w:val="0"/>
              <w:jc w:val="right"/>
              <w:rPr>
                <w:rFonts w:ascii="宋体" w:hAnsi="宋体" w:cs="仿宋_GB2312"/>
                <w:spacing w:val="7"/>
                <w:kern w:val="0"/>
                <w:szCs w:val="21"/>
              </w:rPr>
            </w:pPr>
            <w:r>
              <w:rPr>
                <w:rFonts w:hint="eastAsia" w:ascii="宋体" w:hAnsi="宋体" w:cs="仿宋_GB2312"/>
                <w:spacing w:val="7"/>
                <w:kern w:val="0"/>
                <w:szCs w:val="21"/>
              </w:rPr>
              <w:t>90.66</w:t>
            </w:r>
          </w:p>
        </w:tc>
        <w:tc>
          <w:tcPr>
            <w:tcW w:w="1007" w:type="dxa"/>
            <w:shd w:val="clear" w:color="auto" w:fill="FFFFFF"/>
            <w:tcMar>
              <w:top w:w="0" w:type="dxa"/>
              <w:left w:w="105" w:type="dxa"/>
              <w:bottom w:w="0" w:type="dxa"/>
              <w:right w:w="105" w:type="dxa"/>
            </w:tcMar>
            <w:vAlign w:val="center"/>
          </w:tcPr>
          <w:p>
            <w:pPr>
              <w:widowControl/>
              <w:adjustRightInd w:val="0"/>
              <w:snapToGrid w:val="0"/>
              <w:jc w:val="right"/>
              <w:rPr>
                <w:rFonts w:ascii="宋体" w:hAnsi="宋体" w:cs="仿宋_GB2312"/>
                <w:spacing w:val="7"/>
                <w:kern w:val="0"/>
                <w:szCs w:val="21"/>
              </w:rPr>
            </w:pPr>
            <w:r>
              <w:rPr>
                <w:rFonts w:hint="eastAsia" w:ascii="宋体" w:hAnsi="宋体" w:cs="仿宋_GB2312"/>
                <w:spacing w:val="7"/>
                <w:kern w:val="0"/>
                <w:szCs w:val="21"/>
              </w:rPr>
              <w:t>100.00%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exact"/>
        </w:trPr>
        <w:tc>
          <w:tcPr>
            <w:tcW w:w="950" w:type="dxa"/>
            <w:gridSpan w:val="2"/>
            <w:vMerge w:val="continue"/>
            <w:shd w:val="clear" w:color="auto" w:fill="FFFFFF"/>
            <w:vAlign w:val="center"/>
          </w:tcPr>
          <w:p>
            <w:pPr>
              <w:widowControl/>
              <w:adjustRightInd w:val="0"/>
              <w:snapToGrid w:val="0"/>
              <w:rPr>
                <w:rFonts w:ascii="宋体" w:hAnsi="宋体" w:cs="仿宋_GB2312"/>
                <w:spacing w:val="7"/>
                <w:kern w:val="0"/>
                <w:szCs w:val="21"/>
              </w:rPr>
            </w:pPr>
          </w:p>
        </w:tc>
        <w:tc>
          <w:tcPr>
            <w:tcW w:w="2463" w:type="dxa"/>
            <w:gridSpan w:val="4"/>
            <w:shd w:val="clear" w:color="auto" w:fill="FFFFFF"/>
            <w:tcMar>
              <w:top w:w="0" w:type="dxa"/>
              <w:left w:w="105" w:type="dxa"/>
              <w:bottom w:w="0" w:type="dxa"/>
              <w:right w:w="105" w:type="dxa"/>
            </w:tcMar>
            <w:vAlign w:val="center"/>
          </w:tcPr>
          <w:p>
            <w:pPr>
              <w:widowControl/>
              <w:adjustRightInd w:val="0"/>
              <w:snapToGrid w:val="0"/>
              <w:rPr>
                <w:rFonts w:ascii="宋体" w:hAnsi="宋体" w:cs="仿宋_GB2312"/>
                <w:spacing w:val="7"/>
                <w:kern w:val="0"/>
                <w:szCs w:val="21"/>
              </w:rPr>
            </w:pPr>
            <w:r>
              <w:rPr>
                <w:rFonts w:hint="eastAsia" w:ascii="宋体" w:hAnsi="宋体" w:cs="仿宋_GB2312"/>
                <w:spacing w:val="7"/>
                <w:kern w:val="0"/>
                <w:szCs w:val="21"/>
              </w:rPr>
              <w:t>其中：当年财政拨款</w:t>
            </w:r>
          </w:p>
        </w:tc>
        <w:tc>
          <w:tcPr>
            <w:tcW w:w="1461" w:type="dxa"/>
            <w:shd w:val="clear" w:color="auto" w:fill="FFFFFF"/>
            <w:tcMar>
              <w:top w:w="0" w:type="dxa"/>
              <w:left w:w="105" w:type="dxa"/>
              <w:bottom w:w="0" w:type="dxa"/>
              <w:right w:w="105" w:type="dxa"/>
            </w:tcMar>
            <w:vAlign w:val="center"/>
          </w:tcPr>
          <w:p>
            <w:pPr>
              <w:widowControl/>
              <w:adjustRightInd w:val="0"/>
              <w:snapToGrid w:val="0"/>
              <w:jc w:val="right"/>
              <w:rPr>
                <w:rFonts w:ascii="宋体" w:hAnsi="宋体" w:cs="仿宋_GB2312"/>
                <w:spacing w:val="7"/>
                <w:kern w:val="0"/>
                <w:szCs w:val="21"/>
              </w:rPr>
            </w:pPr>
            <w:r>
              <w:rPr>
                <w:rFonts w:hint="eastAsia" w:ascii="宋体" w:hAnsi="宋体" w:cs="仿宋_GB2312"/>
                <w:spacing w:val="7"/>
                <w:kern w:val="0"/>
                <w:szCs w:val="21"/>
              </w:rPr>
              <w:t>100</w:t>
            </w:r>
          </w:p>
        </w:tc>
        <w:tc>
          <w:tcPr>
            <w:tcW w:w="1476" w:type="dxa"/>
            <w:gridSpan w:val="2"/>
            <w:shd w:val="clear" w:color="auto" w:fill="FFFFFF"/>
            <w:tcMar>
              <w:top w:w="0" w:type="dxa"/>
              <w:left w:w="105" w:type="dxa"/>
              <w:bottom w:w="0" w:type="dxa"/>
              <w:right w:w="105" w:type="dxa"/>
            </w:tcMar>
            <w:vAlign w:val="center"/>
          </w:tcPr>
          <w:p>
            <w:pPr>
              <w:jc w:val="right"/>
              <w:rPr>
                <w:rFonts w:ascii="宋体" w:hAnsi="宋体" w:cs="宋体"/>
                <w:bCs/>
                <w:szCs w:val="21"/>
              </w:rPr>
            </w:pPr>
            <w:r>
              <w:rPr>
                <w:rFonts w:hint="eastAsia" w:ascii="宋体" w:hAnsi="宋体" w:cs="仿宋_GB2312"/>
                <w:spacing w:val="7"/>
                <w:kern w:val="0"/>
                <w:szCs w:val="21"/>
              </w:rPr>
              <w:t>90.66</w:t>
            </w:r>
          </w:p>
        </w:tc>
        <w:tc>
          <w:tcPr>
            <w:tcW w:w="1608" w:type="dxa"/>
            <w:gridSpan w:val="3"/>
            <w:shd w:val="clear" w:color="auto" w:fill="FFFFFF"/>
            <w:tcMar>
              <w:top w:w="0" w:type="dxa"/>
              <w:left w:w="105" w:type="dxa"/>
              <w:bottom w:w="0" w:type="dxa"/>
              <w:right w:w="105" w:type="dxa"/>
            </w:tcMar>
            <w:vAlign w:val="center"/>
          </w:tcPr>
          <w:p>
            <w:pPr>
              <w:widowControl/>
              <w:adjustRightInd w:val="0"/>
              <w:snapToGrid w:val="0"/>
              <w:jc w:val="right"/>
              <w:rPr>
                <w:rFonts w:ascii="宋体" w:hAnsi="宋体" w:cs="仿宋_GB2312"/>
                <w:spacing w:val="7"/>
                <w:kern w:val="0"/>
                <w:szCs w:val="21"/>
              </w:rPr>
            </w:pPr>
            <w:r>
              <w:rPr>
                <w:rFonts w:hint="eastAsia" w:ascii="宋体" w:hAnsi="宋体" w:cs="仿宋_GB2312"/>
                <w:spacing w:val="7"/>
                <w:kern w:val="0"/>
                <w:szCs w:val="21"/>
              </w:rPr>
              <w:t>90.66</w:t>
            </w:r>
          </w:p>
        </w:tc>
        <w:tc>
          <w:tcPr>
            <w:tcW w:w="1007" w:type="dxa"/>
            <w:shd w:val="clear" w:color="auto" w:fill="FFFFFF"/>
            <w:tcMar>
              <w:top w:w="0" w:type="dxa"/>
              <w:left w:w="105" w:type="dxa"/>
              <w:bottom w:w="0" w:type="dxa"/>
              <w:right w:w="105" w:type="dxa"/>
            </w:tcMar>
            <w:vAlign w:val="center"/>
          </w:tcPr>
          <w:p>
            <w:pPr>
              <w:widowControl/>
              <w:adjustRightInd w:val="0"/>
              <w:snapToGrid w:val="0"/>
              <w:jc w:val="right"/>
              <w:rPr>
                <w:rFonts w:ascii="宋体" w:hAnsi="宋体" w:cs="仿宋_GB2312"/>
                <w:spacing w:val="7"/>
                <w:kern w:val="0"/>
                <w:szCs w:val="21"/>
              </w:rPr>
            </w:pPr>
            <w:r>
              <w:rPr>
                <w:rFonts w:hint="eastAsia" w:ascii="宋体" w:hAnsi="宋体" w:cs="仿宋_GB2312"/>
                <w:spacing w:val="7"/>
                <w:kern w:val="0"/>
                <w:szCs w:val="21"/>
              </w:rPr>
              <w:t>100.00%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exact"/>
        </w:trPr>
        <w:tc>
          <w:tcPr>
            <w:tcW w:w="950" w:type="dxa"/>
            <w:gridSpan w:val="2"/>
            <w:vMerge w:val="continue"/>
            <w:shd w:val="clear" w:color="auto" w:fill="FFFFFF"/>
            <w:vAlign w:val="center"/>
          </w:tcPr>
          <w:p>
            <w:pPr>
              <w:widowControl/>
              <w:adjustRightInd w:val="0"/>
              <w:snapToGrid w:val="0"/>
              <w:rPr>
                <w:rFonts w:ascii="宋体" w:hAnsi="宋体" w:cs="仿宋_GB2312"/>
                <w:spacing w:val="7"/>
                <w:kern w:val="0"/>
                <w:szCs w:val="21"/>
              </w:rPr>
            </w:pPr>
          </w:p>
        </w:tc>
        <w:tc>
          <w:tcPr>
            <w:tcW w:w="2463" w:type="dxa"/>
            <w:gridSpan w:val="4"/>
            <w:shd w:val="clear" w:color="auto" w:fill="FFFFFF"/>
            <w:tcMar>
              <w:top w:w="0" w:type="dxa"/>
              <w:left w:w="105" w:type="dxa"/>
              <w:bottom w:w="0" w:type="dxa"/>
              <w:right w:w="105" w:type="dxa"/>
            </w:tcMar>
            <w:vAlign w:val="center"/>
          </w:tcPr>
          <w:p>
            <w:pPr>
              <w:widowControl/>
              <w:adjustRightInd w:val="0"/>
              <w:snapToGrid w:val="0"/>
              <w:rPr>
                <w:rFonts w:ascii="宋体" w:hAnsi="宋体" w:cs="仿宋_GB2312"/>
                <w:spacing w:val="7"/>
                <w:kern w:val="0"/>
                <w:szCs w:val="21"/>
              </w:rPr>
            </w:pPr>
            <w:r>
              <w:rPr>
                <w:rFonts w:hint="eastAsia" w:ascii="宋体" w:hAnsi="宋体" w:cs="仿宋_GB2312"/>
                <w:spacing w:val="7"/>
                <w:kern w:val="0"/>
                <w:szCs w:val="21"/>
              </w:rPr>
              <w:t>   上年结转资金</w:t>
            </w:r>
          </w:p>
        </w:tc>
        <w:tc>
          <w:tcPr>
            <w:tcW w:w="1461" w:type="dxa"/>
            <w:shd w:val="clear" w:color="auto" w:fill="FFFFFF"/>
            <w:tcMar>
              <w:top w:w="0" w:type="dxa"/>
              <w:left w:w="105" w:type="dxa"/>
              <w:bottom w:w="0" w:type="dxa"/>
              <w:right w:w="105" w:type="dxa"/>
            </w:tcMar>
            <w:vAlign w:val="center"/>
          </w:tcPr>
          <w:p>
            <w:pPr>
              <w:widowControl/>
              <w:adjustRightInd w:val="0"/>
              <w:snapToGrid w:val="0"/>
              <w:rPr>
                <w:rFonts w:ascii="宋体" w:hAnsi="宋体" w:cs="仿宋_GB2312"/>
                <w:spacing w:val="7"/>
                <w:kern w:val="0"/>
                <w:szCs w:val="21"/>
              </w:rPr>
            </w:pPr>
          </w:p>
        </w:tc>
        <w:tc>
          <w:tcPr>
            <w:tcW w:w="1476" w:type="dxa"/>
            <w:gridSpan w:val="2"/>
            <w:shd w:val="clear" w:color="auto" w:fill="FFFFFF"/>
            <w:tcMar>
              <w:top w:w="0" w:type="dxa"/>
              <w:left w:w="105" w:type="dxa"/>
              <w:bottom w:w="0" w:type="dxa"/>
              <w:right w:w="105" w:type="dxa"/>
            </w:tcMar>
            <w:vAlign w:val="center"/>
          </w:tcPr>
          <w:p>
            <w:pPr>
              <w:widowControl/>
              <w:adjustRightInd w:val="0"/>
              <w:snapToGrid w:val="0"/>
              <w:rPr>
                <w:rFonts w:ascii="宋体" w:hAnsi="宋体" w:cs="仿宋_GB2312"/>
                <w:spacing w:val="7"/>
                <w:kern w:val="0"/>
                <w:szCs w:val="21"/>
              </w:rPr>
            </w:pPr>
          </w:p>
        </w:tc>
        <w:tc>
          <w:tcPr>
            <w:tcW w:w="1608" w:type="dxa"/>
            <w:gridSpan w:val="3"/>
            <w:shd w:val="clear" w:color="auto" w:fill="FFFFFF"/>
            <w:tcMar>
              <w:top w:w="0" w:type="dxa"/>
              <w:left w:w="105" w:type="dxa"/>
              <w:bottom w:w="0" w:type="dxa"/>
              <w:right w:w="105" w:type="dxa"/>
            </w:tcMar>
            <w:vAlign w:val="center"/>
          </w:tcPr>
          <w:p>
            <w:pPr>
              <w:widowControl/>
              <w:adjustRightInd w:val="0"/>
              <w:snapToGrid w:val="0"/>
              <w:rPr>
                <w:rFonts w:ascii="宋体" w:hAnsi="宋体" w:cs="仿宋_GB2312"/>
                <w:spacing w:val="7"/>
                <w:kern w:val="0"/>
                <w:szCs w:val="21"/>
              </w:rPr>
            </w:pPr>
          </w:p>
        </w:tc>
        <w:tc>
          <w:tcPr>
            <w:tcW w:w="1007" w:type="dxa"/>
            <w:shd w:val="clear" w:color="auto" w:fill="FFFFFF"/>
            <w:tcMar>
              <w:top w:w="0" w:type="dxa"/>
              <w:left w:w="105" w:type="dxa"/>
              <w:bottom w:w="0" w:type="dxa"/>
              <w:right w:w="105" w:type="dxa"/>
            </w:tcMar>
            <w:vAlign w:val="center"/>
          </w:tcPr>
          <w:p>
            <w:pPr>
              <w:widowControl/>
              <w:adjustRightInd w:val="0"/>
              <w:snapToGrid w:val="0"/>
              <w:rPr>
                <w:rFonts w:ascii="宋体" w:hAnsi="宋体" w:cs="仿宋_GB2312"/>
                <w:spacing w:val="7"/>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exact"/>
        </w:trPr>
        <w:tc>
          <w:tcPr>
            <w:tcW w:w="950" w:type="dxa"/>
            <w:gridSpan w:val="2"/>
            <w:vMerge w:val="continue"/>
            <w:shd w:val="clear" w:color="auto" w:fill="FFFFFF"/>
            <w:vAlign w:val="center"/>
          </w:tcPr>
          <w:p>
            <w:pPr>
              <w:widowControl/>
              <w:adjustRightInd w:val="0"/>
              <w:snapToGrid w:val="0"/>
              <w:rPr>
                <w:rFonts w:ascii="宋体" w:hAnsi="宋体" w:cs="仿宋_GB2312"/>
                <w:spacing w:val="7"/>
                <w:kern w:val="0"/>
                <w:szCs w:val="21"/>
              </w:rPr>
            </w:pPr>
          </w:p>
        </w:tc>
        <w:tc>
          <w:tcPr>
            <w:tcW w:w="2463" w:type="dxa"/>
            <w:gridSpan w:val="4"/>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其他资金</w:t>
            </w:r>
          </w:p>
        </w:tc>
        <w:tc>
          <w:tcPr>
            <w:tcW w:w="1461" w:type="dxa"/>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p>
        </w:tc>
        <w:tc>
          <w:tcPr>
            <w:tcW w:w="1476" w:type="dxa"/>
            <w:gridSpan w:val="2"/>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p>
        </w:tc>
        <w:tc>
          <w:tcPr>
            <w:tcW w:w="1608" w:type="dxa"/>
            <w:gridSpan w:val="3"/>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p>
        </w:tc>
        <w:tc>
          <w:tcPr>
            <w:tcW w:w="1007" w:type="dxa"/>
            <w:shd w:val="clear" w:color="auto" w:fill="FFFFFF"/>
            <w:tcMar>
              <w:top w:w="0" w:type="dxa"/>
              <w:left w:w="105" w:type="dxa"/>
              <w:bottom w:w="0" w:type="dxa"/>
              <w:right w:w="105" w:type="dxa"/>
            </w:tcMar>
            <w:vAlign w:val="center"/>
          </w:tcPr>
          <w:p>
            <w:pPr>
              <w:widowControl/>
              <w:adjustRightInd w:val="0"/>
              <w:snapToGrid w:val="0"/>
              <w:rPr>
                <w:rFonts w:ascii="宋体" w:hAnsi="宋体" w:cs="仿宋_GB2312"/>
                <w:spacing w:val="7"/>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exact"/>
        </w:trPr>
        <w:tc>
          <w:tcPr>
            <w:tcW w:w="950" w:type="dxa"/>
            <w:gridSpan w:val="2"/>
            <w:vMerge w:val="restart"/>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年度总体目标</w:t>
            </w:r>
          </w:p>
        </w:tc>
        <w:tc>
          <w:tcPr>
            <w:tcW w:w="3924" w:type="dxa"/>
            <w:gridSpan w:val="5"/>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预期目标</w:t>
            </w:r>
          </w:p>
        </w:tc>
        <w:tc>
          <w:tcPr>
            <w:tcW w:w="4091" w:type="dxa"/>
            <w:gridSpan w:val="6"/>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实际完成情况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363" w:hRule="atLeast"/>
        </w:trPr>
        <w:tc>
          <w:tcPr>
            <w:tcW w:w="950" w:type="dxa"/>
            <w:gridSpan w:val="2"/>
            <w:vMerge w:val="continue"/>
            <w:shd w:val="clear" w:color="auto" w:fill="FFFFFF"/>
            <w:vAlign w:val="center"/>
          </w:tcPr>
          <w:p>
            <w:pPr>
              <w:widowControl/>
              <w:adjustRightInd w:val="0"/>
              <w:snapToGrid w:val="0"/>
              <w:rPr>
                <w:rFonts w:ascii="宋体" w:hAnsi="宋体" w:cs="仿宋_GB2312"/>
                <w:spacing w:val="7"/>
                <w:kern w:val="0"/>
                <w:szCs w:val="21"/>
              </w:rPr>
            </w:pPr>
          </w:p>
        </w:tc>
        <w:tc>
          <w:tcPr>
            <w:tcW w:w="3924" w:type="dxa"/>
            <w:gridSpan w:val="5"/>
            <w:shd w:val="clear" w:color="auto" w:fill="FFFFFF"/>
            <w:tcMar>
              <w:top w:w="0" w:type="dxa"/>
              <w:left w:w="105" w:type="dxa"/>
              <w:bottom w:w="0" w:type="dxa"/>
              <w:right w:w="105" w:type="dxa"/>
            </w:tcMar>
            <w:vAlign w:val="center"/>
          </w:tcPr>
          <w:p>
            <w:pPr>
              <w:widowControl/>
              <w:adjustRightInd w:val="0"/>
              <w:snapToGrid w:val="0"/>
              <w:rPr>
                <w:rFonts w:ascii="宋体" w:hAnsi="宋体" w:cs="仿宋_GB2312"/>
                <w:spacing w:val="7"/>
                <w:kern w:val="0"/>
                <w:szCs w:val="21"/>
              </w:rPr>
            </w:pPr>
            <w:r>
              <w:rPr>
                <w:rFonts w:hint="eastAsia" w:ascii="宋体" w:hAnsi="宋体" w:cs="仿宋_GB2312"/>
                <w:spacing w:val="7"/>
                <w:kern w:val="0"/>
                <w:szCs w:val="21"/>
              </w:rPr>
              <w:t>拆除3万平方违法建筑</w:t>
            </w:r>
          </w:p>
        </w:tc>
        <w:tc>
          <w:tcPr>
            <w:tcW w:w="4091" w:type="dxa"/>
            <w:gridSpan w:val="6"/>
            <w:shd w:val="clear" w:color="auto" w:fill="FFFFFF"/>
            <w:tcMar>
              <w:top w:w="0" w:type="dxa"/>
              <w:left w:w="105" w:type="dxa"/>
              <w:bottom w:w="0" w:type="dxa"/>
              <w:right w:w="105" w:type="dxa"/>
            </w:tcMar>
            <w:vAlign w:val="center"/>
          </w:tcPr>
          <w:p>
            <w:pPr>
              <w:widowControl/>
              <w:adjustRightInd w:val="0"/>
              <w:snapToGrid w:val="0"/>
              <w:rPr>
                <w:rFonts w:ascii="宋体" w:hAnsi="宋体" w:cs="仿宋_GB2312"/>
                <w:spacing w:val="7"/>
                <w:kern w:val="0"/>
                <w:szCs w:val="21"/>
              </w:rPr>
            </w:pPr>
            <w:r>
              <w:rPr>
                <w:rFonts w:hint="eastAsia" w:ascii="宋体" w:hAnsi="宋体" w:cs="仿宋_GB2312"/>
                <w:spacing w:val="7"/>
                <w:kern w:val="0"/>
                <w:szCs w:val="21"/>
              </w:rPr>
              <w:t>完成旧住宅区改造、旧厂区改造、城中村改造、拆除违法建筑任务、清理建筑垃圾及耕地恢复原状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40" w:hRule="atLeast"/>
        </w:trPr>
        <w:tc>
          <w:tcPr>
            <w:tcW w:w="458" w:type="dxa"/>
            <w:vMerge w:val="restart"/>
            <w:shd w:val="clear" w:color="auto" w:fill="FFFFFF"/>
            <w:tcMar>
              <w:top w:w="0" w:type="dxa"/>
              <w:left w:w="105" w:type="dxa"/>
              <w:bottom w:w="0" w:type="dxa"/>
              <w:right w:w="105" w:type="dxa"/>
            </w:tcMar>
            <w:vAlign w:val="center"/>
          </w:tcPr>
          <w:p>
            <w:pPr>
              <w:widowControl/>
              <w:adjustRightInd w:val="0"/>
              <w:snapToGrid w:val="0"/>
              <w:rPr>
                <w:rFonts w:ascii="宋体" w:hAnsi="宋体" w:cs="仿宋_GB2312"/>
                <w:spacing w:val="7"/>
                <w:kern w:val="0"/>
                <w:szCs w:val="21"/>
              </w:rPr>
            </w:pPr>
            <w:r>
              <w:rPr>
                <w:rFonts w:hint="eastAsia" w:ascii="宋体" w:hAnsi="宋体" w:cs="仿宋_GB2312"/>
                <w:spacing w:val="7"/>
                <w:kern w:val="0"/>
                <w:szCs w:val="21"/>
              </w:rPr>
              <w:t>绩效指标</w:t>
            </w:r>
          </w:p>
        </w:tc>
        <w:tc>
          <w:tcPr>
            <w:tcW w:w="492" w:type="dxa"/>
            <w:shd w:val="clear" w:color="auto" w:fill="FFFFFF"/>
            <w:tcMar>
              <w:top w:w="0" w:type="dxa"/>
              <w:left w:w="105" w:type="dxa"/>
              <w:bottom w:w="0" w:type="dxa"/>
              <w:right w:w="105" w:type="dxa"/>
            </w:tcMar>
            <w:vAlign w:val="center"/>
          </w:tcPr>
          <w:p>
            <w:pPr>
              <w:widowControl/>
              <w:adjustRightInd w:val="0"/>
              <w:snapToGrid w:val="0"/>
              <w:rPr>
                <w:rFonts w:ascii="宋体" w:hAnsi="宋体" w:cs="仿宋_GB2312"/>
                <w:spacing w:val="7"/>
                <w:kern w:val="0"/>
                <w:szCs w:val="21"/>
              </w:rPr>
            </w:pPr>
            <w:r>
              <w:rPr>
                <w:rFonts w:hint="eastAsia" w:ascii="宋体" w:hAnsi="宋体" w:cs="仿宋_GB2312"/>
                <w:spacing w:val="7"/>
                <w:kern w:val="0"/>
                <w:szCs w:val="21"/>
              </w:rPr>
              <w:t>一级指标</w:t>
            </w:r>
          </w:p>
        </w:tc>
        <w:tc>
          <w:tcPr>
            <w:tcW w:w="856" w:type="dxa"/>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二级</w:t>
            </w:r>
          </w:p>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指标</w:t>
            </w:r>
          </w:p>
        </w:tc>
        <w:tc>
          <w:tcPr>
            <w:tcW w:w="1418" w:type="dxa"/>
            <w:gridSpan w:val="2"/>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三级</w:t>
            </w:r>
          </w:p>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指标</w:t>
            </w:r>
          </w:p>
        </w:tc>
        <w:tc>
          <w:tcPr>
            <w:tcW w:w="1650" w:type="dxa"/>
            <w:gridSpan w:val="2"/>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年度</w:t>
            </w:r>
          </w:p>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指标值</w:t>
            </w:r>
          </w:p>
        </w:tc>
        <w:tc>
          <w:tcPr>
            <w:tcW w:w="1224" w:type="dxa"/>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实际</w:t>
            </w:r>
          </w:p>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完成值</w:t>
            </w:r>
          </w:p>
        </w:tc>
        <w:tc>
          <w:tcPr>
            <w:tcW w:w="795" w:type="dxa"/>
            <w:gridSpan w:val="2"/>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权重</w:t>
            </w:r>
          </w:p>
        </w:tc>
        <w:tc>
          <w:tcPr>
            <w:tcW w:w="765" w:type="dxa"/>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得分</w:t>
            </w:r>
          </w:p>
        </w:tc>
        <w:tc>
          <w:tcPr>
            <w:tcW w:w="1307" w:type="dxa"/>
            <w:gridSpan w:val="2"/>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偏差原因分析及改进措施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109" w:hRule="exact"/>
        </w:trPr>
        <w:tc>
          <w:tcPr>
            <w:tcW w:w="458" w:type="dxa"/>
            <w:vMerge w:val="continue"/>
            <w:shd w:val="clear" w:color="auto" w:fill="FFFFFF"/>
            <w:vAlign w:val="center"/>
          </w:tcPr>
          <w:p>
            <w:pPr>
              <w:widowControl/>
              <w:adjustRightInd w:val="0"/>
              <w:snapToGrid w:val="0"/>
              <w:rPr>
                <w:rFonts w:ascii="宋体" w:hAnsi="宋体" w:cs="仿宋_GB2312"/>
                <w:spacing w:val="7"/>
                <w:kern w:val="0"/>
                <w:szCs w:val="21"/>
              </w:rPr>
            </w:pPr>
          </w:p>
        </w:tc>
        <w:tc>
          <w:tcPr>
            <w:tcW w:w="492" w:type="dxa"/>
            <w:vMerge w:val="restart"/>
            <w:shd w:val="clear" w:color="auto" w:fill="FFFFFF"/>
            <w:tcMar>
              <w:top w:w="0" w:type="dxa"/>
              <w:left w:w="105" w:type="dxa"/>
              <w:bottom w:w="0" w:type="dxa"/>
              <w:right w:w="105" w:type="dxa"/>
            </w:tcMar>
            <w:vAlign w:val="center"/>
          </w:tcPr>
          <w:p>
            <w:pPr>
              <w:adjustRightInd w:val="0"/>
              <w:snapToGrid w:val="0"/>
              <w:rPr>
                <w:rFonts w:ascii="宋体" w:hAnsi="宋体" w:cs="仿宋_GB2312"/>
                <w:spacing w:val="7"/>
                <w:kern w:val="0"/>
                <w:szCs w:val="21"/>
              </w:rPr>
            </w:pPr>
            <w:r>
              <w:rPr>
                <w:rFonts w:hint="eastAsia" w:ascii="宋体" w:hAnsi="宋体" w:cs="仿宋_GB2312"/>
                <w:spacing w:val="7"/>
                <w:kern w:val="0"/>
                <w:szCs w:val="21"/>
              </w:rPr>
              <w:t>产出 指标</w:t>
            </w:r>
          </w:p>
        </w:tc>
        <w:tc>
          <w:tcPr>
            <w:tcW w:w="856" w:type="dxa"/>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数量</w:t>
            </w:r>
          </w:p>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指标</w:t>
            </w:r>
          </w:p>
        </w:tc>
        <w:tc>
          <w:tcPr>
            <w:tcW w:w="1418" w:type="dxa"/>
            <w:gridSpan w:val="2"/>
            <w:shd w:val="clear" w:color="auto" w:fill="FFFFFF"/>
            <w:tcMar>
              <w:top w:w="0" w:type="dxa"/>
              <w:left w:w="105" w:type="dxa"/>
              <w:bottom w:w="0" w:type="dxa"/>
              <w:right w:w="105" w:type="dxa"/>
            </w:tcMar>
            <w:vAlign w:val="center"/>
          </w:tcPr>
          <w:p>
            <w:pPr>
              <w:jc w:val="center"/>
              <w:rPr>
                <w:rFonts w:ascii="宋体" w:hAnsi="宋体" w:cs="Arial"/>
                <w:sz w:val="18"/>
                <w:szCs w:val="18"/>
              </w:rPr>
            </w:pPr>
            <w:r>
              <w:rPr>
                <w:rFonts w:hint="eastAsia" w:ascii="宋体" w:hAnsi="宋体" w:cs="Arial"/>
                <w:sz w:val="18"/>
                <w:szCs w:val="18"/>
              </w:rPr>
              <w:t>违法建筑拆除面积</w:t>
            </w:r>
          </w:p>
        </w:tc>
        <w:tc>
          <w:tcPr>
            <w:tcW w:w="1650" w:type="dxa"/>
            <w:gridSpan w:val="2"/>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3万平方米</w:t>
            </w:r>
          </w:p>
        </w:tc>
        <w:tc>
          <w:tcPr>
            <w:tcW w:w="1224" w:type="dxa"/>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zCs w:val="21"/>
              </w:rPr>
              <w:t>4.03万平方米</w:t>
            </w:r>
          </w:p>
        </w:tc>
        <w:tc>
          <w:tcPr>
            <w:tcW w:w="795" w:type="dxa"/>
            <w:gridSpan w:val="2"/>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40</w:t>
            </w:r>
          </w:p>
        </w:tc>
        <w:tc>
          <w:tcPr>
            <w:tcW w:w="765" w:type="dxa"/>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40</w:t>
            </w:r>
          </w:p>
        </w:tc>
        <w:tc>
          <w:tcPr>
            <w:tcW w:w="1307" w:type="dxa"/>
            <w:gridSpan w:val="2"/>
            <w:shd w:val="clear" w:color="auto" w:fill="FFFFFF"/>
            <w:tcMar>
              <w:top w:w="0" w:type="dxa"/>
              <w:left w:w="105" w:type="dxa"/>
              <w:bottom w:w="0" w:type="dxa"/>
              <w:right w:w="105" w:type="dxa"/>
            </w:tcMar>
            <w:vAlign w:val="center"/>
          </w:tcPr>
          <w:p>
            <w:pPr>
              <w:widowControl/>
              <w:adjustRightInd w:val="0"/>
              <w:snapToGrid w:val="0"/>
              <w:rPr>
                <w:rFonts w:ascii="宋体" w:hAnsi="宋体" w:cs="仿宋_GB2312"/>
                <w:spacing w:val="7"/>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109" w:hRule="exact"/>
        </w:trPr>
        <w:tc>
          <w:tcPr>
            <w:tcW w:w="458" w:type="dxa"/>
            <w:vMerge w:val="continue"/>
            <w:shd w:val="clear" w:color="auto" w:fill="FFFFFF"/>
            <w:vAlign w:val="center"/>
          </w:tcPr>
          <w:p>
            <w:pPr>
              <w:widowControl/>
              <w:adjustRightInd w:val="0"/>
              <w:snapToGrid w:val="0"/>
              <w:rPr>
                <w:rFonts w:ascii="宋体" w:hAnsi="宋体" w:cs="仿宋_GB2312"/>
                <w:spacing w:val="7"/>
                <w:kern w:val="0"/>
                <w:szCs w:val="21"/>
              </w:rPr>
            </w:pPr>
          </w:p>
        </w:tc>
        <w:tc>
          <w:tcPr>
            <w:tcW w:w="492" w:type="dxa"/>
            <w:vMerge w:val="continue"/>
            <w:shd w:val="clear" w:color="auto" w:fill="FFFFFF"/>
            <w:tcMar>
              <w:top w:w="0" w:type="dxa"/>
              <w:left w:w="105" w:type="dxa"/>
              <w:bottom w:w="0" w:type="dxa"/>
              <w:right w:w="105" w:type="dxa"/>
            </w:tcMar>
            <w:vAlign w:val="center"/>
          </w:tcPr>
          <w:p>
            <w:pPr>
              <w:adjustRightInd w:val="0"/>
              <w:snapToGrid w:val="0"/>
              <w:rPr>
                <w:rFonts w:ascii="宋体" w:hAnsi="宋体" w:cs="仿宋_GB2312"/>
                <w:spacing w:val="7"/>
                <w:kern w:val="0"/>
                <w:szCs w:val="21"/>
              </w:rPr>
            </w:pPr>
          </w:p>
        </w:tc>
        <w:tc>
          <w:tcPr>
            <w:tcW w:w="856" w:type="dxa"/>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质量指标</w:t>
            </w:r>
          </w:p>
        </w:tc>
        <w:tc>
          <w:tcPr>
            <w:tcW w:w="1418" w:type="dxa"/>
            <w:gridSpan w:val="2"/>
            <w:shd w:val="clear" w:color="auto" w:fill="FFFFFF"/>
            <w:tcMar>
              <w:top w:w="0" w:type="dxa"/>
              <w:left w:w="105" w:type="dxa"/>
              <w:bottom w:w="0" w:type="dxa"/>
              <w:right w:w="105" w:type="dxa"/>
            </w:tcMar>
            <w:vAlign w:val="center"/>
          </w:tcPr>
          <w:p>
            <w:pPr>
              <w:jc w:val="center"/>
              <w:rPr>
                <w:rFonts w:ascii="宋体" w:hAnsi="宋体" w:cs="仿宋_GB2312"/>
                <w:spacing w:val="7"/>
                <w:kern w:val="0"/>
                <w:szCs w:val="21"/>
              </w:rPr>
            </w:pPr>
            <w:r>
              <w:rPr>
                <w:rFonts w:hint="eastAsia" w:ascii="宋体" w:hAnsi="宋体" w:cs="仿宋_GB2312"/>
                <w:color w:val="000000"/>
                <w:szCs w:val="21"/>
              </w:rPr>
              <w:t>台州市“无违建街道”</w:t>
            </w:r>
          </w:p>
        </w:tc>
        <w:tc>
          <w:tcPr>
            <w:tcW w:w="1650" w:type="dxa"/>
            <w:gridSpan w:val="2"/>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通过复评</w:t>
            </w:r>
          </w:p>
        </w:tc>
        <w:tc>
          <w:tcPr>
            <w:tcW w:w="1224" w:type="dxa"/>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通过复评</w:t>
            </w:r>
          </w:p>
        </w:tc>
        <w:tc>
          <w:tcPr>
            <w:tcW w:w="795" w:type="dxa"/>
            <w:gridSpan w:val="2"/>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30</w:t>
            </w:r>
          </w:p>
        </w:tc>
        <w:tc>
          <w:tcPr>
            <w:tcW w:w="765" w:type="dxa"/>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30</w:t>
            </w:r>
          </w:p>
        </w:tc>
        <w:tc>
          <w:tcPr>
            <w:tcW w:w="1307" w:type="dxa"/>
            <w:gridSpan w:val="2"/>
            <w:shd w:val="clear" w:color="auto" w:fill="FFFFFF"/>
            <w:tcMar>
              <w:top w:w="0" w:type="dxa"/>
              <w:left w:w="105" w:type="dxa"/>
              <w:bottom w:w="0" w:type="dxa"/>
              <w:right w:w="105" w:type="dxa"/>
            </w:tcMar>
            <w:vAlign w:val="center"/>
          </w:tcPr>
          <w:p>
            <w:pPr>
              <w:widowControl/>
              <w:adjustRightInd w:val="0"/>
              <w:snapToGrid w:val="0"/>
              <w:rPr>
                <w:rFonts w:ascii="宋体" w:hAnsi="宋体" w:cs="仿宋_GB2312"/>
                <w:spacing w:val="7"/>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724" w:hRule="exact"/>
        </w:trPr>
        <w:tc>
          <w:tcPr>
            <w:tcW w:w="458" w:type="dxa"/>
            <w:vMerge w:val="continue"/>
            <w:shd w:val="clear" w:color="auto" w:fill="FFFFFF"/>
            <w:vAlign w:val="center"/>
          </w:tcPr>
          <w:p>
            <w:pPr>
              <w:widowControl/>
              <w:adjustRightInd w:val="0"/>
              <w:snapToGrid w:val="0"/>
              <w:rPr>
                <w:rFonts w:ascii="宋体" w:hAnsi="宋体" w:cs="仿宋_GB2312"/>
                <w:spacing w:val="7"/>
                <w:kern w:val="0"/>
                <w:szCs w:val="21"/>
              </w:rPr>
            </w:pPr>
          </w:p>
        </w:tc>
        <w:tc>
          <w:tcPr>
            <w:tcW w:w="492" w:type="dxa"/>
            <w:shd w:val="clear" w:color="auto" w:fill="FFFFFF"/>
            <w:vAlign w:val="center"/>
          </w:tcPr>
          <w:p>
            <w:pPr>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效益指标</w:t>
            </w:r>
          </w:p>
        </w:tc>
        <w:tc>
          <w:tcPr>
            <w:tcW w:w="856" w:type="dxa"/>
            <w:shd w:val="clear" w:color="auto" w:fill="FFFFFF"/>
            <w:tcMar>
              <w:top w:w="0" w:type="dxa"/>
              <w:left w:w="105" w:type="dxa"/>
              <w:bottom w:w="0" w:type="dxa"/>
              <w:right w:w="105" w:type="dxa"/>
            </w:tcMar>
            <w:vAlign w:val="center"/>
          </w:tcPr>
          <w:p>
            <w:pPr>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社会效益指标</w:t>
            </w:r>
          </w:p>
        </w:tc>
        <w:tc>
          <w:tcPr>
            <w:tcW w:w="1418" w:type="dxa"/>
            <w:gridSpan w:val="2"/>
            <w:shd w:val="clear" w:color="auto" w:fill="FFFFFF"/>
            <w:tcMar>
              <w:top w:w="0" w:type="dxa"/>
              <w:left w:w="105" w:type="dxa"/>
              <w:bottom w:w="0" w:type="dxa"/>
              <w:right w:w="105" w:type="dxa"/>
            </w:tcMar>
            <w:vAlign w:val="center"/>
          </w:tcPr>
          <w:p>
            <w:pPr>
              <w:widowControl/>
              <w:adjustRightInd w:val="0"/>
              <w:snapToGrid w:val="0"/>
              <w:rPr>
                <w:rFonts w:ascii="宋体" w:hAnsi="宋体" w:cs="仿宋_GB2312"/>
                <w:spacing w:val="7"/>
                <w:kern w:val="0"/>
                <w:szCs w:val="21"/>
              </w:rPr>
            </w:pPr>
            <w:r>
              <w:rPr>
                <w:rFonts w:hint="eastAsia" w:ascii="宋体" w:hAnsi="宋体" w:cs="仿宋_GB2312"/>
                <w:spacing w:val="7"/>
                <w:kern w:val="0"/>
                <w:szCs w:val="21"/>
              </w:rPr>
              <w:t>扩大城市发展利用空间，优化经社会发展环境</w:t>
            </w:r>
          </w:p>
        </w:tc>
        <w:tc>
          <w:tcPr>
            <w:tcW w:w="1650" w:type="dxa"/>
            <w:gridSpan w:val="2"/>
            <w:shd w:val="clear" w:color="auto" w:fill="FFFFFF"/>
            <w:tcMar>
              <w:top w:w="0" w:type="dxa"/>
              <w:left w:w="105" w:type="dxa"/>
              <w:bottom w:w="0" w:type="dxa"/>
              <w:right w:w="105" w:type="dxa"/>
            </w:tcMar>
            <w:vAlign w:val="center"/>
          </w:tcPr>
          <w:p>
            <w:pPr>
              <w:widowControl/>
              <w:adjustRightInd w:val="0"/>
              <w:snapToGrid w:val="0"/>
              <w:rPr>
                <w:rFonts w:ascii="宋体" w:hAnsi="宋体" w:cs="仿宋_GB2312"/>
                <w:spacing w:val="7"/>
                <w:kern w:val="0"/>
                <w:szCs w:val="21"/>
              </w:rPr>
            </w:pPr>
            <w:r>
              <w:rPr>
                <w:rFonts w:ascii="宋体" w:hAnsi="宋体" w:cs="仿宋_GB2312"/>
                <w:spacing w:val="7"/>
                <w:kern w:val="0"/>
                <w:szCs w:val="21"/>
              </w:rPr>
              <w:t>有所优化</w:t>
            </w:r>
          </w:p>
        </w:tc>
        <w:tc>
          <w:tcPr>
            <w:tcW w:w="1224" w:type="dxa"/>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ascii="宋体" w:hAnsi="宋体" w:cs="仿宋_GB2312"/>
                <w:spacing w:val="7"/>
                <w:kern w:val="0"/>
                <w:szCs w:val="21"/>
              </w:rPr>
              <w:t>有所优化</w:t>
            </w:r>
          </w:p>
        </w:tc>
        <w:tc>
          <w:tcPr>
            <w:tcW w:w="795" w:type="dxa"/>
            <w:gridSpan w:val="2"/>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30</w:t>
            </w:r>
          </w:p>
        </w:tc>
        <w:tc>
          <w:tcPr>
            <w:tcW w:w="765" w:type="dxa"/>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30</w:t>
            </w:r>
          </w:p>
        </w:tc>
        <w:tc>
          <w:tcPr>
            <w:tcW w:w="1307" w:type="dxa"/>
            <w:gridSpan w:val="2"/>
            <w:shd w:val="clear" w:color="auto" w:fill="FFFFFF"/>
            <w:tcMar>
              <w:top w:w="0" w:type="dxa"/>
              <w:left w:w="105" w:type="dxa"/>
              <w:bottom w:w="0" w:type="dxa"/>
              <w:right w:w="105" w:type="dxa"/>
            </w:tcMar>
            <w:vAlign w:val="center"/>
          </w:tcPr>
          <w:p>
            <w:pPr>
              <w:widowControl/>
              <w:adjustRightInd w:val="0"/>
              <w:snapToGrid w:val="0"/>
              <w:rPr>
                <w:rFonts w:ascii="宋体" w:hAnsi="宋体" w:cs="仿宋_GB2312"/>
                <w:spacing w:val="7"/>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65" w:hRule="atLeast"/>
        </w:trPr>
        <w:tc>
          <w:tcPr>
            <w:tcW w:w="6098" w:type="dxa"/>
            <w:gridSpan w:val="8"/>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总分</w:t>
            </w:r>
          </w:p>
        </w:tc>
        <w:tc>
          <w:tcPr>
            <w:tcW w:w="795" w:type="dxa"/>
            <w:gridSpan w:val="2"/>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100</w:t>
            </w:r>
          </w:p>
        </w:tc>
        <w:tc>
          <w:tcPr>
            <w:tcW w:w="765" w:type="dxa"/>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100</w:t>
            </w:r>
          </w:p>
        </w:tc>
        <w:tc>
          <w:tcPr>
            <w:tcW w:w="1307" w:type="dxa"/>
            <w:gridSpan w:val="2"/>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428" w:hRule="atLeast"/>
        </w:trPr>
        <w:tc>
          <w:tcPr>
            <w:tcW w:w="1835" w:type="dxa"/>
            <w:gridSpan w:val="4"/>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spacing w:val="7"/>
                <w:kern w:val="0"/>
                <w:szCs w:val="21"/>
              </w:rPr>
              <w:t>自评结论</w:t>
            </w:r>
          </w:p>
        </w:tc>
        <w:tc>
          <w:tcPr>
            <w:tcW w:w="4263" w:type="dxa"/>
            <w:gridSpan w:val="4"/>
            <w:shd w:val="clear" w:color="auto" w:fill="FFFFFF"/>
            <w:tcMar>
              <w:top w:w="0" w:type="dxa"/>
              <w:left w:w="105" w:type="dxa"/>
              <w:bottom w:w="0" w:type="dxa"/>
              <w:right w:w="105" w:type="dxa"/>
            </w:tcMar>
            <w:vAlign w:val="center"/>
          </w:tcPr>
          <w:p>
            <w:pPr>
              <w:widowControl/>
              <w:adjustRightInd w:val="0"/>
              <w:snapToGrid w:val="0"/>
              <w:jc w:val="center"/>
              <w:rPr>
                <w:rFonts w:ascii="宋体" w:hAnsi="宋体" w:cs="仿宋_GB2312"/>
                <w:spacing w:val="7"/>
                <w:kern w:val="0"/>
                <w:szCs w:val="21"/>
              </w:rPr>
            </w:pPr>
            <w:r>
              <w:rPr>
                <w:rFonts w:hint="eastAsia" w:ascii="宋体" w:hAnsi="宋体" w:cs="仿宋_GB2312"/>
                <w:color w:val="000000"/>
                <w:kern w:val="0"/>
                <w:szCs w:val="21"/>
              </w:rPr>
              <w:t>优</w:t>
            </w:r>
            <w:r>
              <w:rPr>
                <w:rFonts w:hint="eastAsia" w:ascii="宋体" w:hAnsi="宋体" w:cs="仿宋_GB2312"/>
                <w:color w:val="000000"/>
                <w:kern w:val="0"/>
                <w:szCs w:val="21"/>
              </w:rPr>
              <w:sym w:font="Wingdings 2" w:char="F052"/>
            </w:r>
            <w:r>
              <w:rPr>
                <w:rFonts w:hint="eastAsia" w:ascii="宋体" w:hAnsi="宋体" w:cs="仿宋_GB2312"/>
                <w:color w:val="000000"/>
                <w:kern w:val="0"/>
                <w:szCs w:val="21"/>
              </w:rPr>
              <w:t xml:space="preserve">      良□      中□    差□</w:t>
            </w:r>
          </w:p>
        </w:tc>
        <w:tc>
          <w:tcPr>
            <w:tcW w:w="2867" w:type="dxa"/>
            <w:gridSpan w:val="5"/>
            <w:shd w:val="clear" w:color="auto" w:fill="FFFFFF"/>
            <w:tcMar>
              <w:top w:w="0" w:type="dxa"/>
              <w:left w:w="105" w:type="dxa"/>
              <w:bottom w:w="0" w:type="dxa"/>
              <w:right w:w="105" w:type="dxa"/>
            </w:tcMar>
            <w:vAlign w:val="center"/>
          </w:tcPr>
          <w:p>
            <w:pPr>
              <w:widowControl/>
              <w:adjustRightInd w:val="0"/>
              <w:snapToGrid w:val="0"/>
              <w:rPr>
                <w:rFonts w:ascii="宋体" w:hAnsi="宋体" w:cs="仿宋_GB2312"/>
                <w:spacing w:val="7"/>
                <w:kern w:val="0"/>
                <w:szCs w:val="21"/>
              </w:rPr>
            </w:pPr>
            <w:r>
              <w:rPr>
                <w:rFonts w:hint="eastAsia" w:ascii="宋体" w:hAnsi="宋体" w:cs="仿宋_GB2312"/>
                <w:color w:val="000000"/>
                <w:kern w:val="0"/>
                <w:szCs w:val="21"/>
              </w:rPr>
              <w:t>总分高于90分（含）的结论为“优”，90～80分（含）为“良”，80～60分（含）为“中”，低于60分为“差”。</w:t>
            </w:r>
          </w:p>
        </w:tc>
      </w:tr>
    </w:tbl>
    <w:p>
      <w:pPr>
        <w:pStyle w:val="2"/>
      </w:pPr>
    </w:p>
    <w:p>
      <w:p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3.财政评价项目绩效评价结果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p>
      <w:pPr>
        <w:numPr>
          <w:ilvl w:val="0"/>
          <w:numId w:val="1"/>
        </w:num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部门评价项目绩效评价结果</w:t>
      </w:r>
    </w:p>
    <w:p>
      <w:pPr>
        <w:spacing w:line="600" w:lineRule="atLeast"/>
        <w:ind w:firstLine="640"/>
      </w:pPr>
      <w:r>
        <w:rPr>
          <w:rFonts w:hint="eastAsia" w:ascii="仿宋" w:hAnsi="仿宋" w:eastAsia="仿宋" w:cs="仿宋"/>
          <w:kern w:val="0"/>
          <w:sz w:val="32"/>
          <w:szCs w:val="32"/>
        </w:rPr>
        <w:t>组织对本部门开展整体支出绩效评价试点，从评价情况来看，等次为良。</w:t>
      </w:r>
    </w:p>
    <w:tbl>
      <w:tblPr>
        <w:tblStyle w:val="6"/>
        <w:tblW w:w="96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
        <w:gridCol w:w="567"/>
        <w:gridCol w:w="1005"/>
        <w:gridCol w:w="708"/>
        <w:gridCol w:w="576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8" w:hRule="atLeast"/>
          <w:jc w:val="center"/>
        </w:trPr>
        <w:tc>
          <w:tcPr>
            <w:tcW w:w="481" w:type="dxa"/>
            <w:noWrap/>
            <w:vAlign w:val="center"/>
          </w:tcPr>
          <w:p>
            <w:pPr>
              <w:widowControl/>
              <w:spacing w:line="300" w:lineRule="exact"/>
              <w:jc w:val="center"/>
              <w:rPr>
                <w:rFonts w:ascii="宋体" w:hAnsi="宋体" w:eastAsia="宋体"/>
                <w:kern w:val="0"/>
                <w:szCs w:val="21"/>
              </w:rPr>
            </w:pPr>
            <w:r>
              <w:rPr>
                <w:rFonts w:hint="eastAsia" w:ascii="宋体" w:hAnsi="宋体" w:eastAsia="宋体"/>
                <w:kern w:val="0"/>
                <w:szCs w:val="21"/>
              </w:rPr>
              <w:t>一级指标</w:t>
            </w:r>
          </w:p>
        </w:tc>
        <w:tc>
          <w:tcPr>
            <w:tcW w:w="567" w:type="dxa"/>
            <w:noWrap/>
            <w:vAlign w:val="center"/>
          </w:tcPr>
          <w:p>
            <w:pPr>
              <w:widowControl/>
              <w:spacing w:line="300" w:lineRule="exact"/>
              <w:jc w:val="center"/>
              <w:rPr>
                <w:rFonts w:ascii="宋体" w:hAnsi="宋体" w:eastAsia="宋体"/>
                <w:kern w:val="0"/>
                <w:szCs w:val="21"/>
              </w:rPr>
            </w:pPr>
            <w:r>
              <w:rPr>
                <w:rFonts w:hint="eastAsia" w:ascii="宋体" w:hAnsi="宋体" w:eastAsia="宋体"/>
                <w:kern w:val="0"/>
                <w:szCs w:val="21"/>
              </w:rPr>
              <w:t>二级指标</w:t>
            </w:r>
          </w:p>
        </w:tc>
        <w:tc>
          <w:tcPr>
            <w:tcW w:w="1005" w:type="dxa"/>
            <w:noWrap/>
            <w:vAlign w:val="center"/>
          </w:tcPr>
          <w:p>
            <w:pPr>
              <w:widowControl/>
              <w:spacing w:line="300" w:lineRule="exact"/>
              <w:jc w:val="center"/>
              <w:rPr>
                <w:rFonts w:ascii="宋体" w:hAnsi="宋体" w:eastAsia="宋体"/>
                <w:kern w:val="0"/>
                <w:szCs w:val="21"/>
              </w:rPr>
            </w:pPr>
            <w:r>
              <w:rPr>
                <w:rFonts w:hint="eastAsia" w:ascii="宋体" w:hAnsi="宋体" w:eastAsia="宋体"/>
                <w:kern w:val="0"/>
                <w:szCs w:val="21"/>
              </w:rPr>
              <w:t>三级  指标</w:t>
            </w:r>
          </w:p>
        </w:tc>
        <w:tc>
          <w:tcPr>
            <w:tcW w:w="708" w:type="dxa"/>
            <w:noWrap/>
            <w:vAlign w:val="center"/>
          </w:tcPr>
          <w:p>
            <w:pPr>
              <w:widowControl/>
              <w:spacing w:line="300" w:lineRule="exact"/>
              <w:jc w:val="center"/>
              <w:rPr>
                <w:rFonts w:ascii="宋体" w:hAnsi="宋体" w:eastAsia="宋体"/>
                <w:kern w:val="0"/>
                <w:szCs w:val="21"/>
              </w:rPr>
            </w:pPr>
            <w:r>
              <w:rPr>
                <w:rFonts w:hint="eastAsia" w:ascii="宋体" w:hAnsi="宋体" w:eastAsia="宋体"/>
                <w:kern w:val="0"/>
                <w:szCs w:val="21"/>
              </w:rPr>
              <w:t>分值</w:t>
            </w:r>
          </w:p>
        </w:tc>
        <w:tc>
          <w:tcPr>
            <w:tcW w:w="5764" w:type="dxa"/>
            <w:noWrap/>
            <w:vAlign w:val="center"/>
          </w:tcPr>
          <w:p>
            <w:pPr>
              <w:widowControl/>
              <w:spacing w:line="300" w:lineRule="exact"/>
              <w:jc w:val="center"/>
              <w:rPr>
                <w:rFonts w:ascii="宋体" w:hAnsi="宋体" w:eastAsia="宋体"/>
                <w:kern w:val="0"/>
                <w:szCs w:val="21"/>
              </w:rPr>
            </w:pPr>
            <w:r>
              <w:rPr>
                <w:rFonts w:hint="eastAsia" w:ascii="宋体" w:hAnsi="宋体" w:eastAsia="宋体"/>
                <w:kern w:val="0"/>
                <w:szCs w:val="21"/>
              </w:rPr>
              <w:t>分析说明（包括得分理由、失分说明及原因分析）</w:t>
            </w:r>
          </w:p>
        </w:tc>
        <w:tc>
          <w:tcPr>
            <w:tcW w:w="1134" w:type="dxa"/>
            <w:noWrap/>
            <w:vAlign w:val="center"/>
          </w:tcPr>
          <w:p>
            <w:pPr>
              <w:widowControl/>
              <w:spacing w:line="300" w:lineRule="exact"/>
              <w:jc w:val="center"/>
              <w:rPr>
                <w:rFonts w:ascii="宋体" w:hAnsi="宋体" w:eastAsia="宋体"/>
                <w:kern w:val="0"/>
                <w:szCs w:val="21"/>
              </w:rPr>
            </w:pPr>
            <w:r>
              <w:rPr>
                <w:rFonts w:hint="eastAsia" w:ascii="宋体" w:hAnsi="宋体" w:eastAsia="宋体"/>
                <w:kern w:val="0"/>
                <w:szCs w:val="21"/>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8" w:hRule="atLeast"/>
          <w:jc w:val="center"/>
        </w:trPr>
        <w:tc>
          <w:tcPr>
            <w:tcW w:w="481" w:type="dxa"/>
            <w:vMerge w:val="restart"/>
            <w:noWrap/>
            <w:vAlign w:val="center"/>
          </w:tcPr>
          <w:p>
            <w:pPr>
              <w:widowControl/>
              <w:spacing w:line="300" w:lineRule="exact"/>
              <w:jc w:val="center"/>
              <w:rPr>
                <w:rFonts w:ascii="宋体" w:hAnsi="宋体" w:eastAsia="宋体"/>
                <w:kern w:val="0"/>
                <w:szCs w:val="21"/>
              </w:rPr>
            </w:pPr>
            <w:r>
              <w:rPr>
                <w:rFonts w:hint="eastAsia" w:ascii="宋体" w:hAnsi="宋体" w:eastAsia="宋体"/>
                <w:kern w:val="0"/>
                <w:szCs w:val="21"/>
              </w:rPr>
              <w:t>投   入</w:t>
            </w:r>
          </w:p>
        </w:tc>
        <w:tc>
          <w:tcPr>
            <w:tcW w:w="567" w:type="dxa"/>
            <w:vMerge w:val="restart"/>
            <w:noWrap/>
            <w:vAlign w:val="center"/>
          </w:tcPr>
          <w:p>
            <w:pPr>
              <w:widowControl/>
              <w:spacing w:line="300" w:lineRule="exact"/>
              <w:jc w:val="center"/>
              <w:rPr>
                <w:rFonts w:ascii="宋体" w:hAnsi="宋体" w:eastAsia="宋体"/>
                <w:kern w:val="0"/>
                <w:szCs w:val="21"/>
              </w:rPr>
            </w:pPr>
            <w:r>
              <w:rPr>
                <w:rFonts w:hint="eastAsia" w:ascii="宋体" w:hAnsi="宋体" w:eastAsia="宋体"/>
                <w:kern w:val="0"/>
                <w:szCs w:val="21"/>
              </w:rPr>
              <w:t>预算编制</w:t>
            </w:r>
          </w:p>
        </w:tc>
        <w:tc>
          <w:tcPr>
            <w:tcW w:w="1005" w:type="dxa"/>
            <w:noWrap/>
            <w:vAlign w:val="center"/>
          </w:tcPr>
          <w:p>
            <w:pPr>
              <w:spacing w:line="300" w:lineRule="exact"/>
              <w:jc w:val="center"/>
              <w:rPr>
                <w:rFonts w:ascii="宋体" w:hAnsi="宋体" w:eastAsia="宋体"/>
                <w:szCs w:val="21"/>
              </w:rPr>
            </w:pPr>
            <w:r>
              <w:rPr>
                <w:rFonts w:hint="eastAsia" w:ascii="宋体" w:hAnsi="宋体" w:eastAsia="宋体"/>
                <w:szCs w:val="21"/>
              </w:rPr>
              <w:t>整体绩效目标 设定</w:t>
            </w:r>
          </w:p>
        </w:tc>
        <w:tc>
          <w:tcPr>
            <w:tcW w:w="708" w:type="dxa"/>
            <w:noWrap/>
            <w:vAlign w:val="center"/>
          </w:tcPr>
          <w:p>
            <w:pPr>
              <w:spacing w:line="300" w:lineRule="exact"/>
              <w:jc w:val="center"/>
              <w:rPr>
                <w:rFonts w:ascii="宋体" w:hAnsi="宋体" w:eastAsia="宋体"/>
                <w:szCs w:val="21"/>
              </w:rPr>
            </w:pPr>
            <w:r>
              <w:rPr>
                <w:rFonts w:hint="eastAsia" w:ascii="宋体" w:hAnsi="宋体" w:eastAsia="宋体"/>
                <w:szCs w:val="21"/>
              </w:rPr>
              <w:t>5</w:t>
            </w:r>
          </w:p>
        </w:tc>
        <w:tc>
          <w:tcPr>
            <w:tcW w:w="5764" w:type="dxa"/>
            <w:noWrap/>
            <w:vAlign w:val="center"/>
          </w:tcPr>
          <w:p>
            <w:pPr>
              <w:spacing w:line="300" w:lineRule="exact"/>
              <w:rPr>
                <w:rFonts w:ascii="宋体" w:hAnsi="宋体" w:eastAsia="宋体"/>
                <w:kern w:val="0"/>
                <w:szCs w:val="21"/>
              </w:rPr>
            </w:pPr>
            <w:r>
              <w:rPr>
                <w:rFonts w:hint="eastAsia" w:ascii="宋体" w:hAnsi="宋体" w:eastAsia="宋体"/>
                <w:kern w:val="0"/>
                <w:szCs w:val="21"/>
              </w:rPr>
              <w:t>城西街道编制了2020年预算（草案），根据办事处的政府职能，提出了城西街道2020年的主要工作任务，并对每项支出预算安排进行了情况说明。设有整体绩效目标得2分，目标设定依据充分符合客观实际1分，目标清晰、细化1分，但是目标主要是定性描述，可衡量较差，得0.6分。</w:t>
            </w:r>
          </w:p>
        </w:tc>
        <w:tc>
          <w:tcPr>
            <w:tcW w:w="1134" w:type="dxa"/>
            <w:noWrap/>
            <w:vAlign w:val="center"/>
          </w:tcPr>
          <w:p>
            <w:pPr>
              <w:spacing w:line="300" w:lineRule="exact"/>
              <w:jc w:val="center"/>
              <w:rPr>
                <w:rFonts w:ascii="宋体" w:hAnsi="宋体" w:eastAsia="宋体"/>
                <w:kern w:val="0"/>
                <w:szCs w:val="21"/>
              </w:rPr>
            </w:pPr>
            <w:r>
              <w:rPr>
                <w:rFonts w:hint="eastAsia" w:ascii="宋体" w:hAnsi="宋体" w:eastAsia="宋体"/>
                <w:kern w:val="0"/>
                <w:szCs w:val="21"/>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481" w:type="dxa"/>
            <w:vMerge w:val="continue"/>
            <w:noWrap/>
            <w:vAlign w:val="center"/>
          </w:tcPr>
          <w:p>
            <w:pPr>
              <w:widowControl/>
              <w:spacing w:line="300" w:lineRule="exact"/>
              <w:jc w:val="center"/>
              <w:rPr>
                <w:rFonts w:ascii="宋体" w:hAnsi="宋体" w:eastAsia="宋体"/>
                <w:kern w:val="0"/>
                <w:szCs w:val="21"/>
              </w:rPr>
            </w:pPr>
          </w:p>
        </w:tc>
        <w:tc>
          <w:tcPr>
            <w:tcW w:w="567" w:type="dxa"/>
            <w:vMerge w:val="continue"/>
            <w:noWrap/>
            <w:vAlign w:val="center"/>
          </w:tcPr>
          <w:p>
            <w:pPr>
              <w:widowControl/>
              <w:spacing w:line="300" w:lineRule="exact"/>
              <w:jc w:val="center"/>
              <w:rPr>
                <w:rFonts w:ascii="宋体" w:hAnsi="宋体" w:eastAsia="宋体"/>
                <w:kern w:val="0"/>
                <w:szCs w:val="21"/>
              </w:rPr>
            </w:pPr>
          </w:p>
        </w:tc>
        <w:tc>
          <w:tcPr>
            <w:tcW w:w="1005" w:type="dxa"/>
            <w:noWrap/>
            <w:vAlign w:val="center"/>
          </w:tcPr>
          <w:p>
            <w:pPr>
              <w:spacing w:line="300" w:lineRule="exact"/>
              <w:jc w:val="center"/>
              <w:rPr>
                <w:rFonts w:ascii="宋体" w:hAnsi="宋体" w:eastAsia="宋体"/>
                <w:szCs w:val="21"/>
              </w:rPr>
            </w:pPr>
            <w:r>
              <w:rPr>
                <w:rFonts w:hint="eastAsia" w:ascii="宋体" w:hAnsi="宋体" w:eastAsia="宋体"/>
                <w:szCs w:val="21"/>
              </w:rPr>
              <w:t>项目绩效目标 设定</w:t>
            </w:r>
          </w:p>
        </w:tc>
        <w:tc>
          <w:tcPr>
            <w:tcW w:w="708" w:type="dxa"/>
            <w:noWrap/>
            <w:vAlign w:val="center"/>
          </w:tcPr>
          <w:p>
            <w:pPr>
              <w:spacing w:line="300" w:lineRule="exact"/>
              <w:jc w:val="center"/>
              <w:rPr>
                <w:rFonts w:ascii="宋体" w:hAnsi="宋体" w:eastAsia="宋体"/>
                <w:szCs w:val="21"/>
              </w:rPr>
            </w:pPr>
            <w:r>
              <w:rPr>
                <w:rFonts w:hint="eastAsia" w:ascii="宋体" w:hAnsi="宋体" w:eastAsia="宋体"/>
                <w:szCs w:val="21"/>
              </w:rPr>
              <w:t>3</w:t>
            </w:r>
          </w:p>
        </w:tc>
        <w:tc>
          <w:tcPr>
            <w:tcW w:w="5764" w:type="dxa"/>
            <w:noWrap/>
            <w:vAlign w:val="center"/>
          </w:tcPr>
          <w:p>
            <w:pPr>
              <w:spacing w:line="300" w:lineRule="exact"/>
              <w:rPr>
                <w:rFonts w:ascii="宋体" w:hAnsi="宋体" w:eastAsia="宋体"/>
                <w:kern w:val="0"/>
                <w:szCs w:val="21"/>
              </w:rPr>
            </w:pPr>
            <w:r>
              <w:rPr>
                <w:rFonts w:hint="eastAsia" w:ascii="宋体" w:hAnsi="宋体" w:eastAsia="宋体"/>
                <w:kern w:val="0"/>
                <w:szCs w:val="21"/>
              </w:rPr>
              <w:t>城西街道编制了2020年预算（草案），在附表5</w:t>
            </w:r>
            <w:r>
              <w:rPr>
                <w:rFonts w:hint="eastAsia" w:ascii="宋体" w:hAnsi="宋体" w:eastAsia="宋体"/>
                <w:szCs w:val="21"/>
              </w:rPr>
              <w:t>中</w:t>
            </w:r>
            <w:r>
              <w:rPr>
                <w:rFonts w:hint="eastAsia" w:ascii="宋体" w:hAnsi="宋体" w:eastAsia="宋体"/>
                <w:kern w:val="0"/>
                <w:szCs w:val="21"/>
              </w:rPr>
              <w:t>2020年部门预算项目绩效目标表中均设有绩效目标，得1分；每项目标预算均有测算依据，设定科学合理、有细化，但是存在部分目标设定不够明确和量化，比如建设类项目未明确说明预算的明细，数字描述较少，得1.5分。</w:t>
            </w:r>
          </w:p>
        </w:tc>
        <w:tc>
          <w:tcPr>
            <w:tcW w:w="1134" w:type="dxa"/>
            <w:noWrap/>
            <w:vAlign w:val="center"/>
          </w:tcPr>
          <w:p>
            <w:pPr>
              <w:spacing w:line="300" w:lineRule="exact"/>
              <w:jc w:val="center"/>
              <w:rPr>
                <w:rFonts w:ascii="宋体" w:hAnsi="宋体" w:eastAsia="宋体"/>
                <w:kern w:val="0"/>
                <w:szCs w:val="21"/>
              </w:rPr>
            </w:pPr>
            <w:r>
              <w:rPr>
                <w:rFonts w:hint="eastAsia" w:ascii="宋体" w:hAnsi="宋体" w:eastAsia="宋体"/>
                <w:kern w:val="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8" w:hRule="atLeast"/>
          <w:jc w:val="center"/>
        </w:trPr>
        <w:tc>
          <w:tcPr>
            <w:tcW w:w="481" w:type="dxa"/>
            <w:vMerge w:val="continue"/>
            <w:noWrap/>
            <w:vAlign w:val="center"/>
          </w:tcPr>
          <w:p>
            <w:pPr>
              <w:widowControl/>
              <w:spacing w:line="300" w:lineRule="exact"/>
              <w:jc w:val="center"/>
              <w:rPr>
                <w:rFonts w:ascii="宋体" w:hAnsi="宋体" w:eastAsia="宋体"/>
                <w:kern w:val="0"/>
                <w:szCs w:val="21"/>
              </w:rPr>
            </w:pPr>
          </w:p>
        </w:tc>
        <w:tc>
          <w:tcPr>
            <w:tcW w:w="567" w:type="dxa"/>
            <w:vMerge w:val="restart"/>
            <w:noWrap/>
            <w:vAlign w:val="center"/>
          </w:tcPr>
          <w:p>
            <w:pPr>
              <w:widowControl/>
              <w:spacing w:line="300" w:lineRule="exact"/>
              <w:jc w:val="center"/>
              <w:rPr>
                <w:rFonts w:ascii="宋体" w:hAnsi="宋体" w:eastAsia="宋体"/>
                <w:kern w:val="0"/>
                <w:szCs w:val="21"/>
              </w:rPr>
            </w:pPr>
            <w:r>
              <w:rPr>
                <w:rFonts w:hint="eastAsia" w:ascii="宋体" w:hAnsi="宋体" w:eastAsia="宋体"/>
                <w:kern w:val="0"/>
                <w:szCs w:val="21"/>
              </w:rPr>
              <w:t>预算配置</w:t>
            </w:r>
          </w:p>
        </w:tc>
        <w:tc>
          <w:tcPr>
            <w:tcW w:w="1005" w:type="dxa"/>
            <w:noWrap/>
            <w:vAlign w:val="center"/>
          </w:tcPr>
          <w:p>
            <w:pPr>
              <w:spacing w:line="300" w:lineRule="exact"/>
              <w:jc w:val="center"/>
              <w:rPr>
                <w:rFonts w:ascii="宋体" w:hAnsi="宋体" w:eastAsia="宋体"/>
                <w:szCs w:val="21"/>
              </w:rPr>
            </w:pPr>
            <w:r>
              <w:rPr>
                <w:rFonts w:hint="eastAsia" w:ascii="宋体" w:hAnsi="宋体" w:eastAsia="宋体"/>
                <w:szCs w:val="21"/>
              </w:rPr>
              <w:t>在职人员控制率</w:t>
            </w:r>
          </w:p>
        </w:tc>
        <w:tc>
          <w:tcPr>
            <w:tcW w:w="708" w:type="dxa"/>
            <w:noWrap/>
            <w:vAlign w:val="center"/>
          </w:tcPr>
          <w:p>
            <w:pPr>
              <w:spacing w:line="300" w:lineRule="exact"/>
              <w:jc w:val="center"/>
              <w:rPr>
                <w:rFonts w:ascii="宋体" w:hAnsi="宋体" w:eastAsia="宋体"/>
                <w:szCs w:val="21"/>
              </w:rPr>
            </w:pPr>
            <w:r>
              <w:rPr>
                <w:rFonts w:hint="eastAsia" w:ascii="宋体" w:hAnsi="宋体" w:eastAsia="宋体"/>
                <w:szCs w:val="21"/>
              </w:rPr>
              <w:t>3</w:t>
            </w:r>
          </w:p>
        </w:tc>
        <w:tc>
          <w:tcPr>
            <w:tcW w:w="5764" w:type="dxa"/>
            <w:noWrap/>
            <w:vAlign w:val="center"/>
          </w:tcPr>
          <w:p>
            <w:pPr>
              <w:spacing w:line="240" w:lineRule="exact"/>
              <w:jc w:val="left"/>
              <w:rPr>
                <w:rFonts w:ascii="宋体" w:hAnsi="宋体" w:eastAsia="宋体"/>
                <w:szCs w:val="21"/>
              </w:rPr>
            </w:pPr>
            <w:r>
              <w:rPr>
                <w:rFonts w:hint="eastAsia" w:ascii="宋体" w:hAnsi="宋体" w:eastAsia="宋体"/>
                <w:szCs w:val="21"/>
              </w:rPr>
              <w:t>在职人员控制率=[在职人员数/编制数]×100%=125/119×100%=105.04%，结果</w:t>
            </w:r>
            <w:r>
              <w:rPr>
                <w:rFonts w:hint="eastAsia" w:ascii="宋体" w:hAnsi="宋体" w:eastAsia="宋体"/>
                <w:kern w:val="0"/>
                <w:szCs w:val="21"/>
              </w:rPr>
              <w:t>＞100%</w:t>
            </w:r>
            <w:r>
              <w:rPr>
                <w:rFonts w:hint="eastAsia" w:ascii="宋体" w:hAnsi="宋体" w:eastAsia="宋体"/>
                <w:szCs w:val="21"/>
              </w:rPr>
              <w:t>得0分。其中：核定编制人数119人（行政24、事业29、临时工66）；实有在职人数125人（行政29、事业33、临时工63）。</w:t>
            </w:r>
          </w:p>
        </w:tc>
        <w:tc>
          <w:tcPr>
            <w:tcW w:w="1134" w:type="dxa"/>
            <w:noWrap/>
            <w:vAlign w:val="center"/>
          </w:tcPr>
          <w:p>
            <w:pPr>
              <w:spacing w:line="300" w:lineRule="exact"/>
              <w:jc w:val="center"/>
              <w:rPr>
                <w:rFonts w:ascii="宋体" w:hAnsi="宋体" w:eastAsia="宋体"/>
                <w:szCs w:val="21"/>
              </w:rPr>
            </w:pPr>
            <w:r>
              <w:rPr>
                <w:rFonts w:hint="eastAsia" w:ascii="宋体" w:hAnsi="宋体" w:eastAsia="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1" w:hRule="atLeast"/>
          <w:jc w:val="center"/>
        </w:trPr>
        <w:tc>
          <w:tcPr>
            <w:tcW w:w="481" w:type="dxa"/>
            <w:vMerge w:val="continue"/>
            <w:noWrap/>
            <w:vAlign w:val="center"/>
          </w:tcPr>
          <w:p>
            <w:pPr>
              <w:widowControl/>
              <w:spacing w:line="300" w:lineRule="exact"/>
              <w:jc w:val="center"/>
              <w:rPr>
                <w:rFonts w:ascii="宋体" w:hAnsi="宋体" w:eastAsia="宋体"/>
                <w:kern w:val="0"/>
                <w:szCs w:val="21"/>
              </w:rPr>
            </w:pPr>
          </w:p>
        </w:tc>
        <w:tc>
          <w:tcPr>
            <w:tcW w:w="567" w:type="dxa"/>
            <w:vMerge w:val="continue"/>
            <w:noWrap/>
            <w:vAlign w:val="center"/>
          </w:tcPr>
          <w:p>
            <w:pPr>
              <w:widowControl/>
              <w:spacing w:line="300" w:lineRule="exact"/>
              <w:jc w:val="center"/>
              <w:rPr>
                <w:rFonts w:ascii="宋体" w:hAnsi="宋体" w:eastAsia="宋体"/>
                <w:kern w:val="0"/>
                <w:szCs w:val="21"/>
              </w:rPr>
            </w:pPr>
          </w:p>
        </w:tc>
        <w:tc>
          <w:tcPr>
            <w:tcW w:w="1005" w:type="dxa"/>
            <w:noWrap/>
            <w:vAlign w:val="center"/>
          </w:tcPr>
          <w:p>
            <w:pPr>
              <w:widowControl/>
              <w:spacing w:line="300" w:lineRule="exact"/>
              <w:jc w:val="center"/>
              <w:rPr>
                <w:rFonts w:ascii="宋体" w:hAnsi="宋体" w:eastAsia="宋体"/>
                <w:kern w:val="0"/>
                <w:szCs w:val="21"/>
              </w:rPr>
            </w:pPr>
            <w:r>
              <w:rPr>
                <w:rFonts w:hint="eastAsia" w:ascii="宋体" w:hAnsi="宋体" w:eastAsia="宋体"/>
                <w:kern w:val="0"/>
                <w:szCs w:val="21"/>
              </w:rPr>
              <w:t>重点项目预算保障率</w:t>
            </w:r>
          </w:p>
        </w:tc>
        <w:tc>
          <w:tcPr>
            <w:tcW w:w="708" w:type="dxa"/>
            <w:noWrap/>
            <w:vAlign w:val="center"/>
          </w:tcPr>
          <w:p>
            <w:pPr>
              <w:widowControl/>
              <w:spacing w:line="300" w:lineRule="exact"/>
              <w:jc w:val="center"/>
              <w:rPr>
                <w:rFonts w:ascii="宋体" w:hAnsi="宋体" w:eastAsia="宋体"/>
                <w:kern w:val="0"/>
                <w:szCs w:val="21"/>
              </w:rPr>
            </w:pPr>
            <w:r>
              <w:rPr>
                <w:rFonts w:hint="eastAsia" w:ascii="宋体" w:hAnsi="宋体" w:eastAsia="宋体"/>
                <w:kern w:val="0"/>
                <w:szCs w:val="21"/>
              </w:rPr>
              <w:t>4</w:t>
            </w:r>
          </w:p>
        </w:tc>
        <w:tc>
          <w:tcPr>
            <w:tcW w:w="5764" w:type="dxa"/>
            <w:noWrap/>
            <w:vAlign w:val="center"/>
          </w:tcPr>
          <w:p>
            <w:pPr>
              <w:widowControl/>
              <w:spacing w:line="300" w:lineRule="exact"/>
              <w:jc w:val="left"/>
              <w:rPr>
                <w:rFonts w:ascii="宋体" w:hAnsi="宋体" w:eastAsia="宋体"/>
                <w:kern w:val="0"/>
                <w:szCs w:val="21"/>
              </w:rPr>
            </w:pPr>
            <w:r>
              <w:rPr>
                <w:rFonts w:hint="eastAsia" w:ascii="宋体" w:hAnsi="宋体" w:eastAsia="宋体"/>
                <w:kern w:val="0"/>
                <w:szCs w:val="21"/>
              </w:rPr>
              <w:t>重点项目预算保障率=（重点项目预算/项目总预算）×100%=2060.06/3386.46×100%=60.83%，得2分。</w:t>
            </w:r>
          </w:p>
          <w:p>
            <w:pPr>
              <w:widowControl/>
              <w:spacing w:line="300" w:lineRule="exact"/>
              <w:jc w:val="left"/>
              <w:rPr>
                <w:rFonts w:ascii="宋体" w:hAnsi="宋体" w:eastAsia="宋体"/>
                <w:kern w:val="0"/>
                <w:szCs w:val="21"/>
              </w:rPr>
            </w:pPr>
            <w:r>
              <w:rPr>
                <w:rFonts w:hint="eastAsia" w:ascii="宋体" w:hAnsi="宋体" w:eastAsia="宋体"/>
                <w:kern w:val="0"/>
                <w:szCs w:val="21"/>
              </w:rPr>
              <w:t>说明：重点项目为预算50万及以上的项目（不包括人员经费），共16个，预算金额1788.66万元；项目总预算不包括民政类下拨资金。</w:t>
            </w:r>
          </w:p>
        </w:tc>
        <w:tc>
          <w:tcPr>
            <w:tcW w:w="1134" w:type="dxa"/>
            <w:noWrap/>
            <w:vAlign w:val="center"/>
          </w:tcPr>
          <w:p>
            <w:pPr>
              <w:widowControl/>
              <w:spacing w:line="300" w:lineRule="exact"/>
              <w:jc w:val="center"/>
              <w:rPr>
                <w:rFonts w:ascii="宋体" w:hAnsi="宋体" w:eastAsia="宋体"/>
                <w:kern w:val="0"/>
                <w:szCs w:val="21"/>
              </w:rPr>
            </w:pPr>
            <w:r>
              <w:rPr>
                <w:rFonts w:hint="eastAsia" w:ascii="宋体" w:hAnsi="宋体" w:eastAsia="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481" w:type="dxa"/>
            <w:vMerge w:val="restart"/>
            <w:noWrap/>
            <w:vAlign w:val="center"/>
          </w:tcPr>
          <w:p>
            <w:pPr>
              <w:widowControl/>
              <w:spacing w:line="300" w:lineRule="exact"/>
              <w:jc w:val="center"/>
              <w:rPr>
                <w:rFonts w:ascii="宋体" w:hAnsi="宋体" w:eastAsia="宋体"/>
                <w:kern w:val="0"/>
                <w:szCs w:val="21"/>
              </w:rPr>
            </w:pPr>
            <w:r>
              <w:rPr>
                <w:rFonts w:hint="eastAsia" w:ascii="宋体" w:hAnsi="宋体" w:eastAsia="宋体"/>
                <w:kern w:val="0"/>
                <w:szCs w:val="21"/>
              </w:rPr>
              <w:t>过程</w:t>
            </w:r>
          </w:p>
        </w:tc>
        <w:tc>
          <w:tcPr>
            <w:tcW w:w="1572" w:type="dxa"/>
            <w:gridSpan w:val="2"/>
            <w:noWrap/>
            <w:vAlign w:val="center"/>
          </w:tcPr>
          <w:p>
            <w:pPr>
              <w:widowControl/>
              <w:adjustRightInd w:val="0"/>
              <w:snapToGrid w:val="0"/>
              <w:jc w:val="center"/>
              <w:textAlignment w:val="center"/>
              <w:rPr>
                <w:rFonts w:ascii="宋体" w:hAnsi="宋体" w:eastAsia="宋体" w:cs="仿宋_GB2312"/>
                <w:color w:val="000000"/>
                <w:szCs w:val="21"/>
              </w:rPr>
            </w:pPr>
            <w:r>
              <w:rPr>
                <w:rFonts w:hint="eastAsia" w:ascii="宋体" w:hAnsi="宋体" w:eastAsia="宋体" w:cs="仿宋_GB2312"/>
                <w:color w:val="000000"/>
                <w:kern w:val="0"/>
                <w:szCs w:val="21"/>
              </w:rPr>
              <w:t>管理制度健全有效</w:t>
            </w:r>
          </w:p>
        </w:tc>
        <w:tc>
          <w:tcPr>
            <w:tcW w:w="708" w:type="dxa"/>
            <w:noWrap/>
            <w:vAlign w:val="center"/>
          </w:tcPr>
          <w:p>
            <w:pPr>
              <w:spacing w:line="300" w:lineRule="exact"/>
              <w:jc w:val="center"/>
              <w:rPr>
                <w:rFonts w:ascii="宋体" w:hAnsi="宋体" w:eastAsia="宋体"/>
                <w:szCs w:val="21"/>
              </w:rPr>
            </w:pPr>
            <w:r>
              <w:rPr>
                <w:rFonts w:hint="eastAsia" w:ascii="宋体" w:hAnsi="宋体" w:eastAsia="宋体"/>
                <w:szCs w:val="21"/>
              </w:rPr>
              <w:t>4</w:t>
            </w:r>
          </w:p>
        </w:tc>
        <w:tc>
          <w:tcPr>
            <w:tcW w:w="5764" w:type="dxa"/>
            <w:noWrap/>
            <w:vAlign w:val="center"/>
          </w:tcPr>
          <w:p>
            <w:pPr>
              <w:spacing w:line="300" w:lineRule="exact"/>
              <w:jc w:val="left"/>
              <w:rPr>
                <w:rFonts w:ascii="宋体" w:hAnsi="宋体" w:eastAsia="宋体"/>
                <w:szCs w:val="21"/>
              </w:rPr>
            </w:pPr>
            <w:r>
              <w:rPr>
                <w:rFonts w:hint="eastAsia" w:ascii="宋体" w:hAnsi="宋体" w:eastAsia="宋体"/>
                <w:szCs w:val="21"/>
              </w:rPr>
              <w:t>城西街道</w:t>
            </w:r>
            <w:r>
              <w:rPr>
                <w:rFonts w:hint="eastAsia" w:ascii="宋体" w:hAnsi="宋体" w:eastAsia="宋体" w:cs="Times New Roman"/>
                <w:szCs w:val="21"/>
              </w:rPr>
              <w:t>建立了较完善的内部控制制度，出台了《城西街道财政财务管理制度》，其中包括了</w:t>
            </w:r>
            <w:r>
              <w:rPr>
                <w:rFonts w:hint="eastAsia" w:ascii="宋体" w:hAnsi="宋体" w:eastAsia="宋体"/>
                <w:szCs w:val="21"/>
              </w:rPr>
              <w:t>预算资金管理办法、内部控制管理制度、全面实施预算绩效管理相关制度、会计核算制度。在实际工作中得到了较有效执行，上年单位内控总体运行情况评价为中，扣1分，共得3分。</w:t>
            </w:r>
          </w:p>
        </w:tc>
        <w:tc>
          <w:tcPr>
            <w:tcW w:w="1134" w:type="dxa"/>
            <w:noWrap/>
            <w:vAlign w:val="center"/>
          </w:tcPr>
          <w:p>
            <w:pPr>
              <w:spacing w:line="300" w:lineRule="exact"/>
              <w:ind w:left="105" w:hanging="105" w:hangingChars="50"/>
              <w:jc w:val="center"/>
              <w:rPr>
                <w:rFonts w:ascii="宋体" w:hAnsi="宋体" w:eastAsia="宋体"/>
                <w:kern w:val="0"/>
                <w:szCs w:val="21"/>
              </w:rPr>
            </w:pPr>
            <w:r>
              <w:rPr>
                <w:rFonts w:hint="eastAsia" w:ascii="宋体" w:hAnsi="宋体" w:eastAsia="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atLeast"/>
          <w:jc w:val="center"/>
        </w:trPr>
        <w:tc>
          <w:tcPr>
            <w:tcW w:w="481" w:type="dxa"/>
            <w:vMerge w:val="continue"/>
            <w:noWrap/>
            <w:vAlign w:val="center"/>
          </w:tcPr>
          <w:p>
            <w:pPr>
              <w:widowControl/>
              <w:spacing w:line="300" w:lineRule="exact"/>
              <w:jc w:val="center"/>
              <w:rPr>
                <w:rFonts w:ascii="宋体" w:hAnsi="宋体" w:eastAsia="宋体"/>
                <w:kern w:val="0"/>
                <w:szCs w:val="21"/>
              </w:rPr>
            </w:pPr>
          </w:p>
        </w:tc>
        <w:tc>
          <w:tcPr>
            <w:tcW w:w="567" w:type="dxa"/>
            <w:vMerge w:val="restart"/>
            <w:noWrap/>
            <w:vAlign w:val="center"/>
          </w:tcPr>
          <w:p>
            <w:pPr>
              <w:widowControl/>
              <w:spacing w:line="300" w:lineRule="exact"/>
              <w:jc w:val="center"/>
              <w:rPr>
                <w:rFonts w:ascii="宋体" w:hAnsi="宋体" w:eastAsia="宋体"/>
                <w:kern w:val="0"/>
                <w:szCs w:val="21"/>
              </w:rPr>
            </w:pPr>
            <w:r>
              <w:rPr>
                <w:rFonts w:hint="eastAsia" w:ascii="宋体" w:hAnsi="宋体" w:eastAsia="宋体" w:cs="仿宋_GB2312"/>
                <w:color w:val="000000"/>
                <w:kern w:val="0"/>
                <w:szCs w:val="21"/>
              </w:rPr>
              <w:t>合规相符性</w:t>
            </w:r>
          </w:p>
        </w:tc>
        <w:tc>
          <w:tcPr>
            <w:tcW w:w="1005" w:type="dxa"/>
            <w:noWrap/>
            <w:vAlign w:val="center"/>
          </w:tcPr>
          <w:p>
            <w:pPr>
              <w:spacing w:line="360" w:lineRule="exact"/>
              <w:jc w:val="center"/>
              <w:rPr>
                <w:rFonts w:ascii="宋体" w:hAnsi="宋体" w:eastAsia="宋体"/>
                <w:szCs w:val="21"/>
              </w:rPr>
            </w:pPr>
            <w:r>
              <w:rPr>
                <w:rFonts w:hint="eastAsia" w:ascii="宋体" w:hAnsi="宋体" w:eastAsia="宋体"/>
                <w:szCs w:val="21"/>
              </w:rPr>
              <w:t>支出合规</w:t>
            </w:r>
          </w:p>
        </w:tc>
        <w:tc>
          <w:tcPr>
            <w:tcW w:w="708" w:type="dxa"/>
            <w:noWrap/>
            <w:vAlign w:val="center"/>
          </w:tcPr>
          <w:p>
            <w:pPr>
              <w:spacing w:line="300" w:lineRule="exact"/>
              <w:jc w:val="center"/>
              <w:rPr>
                <w:rFonts w:ascii="宋体" w:hAnsi="宋体" w:eastAsia="宋体"/>
                <w:szCs w:val="21"/>
              </w:rPr>
            </w:pPr>
            <w:r>
              <w:rPr>
                <w:rFonts w:hint="eastAsia" w:ascii="宋体" w:hAnsi="宋体" w:eastAsia="宋体"/>
                <w:szCs w:val="21"/>
              </w:rPr>
              <w:t>3</w:t>
            </w:r>
          </w:p>
        </w:tc>
        <w:tc>
          <w:tcPr>
            <w:tcW w:w="5764" w:type="dxa"/>
            <w:noWrap/>
            <w:vAlign w:val="center"/>
          </w:tcPr>
          <w:p>
            <w:pPr>
              <w:spacing w:line="300" w:lineRule="exact"/>
              <w:jc w:val="left"/>
              <w:rPr>
                <w:rFonts w:ascii="宋体" w:hAnsi="宋体" w:eastAsia="宋体"/>
                <w:szCs w:val="21"/>
              </w:rPr>
            </w:pPr>
            <w:r>
              <w:rPr>
                <w:rFonts w:hint="eastAsia" w:ascii="宋体" w:hAnsi="宋体" w:eastAsia="宋体"/>
                <w:kern w:val="0"/>
                <w:szCs w:val="21"/>
              </w:rPr>
              <w:t>部门预算资金使用符合国家财经法规和</w:t>
            </w:r>
            <w:r>
              <w:rPr>
                <w:rFonts w:hint="eastAsia" w:ascii="宋体" w:hAnsi="宋体" w:eastAsia="宋体"/>
                <w:szCs w:val="21"/>
              </w:rPr>
              <w:t>《城西街道财政财务管理制度》</w:t>
            </w:r>
            <w:r>
              <w:rPr>
                <w:rFonts w:hint="eastAsia" w:ascii="宋体" w:hAnsi="宋体" w:eastAsia="宋体"/>
                <w:kern w:val="0"/>
                <w:szCs w:val="21"/>
              </w:rPr>
              <w:t>；资金的拨付有完整的审批程序和手续；不存在截留、挤占、挪用、虚列支出等情况，得3分。</w:t>
            </w:r>
          </w:p>
        </w:tc>
        <w:tc>
          <w:tcPr>
            <w:tcW w:w="1134" w:type="dxa"/>
            <w:noWrap/>
            <w:vAlign w:val="center"/>
          </w:tcPr>
          <w:p>
            <w:pPr>
              <w:spacing w:line="300" w:lineRule="exact"/>
              <w:ind w:left="105" w:hanging="105" w:hangingChars="50"/>
              <w:jc w:val="center"/>
              <w:rPr>
                <w:rFonts w:ascii="宋体" w:hAnsi="宋体" w:eastAsia="宋体"/>
                <w:szCs w:val="21"/>
              </w:rPr>
            </w:pPr>
            <w:r>
              <w:rPr>
                <w:rFonts w:hint="eastAsia" w:ascii="宋体" w:hAnsi="宋体" w:eastAsia="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jc w:val="center"/>
        </w:trPr>
        <w:tc>
          <w:tcPr>
            <w:tcW w:w="481" w:type="dxa"/>
            <w:vMerge w:val="continue"/>
            <w:noWrap/>
            <w:vAlign w:val="center"/>
          </w:tcPr>
          <w:p>
            <w:pPr>
              <w:widowControl/>
              <w:spacing w:line="300" w:lineRule="exact"/>
              <w:jc w:val="center"/>
              <w:rPr>
                <w:rFonts w:ascii="宋体" w:hAnsi="宋体" w:eastAsia="宋体"/>
                <w:kern w:val="0"/>
                <w:szCs w:val="21"/>
              </w:rPr>
            </w:pPr>
          </w:p>
        </w:tc>
        <w:tc>
          <w:tcPr>
            <w:tcW w:w="567" w:type="dxa"/>
            <w:vMerge w:val="continue"/>
            <w:noWrap/>
            <w:vAlign w:val="center"/>
          </w:tcPr>
          <w:p>
            <w:pPr>
              <w:widowControl/>
              <w:spacing w:line="300" w:lineRule="exact"/>
              <w:jc w:val="center"/>
              <w:rPr>
                <w:rFonts w:ascii="宋体" w:hAnsi="宋体" w:eastAsia="宋体"/>
                <w:kern w:val="0"/>
                <w:szCs w:val="21"/>
              </w:rPr>
            </w:pPr>
          </w:p>
        </w:tc>
        <w:tc>
          <w:tcPr>
            <w:tcW w:w="1005" w:type="dxa"/>
            <w:noWrap/>
            <w:vAlign w:val="center"/>
          </w:tcPr>
          <w:p>
            <w:pPr>
              <w:spacing w:line="360" w:lineRule="exact"/>
              <w:jc w:val="center"/>
              <w:rPr>
                <w:rFonts w:ascii="宋体" w:hAnsi="宋体" w:eastAsia="宋体"/>
                <w:szCs w:val="21"/>
              </w:rPr>
            </w:pPr>
            <w:r>
              <w:rPr>
                <w:rFonts w:hint="eastAsia" w:ascii="宋体" w:hAnsi="宋体" w:eastAsia="宋体"/>
                <w:szCs w:val="21"/>
              </w:rPr>
              <w:t>支出相符性</w:t>
            </w:r>
          </w:p>
        </w:tc>
        <w:tc>
          <w:tcPr>
            <w:tcW w:w="708" w:type="dxa"/>
            <w:noWrap/>
            <w:vAlign w:val="center"/>
          </w:tcPr>
          <w:p>
            <w:pPr>
              <w:spacing w:line="300" w:lineRule="exact"/>
              <w:jc w:val="center"/>
              <w:rPr>
                <w:rFonts w:ascii="宋体" w:hAnsi="宋体" w:eastAsia="宋体"/>
                <w:szCs w:val="21"/>
              </w:rPr>
            </w:pPr>
            <w:r>
              <w:rPr>
                <w:rFonts w:hint="eastAsia" w:ascii="宋体" w:hAnsi="宋体" w:eastAsia="宋体"/>
                <w:szCs w:val="21"/>
              </w:rPr>
              <w:t>3</w:t>
            </w:r>
          </w:p>
        </w:tc>
        <w:tc>
          <w:tcPr>
            <w:tcW w:w="5764" w:type="dxa"/>
            <w:noWrap/>
            <w:vAlign w:val="center"/>
          </w:tcPr>
          <w:p>
            <w:pPr>
              <w:spacing w:line="300" w:lineRule="exact"/>
              <w:jc w:val="left"/>
              <w:rPr>
                <w:rFonts w:ascii="宋体" w:hAnsi="宋体" w:eastAsia="宋体"/>
                <w:spacing w:val="-10"/>
                <w:kern w:val="0"/>
                <w:szCs w:val="21"/>
              </w:rPr>
            </w:pPr>
            <w:r>
              <w:rPr>
                <w:rFonts w:hint="eastAsia" w:ascii="宋体" w:hAnsi="宋体" w:eastAsia="宋体"/>
                <w:spacing w:val="-10"/>
                <w:kern w:val="0"/>
                <w:szCs w:val="21"/>
              </w:rPr>
              <w:t>部门预算资金使用与批准的预算及其预算内容相符合，得3分。</w:t>
            </w:r>
          </w:p>
        </w:tc>
        <w:tc>
          <w:tcPr>
            <w:tcW w:w="1134" w:type="dxa"/>
            <w:noWrap/>
            <w:vAlign w:val="center"/>
          </w:tcPr>
          <w:p>
            <w:pPr>
              <w:spacing w:line="300" w:lineRule="exact"/>
              <w:jc w:val="center"/>
              <w:rPr>
                <w:rFonts w:ascii="宋体" w:hAnsi="宋体" w:eastAsia="宋体"/>
                <w:kern w:val="0"/>
                <w:szCs w:val="21"/>
              </w:rPr>
            </w:pPr>
            <w:r>
              <w:rPr>
                <w:rFonts w:hint="eastAsia" w:ascii="宋体" w:hAnsi="宋体" w:eastAsia="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481" w:type="dxa"/>
            <w:vMerge w:val="continue"/>
            <w:noWrap/>
            <w:vAlign w:val="center"/>
          </w:tcPr>
          <w:p>
            <w:pPr>
              <w:widowControl/>
              <w:spacing w:line="300" w:lineRule="exact"/>
              <w:jc w:val="center"/>
              <w:rPr>
                <w:rFonts w:ascii="宋体" w:hAnsi="宋体" w:eastAsia="宋体"/>
                <w:kern w:val="0"/>
                <w:szCs w:val="21"/>
              </w:rPr>
            </w:pPr>
          </w:p>
        </w:tc>
        <w:tc>
          <w:tcPr>
            <w:tcW w:w="567" w:type="dxa"/>
            <w:vMerge w:val="restart"/>
            <w:noWrap/>
            <w:vAlign w:val="center"/>
          </w:tcPr>
          <w:p>
            <w:pPr>
              <w:spacing w:line="300" w:lineRule="exact"/>
              <w:jc w:val="left"/>
              <w:rPr>
                <w:rFonts w:ascii="宋体" w:hAnsi="宋体" w:eastAsia="宋体"/>
                <w:kern w:val="0"/>
                <w:szCs w:val="21"/>
              </w:rPr>
            </w:pPr>
            <w:r>
              <w:rPr>
                <w:rFonts w:hint="eastAsia" w:ascii="宋体" w:hAnsi="宋体" w:eastAsia="宋体"/>
                <w:kern w:val="0"/>
                <w:szCs w:val="21"/>
              </w:rPr>
              <w:t>管理效率</w:t>
            </w:r>
          </w:p>
        </w:tc>
        <w:tc>
          <w:tcPr>
            <w:tcW w:w="1005" w:type="dxa"/>
            <w:noWrap/>
            <w:vAlign w:val="center"/>
          </w:tcPr>
          <w:p>
            <w:pPr>
              <w:widowControl/>
              <w:spacing w:line="300" w:lineRule="exact"/>
              <w:jc w:val="center"/>
              <w:rPr>
                <w:rFonts w:ascii="宋体" w:hAnsi="宋体" w:eastAsia="宋体"/>
                <w:kern w:val="0"/>
                <w:szCs w:val="21"/>
              </w:rPr>
            </w:pPr>
            <w:r>
              <w:rPr>
                <w:rFonts w:hint="eastAsia" w:ascii="宋体" w:hAnsi="宋体" w:eastAsia="宋体"/>
                <w:kern w:val="0"/>
                <w:szCs w:val="21"/>
              </w:rPr>
              <w:t>预算执行率</w:t>
            </w:r>
          </w:p>
        </w:tc>
        <w:tc>
          <w:tcPr>
            <w:tcW w:w="708" w:type="dxa"/>
            <w:noWrap/>
            <w:vAlign w:val="center"/>
          </w:tcPr>
          <w:p>
            <w:pPr>
              <w:spacing w:line="300" w:lineRule="exact"/>
              <w:jc w:val="center"/>
              <w:rPr>
                <w:rFonts w:ascii="宋体" w:hAnsi="宋体" w:eastAsia="宋体"/>
                <w:szCs w:val="21"/>
                <w:highlight w:val="yellow"/>
              </w:rPr>
            </w:pPr>
            <w:r>
              <w:rPr>
                <w:rFonts w:hint="eastAsia" w:ascii="宋体" w:hAnsi="宋体" w:eastAsia="宋体"/>
                <w:szCs w:val="21"/>
              </w:rPr>
              <w:t>4</w:t>
            </w:r>
          </w:p>
        </w:tc>
        <w:tc>
          <w:tcPr>
            <w:tcW w:w="5764" w:type="dxa"/>
            <w:noWrap/>
            <w:vAlign w:val="center"/>
          </w:tcPr>
          <w:p>
            <w:pPr>
              <w:spacing w:line="240" w:lineRule="exact"/>
              <w:rPr>
                <w:rFonts w:ascii="宋体" w:hAnsi="宋体" w:eastAsia="宋体"/>
                <w:szCs w:val="21"/>
              </w:rPr>
            </w:pPr>
            <w:r>
              <w:rPr>
                <w:rFonts w:hint="eastAsia" w:ascii="宋体" w:hAnsi="宋体" w:eastAsia="宋体"/>
                <w:szCs w:val="21"/>
              </w:rPr>
              <w:t>预算执行率=[预算执行数/预算数]×100%=6015.67/6172.65×100%=97.46%，得4分。</w:t>
            </w:r>
          </w:p>
        </w:tc>
        <w:tc>
          <w:tcPr>
            <w:tcW w:w="1134" w:type="dxa"/>
            <w:noWrap/>
            <w:vAlign w:val="center"/>
          </w:tcPr>
          <w:p>
            <w:pPr>
              <w:spacing w:line="300" w:lineRule="exact"/>
              <w:jc w:val="center"/>
              <w:rPr>
                <w:rFonts w:ascii="宋体" w:hAnsi="宋体" w:eastAsia="宋体"/>
                <w:szCs w:val="21"/>
                <w:highlight w:val="yellow"/>
              </w:rPr>
            </w:pPr>
            <w:r>
              <w:rPr>
                <w:rFonts w:ascii="宋体" w:hAnsi="宋体" w:eastAsia="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481" w:type="dxa"/>
            <w:vMerge w:val="continue"/>
            <w:noWrap/>
            <w:vAlign w:val="center"/>
          </w:tcPr>
          <w:p>
            <w:pPr>
              <w:widowControl/>
              <w:spacing w:line="300" w:lineRule="exact"/>
              <w:jc w:val="left"/>
              <w:rPr>
                <w:rFonts w:ascii="宋体" w:hAnsi="宋体" w:eastAsia="宋体"/>
                <w:kern w:val="0"/>
                <w:szCs w:val="21"/>
              </w:rPr>
            </w:pPr>
          </w:p>
        </w:tc>
        <w:tc>
          <w:tcPr>
            <w:tcW w:w="567" w:type="dxa"/>
            <w:vMerge w:val="continue"/>
            <w:noWrap/>
            <w:vAlign w:val="center"/>
          </w:tcPr>
          <w:p>
            <w:pPr>
              <w:spacing w:line="300" w:lineRule="exact"/>
              <w:jc w:val="left"/>
              <w:rPr>
                <w:rFonts w:ascii="宋体" w:hAnsi="宋体" w:eastAsia="宋体"/>
                <w:kern w:val="0"/>
                <w:szCs w:val="21"/>
              </w:rPr>
            </w:pPr>
          </w:p>
        </w:tc>
        <w:tc>
          <w:tcPr>
            <w:tcW w:w="1005" w:type="dxa"/>
            <w:noWrap/>
            <w:vAlign w:val="center"/>
          </w:tcPr>
          <w:p>
            <w:pPr>
              <w:widowControl/>
              <w:spacing w:line="300" w:lineRule="exact"/>
              <w:jc w:val="center"/>
              <w:rPr>
                <w:rFonts w:ascii="宋体" w:hAnsi="宋体" w:eastAsia="宋体"/>
                <w:kern w:val="0"/>
                <w:szCs w:val="21"/>
              </w:rPr>
            </w:pPr>
            <w:r>
              <w:rPr>
                <w:rFonts w:hint="eastAsia" w:ascii="宋体" w:hAnsi="宋体" w:eastAsia="宋体"/>
                <w:kern w:val="0"/>
                <w:szCs w:val="21"/>
              </w:rPr>
              <w:t>预算调整率</w:t>
            </w:r>
          </w:p>
        </w:tc>
        <w:tc>
          <w:tcPr>
            <w:tcW w:w="708" w:type="dxa"/>
            <w:noWrap/>
            <w:vAlign w:val="center"/>
          </w:tcPr>
          <w:p>
            <w:pPr>
              <w:spacing w:line="300" w:lineRule="exact"/>
              <w:jc w:val="center"/>
              <w:rPr>
                <w:rFonts w:ascii="宋体" w:hAnsi="宋体" w:eastAsia="宋体"/>
                <w:szCs w:val="21"/>
              </w:rPr>
            </w:pPr>
            <w:r>
              <w:rPr>
                <w:rFonts w:hint="eastAsia" w:ascii="宋体" w:hAnsi="宋体" w:eastAsia="宋体"/>
                <w:szCs w:val="21"/>
              </w:rPr>
              <w:t>3</w:t>
            </w:r>
          </w:p>
        </w:tc>
        <w:tc>
          <w:tcPr>
            <w:tcW w:w="5764" w:type="dxa"/>
            <w:noWrap/>
            <w:vAlign w:val="center"/>
          </w:tcPr>
          <w:p>
            <w:pPr>
              <w:spacing w:line="240" w:lineRule="exact"/>
              <w:rPr>
                <w:rFonts w:ascii="宋体" w:hAnsi="宋体" w:eastAsia="宋体"/>
                <w:szCs w:val="21"/>
              </w:rPr>
            </w:pPr>
            <w:r>
              <w:rPr>
                <w:rFonts w:hint="eastAsia" w:ascii="宋体" w:hAnsi="宋体" w:eastAsia="宋体"/>
                <w:szCs w:val="21"/>
              </w:rPr>
              <w:t>预算调整率=[预算调整数/预算数]×100%=（6172.65-5299.01-302.36-</w:t>
            </w:r>
            <w:r>
              <w:rPr>
                <w:rFonts w:ascii="宋体" w:hAnsi="宋体" w:eastAsia="宋体"/>
                <w:szCs w:val="21"/>
              </w:rPr>
              <w:t>609.42</w:t>
            </w:r>
            <w:r>
              <w:rPr>
                <w:rFonts w:hint="eastAsia" w:ascii="宋体" w:hAnsi="宋体" w:eastAsia="宋体"/>
                <w:szCs w:val="21"/>
              </w:rPr>
              <w:t>）/5299.01×100%= -0.72%，得3分。  调整增加数扣除了年度本级财政追加指标中工资福利支出302.36万元和民政、残联、退役军人支出</w:t>
            </w:r>
            <w:r>
              <w:rPr>
                <w:rFonts w:ascii="宋体" w:hAnsi="宋体" w:eastAsia="宋体"/>
                <w:szCs w:val="21"/>
              </w:rPr>
              <w:t>609.42万元</w:t>
            </w:r>
            <w:r>
              <w:rPr>
                <w:rFonts w:hint="eastAsia" w:ascii="宋体" w:hAnsi="宋体" w:eastAsia="宋体"/>
                <w:szCs w:val="21"/>
              </w:rPr>
              <w:t>。</w:t>
            </w:r>
          </w:p>
        </w:tc>
        <w:tc>
          <w:tcPr>
            <w:tcW w:w="1134" w:type="dxa"/>
            <w:noWrap/>
            <w:vAlign w:val="center"/>
          </w:tcPr>
          <w:p>
            <w:pPr>
              <w:spacing w:line="300" w:lineRule="exact"/>
              <w:jc w:val="center"/>
              <w:rPr>
                <w:rFonts w:ascii="宋体" w:hAnsi="宋体" w:eastAsia="宋体"/>
                <w:sz w:val="18"/>
                <w:szCs w:val="21"/>
              </w:rPr>
            </w:pPr>
            <w:r>
              <w:rPr>
                <w:rFonts w:hint="eastAsia" w:ascii="宋体" w:hAnsi="宋体" w:eastAsia="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481" w:type="dxa"/>
            <w:vMerge w:val="continue"/>
            <w:noWrap/>
            <w:vAlign w:val="center"/>
          </w:tcPr>
          <w:p>
            <w:pPr>
              <w:widowControl/>
              <w:spacing w:line="300" w:lineRule="exact"/>
              <w:jc w:val="left"/>
              <w:rPr>
                <w:rFonts w:ascii="宋体" w:hAnsi="宋体" w:eastAsia="宋体"/>
                <w:kern w:val="0"/>
                <w:szCs w:val="21"/>
              </w:rPr>
            </w:pPr>
          </w:p>
        </w:tc>
        <w:tc>
          <w:tcPr>
            <w:tcW w:w="567" w:type="dxa"/>
            <w:vMerge w:val="continue"/>
            <w:noWrap/>
            <w:vAlign w:val="center"/>
          </w:tcPr>
          <w:p>
            <w:pPr>
              <w:spacing w:line="300" w:lineRule="exact"/>
              <w:jc w:val="left"/>
              <w:rPr>
                <w:rFonts w:ascii="宋体" w:hAnsi="宋体" w:eastAsia="宋体"/>
                <w:kern w:val="0"/>
                <w:szCs w:val="21"/>
              </w:rPr>
            </w:pPr>
          </w:p>
        </w:tc>
        <w:tc>
          <w:tcPr>
            <w:tcW w:w="1005" w:type="dxa"/>
            <w:noWrap/>
            <w:vAlign w:val="center"/>
          </w:tcPr>
          <w:p>
            <w:pPr>
              <w:widowControl/>
              <w:spacing w:line="300" w:lineRule="exact"/>
              <w:jc w:val="center"/>
              <w:rPr>
                <w:rFonts w:ascii="宋体" w:hAnsi="宋体" w:eastAsia="宋体"/>
                <w:kern w:val="0"/>
                <w:szCs w:val="21"/>
              </w:rPr>
            </w:pPr>
            <w:r>
              <w:rPr>
                <w:rFonts w:hint="eastAsia" w:ascii="宋体" w:hAnsi="宋体" w:eastAsia="宋体"/>
                <w:kern w:val="0"/>
                <w:szCs w:val="21"/>
              </w:rPr>
              <w:t>公用经费控制率</w:t>
            </w:r>
          </w:p>
        </w:tc>
        <w:tc>
          <w:tcPr>
            <w:tcW w:w="708" w:type="dxa"/>
            <w:noWrap/>
            <w:vAlign w:val="center"/>
          </w:tcPr>
          <w:p>
            <w:pPr>
              <w:spacing w:line="300" w:lineRule="exact"/>
              <w:jc w:val="center"/>
              <w:rPr>
                <w:rFonts w:ascii="宋体" w:hAnsi="宋体" w:eastAsia="宋体"/>
                <w:szCs w:val="21"/>
              </w:rPr>
            </w:pPr>
            <w:r>
              <w:rPr>
                <w:rFonts w:hint="eastAsia" w:ascii="宋体" w:hAnsi="宋体" w:eastAsia="宋体"/>
                <w:szCs w:val="21"/>
              </w:rPr>
              <w:t>2</w:t>
            </w:r>
          </w:p>
        </w:tc>
        <w:tc>
          <w:tcPr>
            <w:tcW w:w="5764" w:type="dxa"/>
            <w:noWrap/>
            <w:vAlign w:val="center"/>
          </w:tcPr>
          <w:p>
            <w:pPr>
              <w:spacing w:line="300" w:lineRule="exact"/>
              <w:rPr>
                <w:rFonts w:ascii="宋体" w:hAnsi="宋体" w:eastAsia="宋体"/>
                <w:szCs w:val="21"/>
              </w:rPr>
            </w:pPr>
            <w:r>
              <w:rPr>
                <w:rFonts w:hint="eastAsia" w:ascii="宋体" w:hAnsi="宋体" w:eastAsia="宋体"/>
                <w:szCs w:val="21"/>
              </w:rPr>
              <w:t>公用经费控制率=[公用经费实际支出总额/公用经费预算安排总额]×100%=281.94/284.33×100%=99.16%，得2分。</w:t>
            </w:r>
          </w:p>
        </w:tc>
        <w:tc>
          <w:tcPr>
            <w:tcW w:w="1134" w:type="dxa"/>
            <w:noWrap/>
            <w:vAlign w:val="center"/>
          </w:tcPr>
          <w:p>
            <w:pPr>
              <w:spacing w:line="300" w:lineRule="exact"/>
              <w:jc w:val="center"/>
              <w:rPr>
                <w:rFonts w:ascii="宋体" w:hAnsi="宋体" w:eastAsia="宋体"/>
                <w:sz w:val="18"/>
                <w:szCs w:val="21"/>
              </w:rPr>
            </w:pPr>
            <w:r>
              <w:rPr>
                <w:rFonts w:hint="eastAsia" w:ascii="宋体" w:hAnsi="宋体" w:eastAsia="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481" w:type="dxa"/>
            <w:vMerge w:val="continue"/>
            <w:noWrap/>
            <w:vAlign w:val="center"/>
          </w:tcPr>
          <w:p>
            <w:pPr>
              <w:widowControl/>
              <w:spacing w:line="300" w:lineRule="exact"/>
              <w:jc w:val="left"/>
              <w:rPr>
                <w:rFonts w:ascii="宋体" w:hAnsi="宋体" w:eastAsia="宋体"/>
                <w:kern w:val="0"/>
                <w:szCs w:val="21"/>
              </w:rPr>
            </w:pPr>
          </w:p>
        </w:tc>
        <w:tc>
          <w:tcPr>
            <w:tcW w:w="567" w:type="dxa"/>
            <w:vMerge w:val="continue"/>
            <w:noWrap/>
            <w:vAlign w:val="center"/>
          </w:tcPr>
          <w:p>
            <w:pPr>
              <w:spacing w:line="300" w:lineRule="exact"/>
              <w:jc w:val="left"/>
              <w:rPr>
                <w:rFonts w:ascii="宋体" w:hAnsi="宋体" w:eastAsia="宋体"/>
                <w:kern w:val="0"/>
                <w:szCs w:val="21"/>
              </w:rPr>
            </w:pPr>
          </w:p>
        </w:tc>
        <w:tc>
          <w:tcPr>
            <w:tcW w:w="1005" w:type="dxa"/>
            <w:noWrap/>
            <w:vAlign w:val="center"/>
          </w:tcPr>
          <w:p>
            <w:pPr>
              <w:widowControl/>
              <w:spacing w:line="300" w:lineRule="exact"/>
              <w:jc w:val="center"/>
              <w:rPr>
                <w:rFonts w:ascii="宋体" w:hAnsi="宋体" w:eastAsia="宋体"/>
                <w:kern w:val="0"/>
                <w:szCs w:val="21"/>
              </w:rPr>
            </w:pPr>
            <w:r>
              <w:rPr>
                <w:rFonts w:hint="eastAsia" w:ascii="宋体" w:hAnsi="宋体" w:eastAsia="宋体"/>
                <w:szCs w:val="21"/>
              </w:rPr>
              <w:t>“三公”经费控制率</w:t>
            </w:r>
          </w:p>
        </w:tc>
        <w:tc>
          <w:tcPr>
            <w:tcW w:w="708" w:type="dxa"/>
            <w:noWrap/>
            <w:vAlign w:val="center"/>
          </w:tcPr>
          <w:p>
            <w:pPr>
              <w:spacing w:line="300" w:lineRule="exact"/>
              <w:jc w:val="center"/>
              <w:rPr>
                <w:rFonts w:ascii="宋体" w:hAnsi="宋体" w:eastAsia="宋体"/>
                <w:szCs w:val="21"/>
              </w:rPr>
            </w:pPr>
            <w:r>
              <w:rPr>
                <w:rFonts w:hint="eastAsia" w:ascii="宋体" w:hAnsi="宋体" w:eastAsia="宋体"/>
                <w:szCs w:val="21"/>
              </w:rPr>
              <w:t>3</w:t>
            </w:r>
          </w:p>
        </w:tc>
        <w:tc>
          <w:tcPr>
            <w:tcW w:w="5764" w:type="dxa"/>
            <w:noWrap/>
            <w:vAlign w:val="center"/>
          </w:tcPr>
          <w:p>
            <w:pPr>
              <w:spacing w:line="300" w:lineRule="exact"/>
              <w:rPr>
                <w:rFonts w:ascii="宋体" w:hAnsi="宋体" w:eastAsia="宋体"/>
                <w:szCs w:val="21"/>
              </w:rPr>
            </w:pPr>
            <w:r>
              <w:rPr>
                <w:rFonts w:hint="eastAsia" w:ascii="宋体" w:hAnsi="宋体" w:eastAsia="宋体"/>
                <w:kern w:val="0"/>
                <w:szCs w:val="21"/>
              </w:rPr>
              <w:t>“三公”经费控制率=当年“三公”经费实际支出数/上年“三公”经费实际支出数）×100%=8.25/16.57×100%=49.79%，得3分。</w:t>
            </w:r>
          </w:p>
        </w:tc>
        <w:tc>
          <w:tcPr>
            <w:tcW w:w="1134" w:type="dxa"/>
            <w:noWrap/>
            <w:vAlign w:val="center"/>
          </w:tcPr>
          <w:p>
            <w:pPr>
              <w:spacing w:line="300" w:lineRule="exact"/>
              <w:jc w:val="center"/>
              <w:rPr>
                <w:rFonts w:ascii="宋体" w:hAnsi="宋体" w:eastAsia="宋体"/>
                <w:sz w:val="18"/>
                <w:szCs w:val="21"/>
              </w:rPr>
            </w:pPr>
            <w:r>
              <w:rPr>
                <w:rFonts w:hint="eastAsia" w:ascii="宋体" w:hAnsi="宋体" w:eastAsia="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481" w:type="dxa"/>
            <w:vMerge w:val="continue"/>
            <w:noWrap/>
            <w:vAlign w:val="center"/>
          </w:tcPr>
          <w:p>
            <w:pPr>
              <w:widowControl/>
              <w:spacing w:line="300" w:lineRule="exact"/>
              <w:jc w:val="left"/>
              <w:rPr>
                <w:rFonts w:ascii="宋体" w:hAnsi="宋体" w:eastAsia="宋体"/>
                <w:kern w:val="0"/>
                <w:szCs w:val="21"/>
              </w:rPr>
            </w:pPr>
          </w:p>
        </w:tc>
        <w:tc>
          <w:tcPr>
            <w:tcW w:w="567" w:type="dxa"/>
            <w:vMerge w:val="continue"/>
            <w:noWrap/>
            <w:vAlign w:val="center"/>
          </w:tcPr>
          <w:p>
            <w:pPr>
              <w:spacing w:line="300" w:lineRule="exact"/>
              <w:jc w:val="left"/>
              <w:rPr>
                <w:rFonts w:ascii="宋体" w:hAnsi="宋体" w:eastAsia="宋体"/>
                <w:kern w:val="0"/>
                <w:szCs w:val="21"/>
              </w:rPr>
            </w:pPr>
          </w:p>
        </w:tc>
        <w:tc>
          <w:tcPr>
            <w:tcW w:w="1005" w:type="dxa"/>
            <w:noWrap/>
            <w:vAlign w:val="center"/>
          </w:tcPr>
          <w:p>
            <w:pPr>
              <w:widowControl/>
              <w:spacing w:line="300" w:lineRule="exact"/>
              <w:jc w:val="center"/>
              <w:rPr>
                <w:rFonts w:ascii="宋体" w:hAnsi="宋体" w:eastAsia="宋体"/>
                <w:kern w:val="0"/>
                <w:szCs w:val="21"/>
              </w:rPr>
            </w:pPr>
            <w:r>
              <w:rPr>
                <w:rFonts w:hint="eastAsia" w:ascii="宋体" w:hAnsi="宋体" w:eastAsia="宋体"/>
                <w:szCs w:val="21"/>
              </w:rPr>
              <w:t>政府采购执行率</w:t>
            </w:r>
          </w:p>
        </w:tc>
        <w:tc>
          <w:tcPr>
            <w:tcW w:w="708" w:type="dxa"/>
            <w:noWrap/>
            <w:vAlign w:val="center"/>
          </w:tcPr>
          <w:p>
            <w:pPr>
              <w:spacing w:line="300" w:lineRule="exact"/>
              <w:jc w:val="center"/>
              <w:rPr>
                <w:rFonts w:ascii="宋体" w:hAnsi="宋体" w:eastAsia="宋体"/>
                <w:szCs w:val="21"/>
              </w:rPr>
            </w:pPr>
            <w:r>
              <w:rPr>
                <w:rFonts w:hint="eastAsia" w:ascii="宋体" w:hAnsi="宋体" w:eastAsia="宋体"/>
                <w:szCs w:val="21"/>
              </w:rPr>
              <w:t>2</w:t>
            </w:r>
          </w:p>
        </w:tc>
        <w:tc>
          <w:tcPr>
            <w:tcW w:w="5764" w:type="dxa"/>
            <w:noWrap/>
            <w:vAlign w:val="center"/>
          </w:tcPr>
          <w:p>
            <w:pPr>
              <w:spacing w:line="300" w:lineRule="exact"/>
              <w:rPr>
                <w:rFonts w:ascii="宋体" w:hAnsi="宋体" w:eastAsia="宋体"/>
                <w:szCs w:val="21"/>
              </w:rPr>
            </w:pPr>
            <w:r>
              <w:rPr>
                <w:rFonts w:hint="eastAsia" w:ascii="宋体" w:hAnsi="宋体" w:eastAsia="宋体"/>
                <w:szCs w:val="21"/>
              </w:rPr>
              <w:t>政府采购执行率=（实际政府采购项目个数/应政府采购项目个数）×100%= 55/58×100%=94.83%，得1分。</w:t>
            </w:r>
          </w:p>
        </w:tc>
        <w:tc>
          <w:tcPr>
            <w:tcW w:w="1134" w:type="dxa"/>
            <w:noWrap/>
            <w:vAlign w:val="center"/>
          </w:tcPr>
          <w:p>
            <w:pPr>
              <w:spacing w:line="300" w:lineRule="exact"/>
              <w:jc w:val="center"/>
              <w:rPr>
                <w:rFonts w:ascii="宋体" w:hAnsi="宋体" w:eastAsia="宋体"/>
                <w:szCs w:val="21"/>
              </w:rPr>
            </w:pPr>
            <w:r>
              <w:rPr>
                <w:rFonts w:hint="eastAsia" w:ascii="宋体" w:hAnsi="宋体" w:eastAsia="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481" w:type="dxa"/>
            <w:vMerge w:val="continue"/>
            <w:noWrap/>
            <w:vAlign w:val="center"/>
          </w:tcPr>
          <w:p>
            <w:pPr>
              <w:widowControl/>
              <w:spacing w:line="300" w:lineRule="exact"/>
              <w:jc w:val="left"/>
              <w:rPr>
                <w:rFonts w:ascii="宋体" w:hAnsi="宋体" w:eastAsia="宋体"/>
                <w:kern w:val="0"/>
                <w:szCs w:val="21"/>
              </w:rPr>
            </w:pPr>
          </w:p>
        </w:tc>
        <w:tc>
          <w:tcPr>
            <w:tcW w:w="567" w:type="dxa"/>
            <w:vMerge w:val="continue"/>
            <w:noWrap/>
            <w:vAlign w:val="center"/>
          </w:tcPr>
          <w:p>
            <w:pPr>
              <w:spacing w:line="300" w:lineRule="exact"/>
              <w:jc w:val="left"/>
              <w:rPr>
                <w:rFonts w:ascii="宋体" w:hAnsi="宋体" w:eastAsia="宋体"/>
                <w:kern w:val="0"/>
                <w:szCs w:val="21"/>
              </w:rPr>
            </w:pPr>
          </w:p>
        </w:tc>
        <w:tc>
          <w:tcPr>
            <w:tcW w:w="1005" w:type="dxa"/>
            <w:noWrap/>
            <w:vAlign w:val="center"/>
          </w:tcPr>
          <w:p>
            <w:pPr>
              <w:widowControl/>
              <w:spacing w:line="300" w:lineRule="exact"/>
              <w:jc w:val="center"/>
              <w:rPr>
                <w:rFonts w:ascii="宋体" w:hAnsi="宋体" w:eastAsia="宋体"/>
                <w:kern w:val="0"/>
                <w:szCs w:val="21"/>
              </w:rPr>
            </w:pPr>
            <w:r>
              <w:rPr>
                <w:rFonts w:hint="eastAsia" w:ascii="宋体" w:hAnsi="宋体" w:eastAsia="宋体"/>
                <w:kern w:val="0"/>
                <w:szCs w:val="21"/>
              </w:rPr>
              <w:t>资产管理</w:t>
            </w:r>
          </w:p>
        </w:tc>
        <w:tc>
          <w:tcPr>
            <w:tcW w:w="708" w:type="dxa"/>
            <w:noWrap/>
            <w:vAlign w:val="center"/>
          </w:tcPr>
          <w:p>
            <w:pPr>
              <w:spacing w:line="300" w:lineRule="exact"/>
              <w:jc w:val="center"/>
              <w:rPr>
                <w:rFonts w:ascii="宋体" w:hAnsi="宋体" w:eastAsia="宋体"/>
                <w:szCs w:val="21"/>
              </w:rPr>
            </w:pPr>
            <w:r>
              <w:rPr>
                <w:rFonts w:hint="eastAsia" w:ascii="宋体" w:hAnsi="宋体" w:eastAsia="宋体"/>
                <w:szCs w:val="21"/>
              </w:rPr>
              <w:t>2</w:t>
            </w:r>
          </w:p>
        </w:tc>
        <w:tc>
          <w:tcPr>
            <w:tcW w:w="5764" w:type="dxa"/>
            <w:noWrap/>
            <w:vAlign w:val="center"/>
          </w:tcPr>
          <w:p>
            <w:pPr>
              <w:spacing w:line="300" w:lineRule="exact"/>
              <w:rPr>
                <w:rFonts w:ascii="宋体" w:hAnsi="宋体" w:eastAsia="宋体"/>
                <w:szCs w:val="21"/>
              </w:rPr>
            </w:pPr>
            <w:r>
              <w:rPr>
                <w:rFonts w:hint="eastAsia" w:ascii="宋体" w:hAnsi="宋体" w:eastAsia="宋体"/>
                <w:szCs w:val="21"/>
              </w:rPr>
              <w:t>部门的资产配置合理合规、保存完整、使用有效、处置规范。</w:t>
            </w:r>
          </w:p>
        </w:tc>
        <w:tc>
          <w:tcPr>
            <w:tcW w:w="1134" w:type="dxa"/>
            <w:noWrap/>
            <w:vAlign w:val="center"/>
          </w:tcPr>
          <w:p>
            <w:pPr>
              <w:spacing w:line="300" w:lineRule="exact"/>
              <w:jc w:val="center"/>
              <w:rPr>
                <w:rFonts w:ascii="宋体" w:hAnsi="宋体" w:eastAsia="宋体"/>
                <w:szCs w:val="21"/>
              </w:rPr>
            </w:pPr>
            <w:r>
              <w:rPr>
                <w:rFonts w:hint="eastAsia" w:ascii="宋体" w:hAnsi="宋体" w:eastAsia="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2" w:hRule="atLeast"/>
          <w:jc w:val="center"/>
        </w:trPr>
        <w:tc>
          <w:tcPr>
            <w:tcW w:w="481" w:type="dxa"/>
            <w:vMerge w:val="continue"/>
            <w:noWrap/>
            <w:vAlign w:val="center"/>
          </w:tcPr>
          <w:p>
            <w:pPr>
              <w:widowControl/>
              <w:spacing w:line="300" w:lineRule="exact"/>
              <w:jc w:val="left"/>
              <w:rPr>
                <w:rFonts w:ascii="宋体" w:hAnsi="宋体" w:eastAsia="宋体"/>
                <w:kern w:val="0"/>
                <w:szCs w:val="21"/>
              </w:rPr>
            </w:pPr>
          </w:p>
        </w:tc>
        <w:tc>
          <w:tcPr>
            <w:tcW w:w="567" w:type="dxa"/>
            <w:vMerge w:val="continue"/>
            <w:noWrap/>
            <w:vAlign w:val="center"/>
          </w:tcPr>
          <w:p>
            <w:pPr>
              <w:spacing w:line="300" w:lineRule="exact"/>
              <w:jc w:val="left"/>
              <w:rPr>
                <w:rFonts w:ascii="宋体" w:hAnsi="宋体" w:eastAsia="宋体"/>
                <w:kern w:val="0"/>
                <w:szCs w:val="21"/>
              </w:rPr>
            </w:pPr>
          </w:p>
        </w:tc>
        <w:tc>
          <w:tcPr>
            <w:tcW w:w="1005" w:type="dxa"/>
            <w:noWrap/>
            <w:vAlign w:val="center"/>
          </w:tcPr>
          <w:p>
            <w:pPr>
              <w:widowControl/>
              <w:spacing w:line="300" w:lineRule="exact"/>
              <w:jc w:val="center"/>
              <w:rPr>
                <w:rFonts w:ascii="宋体" w:hAnsi="宋体" w:eastAsia="宋体"/>
                <w:kern w:val="0"/>
                <w:szCs w:val="21"/>
              </w:rPr>
            </w:pPr>
            <w:r>
              <w:rPr>
                <w:rFonts w:hint="eastAsia" w:ascii="宋体" w:hAnsi="宋体" w:eastAsia="宋体"/>
                <w:kern w:val="0"/>
                <w:szCs w:val="21"/>
              </w:rPr>
              <w:t>整改落实</w:t>
            </w:r>
          </w:p>
        </w:tc>
        <w:tc>
          <w:tcPr>
            <w:tcW w:w="708" w:type="dxa"/>
            <w:noWrap/>
            <w:vAlign w:val="center"/>
          </w:tcPr>
          <w:p>
            <w:pPr>
              <w:widowControl/>
              <w:spacing w:line="300" w:lineRule="exact"/>
              <w:jc w:val="center"/>
              <w:rPr>
                <w:rFonts w:ascii="宋体" w:hAnsi="宋体" w:eastAsia="宋体"/>
                <w:kern w:val="0"/>
                <w:szCs w:val="21"/>
              </w:rPr>
            </w:pPr>
            <w:r>
              <w:rPr>
                <w:rFonts w:hint="eastAsia" w:ascii="宋体" w:hAnsi="宋体" w:eastAsia="宋体"/>
                <w:kern w:val="0"/>
                <w:szCs w:val="21"/>
              </w:rPr>
              <w:t>2</w:t>
            </w:r>
          </w:p>
        </w:tc>
        <w:tc>
          <w:tcPr>
            <w:tcW w:w="5764" w:type="dxa"/>
            <w:noWrap/>
            <w:vAlign w:val="center"/>
          </w:tcPr>
          <w:p>
            <w:pPr>
              <w:spacing w:line="300" w:lineRule="exact"/>
              <w:rPr>
                <w:rFonts w:ascii="宋体" w:hAnsi="宋体" w:eastAsia="宋体"/>
                <w:szCs w:val="21"/>
              </w:rPr>
            </w:pPr>
            <w:r>
              <w:rPr>
                <w:rFonts w:hint="eastAsia" w:ascii="宋体" w:hAnsi="宋体" w:eastAsia="宋体"/>
                <w:szCs w:val="21"/>
              </w:rPr>
              <w:t>审计局对城西街道2019年决算审计，提出了审计意见，基本都予以整改，但是还是存在未能马上到位的现象，比如污水“零直排”项目进度延误，工程款结算缓慢，得1.5分。</w:t>
            </w:r>
          </w:p>
        </w:tc>
        <w:tc>
          <w:tcPr>
            <w:tcW w:w="1134" w:type="dxa"/>
            <w:noWrap/>
            <w:vAlign w:val="center"/>
          </w:tcPr>
          <w:p>
            <w:pPr>
              <w:spacing w:line="300" w:lineRule="exact"/>
              <w:jc w:val="center"/>
              <w:rPr>
                <w:rFonts w:ascii="宋体" w:hAnsi="宋体" w:eastAsia="宋体"/>
                <w:szCs w:val="21"/>
              </w:rPr>
            </w:pPr>
            <w:r>
              <w:rPr>
                <w:rFonts w:hint="eastAsia" w:ascii="宋体" w:hAnsi="宋体" w:eastAsia="宋体"/>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jc w:val="center"/>
        </w:trPr>
        <w:tc>
          <w:tcPr>
            <w:tcW w:w="481" w:type="dxa"/>
            <w:vMerge w:val="continue"/>
            <w:noWrap/>
            <w:vAlign w:val="center"/>
          </w:tcPr>
          <w:p>
            <w:pPr>
              <w:widowControl/>
              <w:spacing w:line="300" w:lineRule="exact"/>
              <w:jc w:val="left"/>
              <w:rPr>
                <w:rFonts w:ascii="宋体" w:hAnsi="宋体" w:eastAsia="宋体"/>
                <w:kern w:val="0"/>
                <w:szCs w:val="21"/>
              </w:rPr>
            </w:pPr>
          </w:p>
        </w:tc>
        <w:tc>
          <w:tcPr>
            <w:tcW w:w="567" w:type="dxa"/>
            <w:vMerge w:val="continue"/>
            <w:noWrap/>
            <w:vAlign w:val="center"/>
          </w:tcPr>
          <w:p>
            <w:pPr>
              <w:widowControl/>
              <w:spacing w:line="300" w:lineRule="exact"/>
              <w:jc w:val="left"/>
              <w:rPr>
                <w:rFonts w:ascii="宋体" w:hAnsi="宋体" w:eastAsia="宋体"/>
                <w:kern w:val="0"/>
                <w:szCs w:val="21"/>
              </w:rPr>
            </w:pPr>
          </w:p>
        </w:tc>
        <w:tc>
          <w:tcPr>
            <w:tcW w:w="1005" w:type="dxa"/>
            <w:noWrap/>
            <w:vAlign w:val="center"/>
          </w:tcPr>
          <w:p>
            <w:pPr>
              <w:widowControl/>
              <w:spacing w:line="300" w:lineRule="exact"/>
              <w:jc w:val="center"/>
              <w:rPr>
                <w:rFonts w:ascii="宋体" w:hAnsi="宋体" w:eastAsia="宋体"/>
                <w:kern w:val="0"/>
                <w:szCs w:val="21"/>
              </w:rPr>
            </w:pPr>
            <w:r>
              <w:rPr>
                <w:rFonts w:hint="eastAsia" w:ascii="宋体" w:hAnsi="宋体" w:eastAsia="宋体"/>
                <w:kern w:val="0"/>
                <w:szCs w:val="21"/>
              </w:rPr>
              <w:t>预决算公开</w:t>
            </w:r>
          </w:p>
        </w:tc>
        <w:tc>
          <w:tcPr>
            <w:tcW w:w="708" w:type="dxa"/>
            <w:noWrap/>
            <w:vAlign w:val="center"/>
          </w:tcPr>
          <w:p>
            <w:pPr>
              <w:widowControl/>
              <w:jc w:val="center"/>
              <w:textAlignment w:val="center"/>
              <w:rPr>
                <w:rFonts w:ascii="宋体" w:hAnsi="宋体" w:eastAsia="宋体" w:cs="仿宋_GB2312"/>
                <w:color w:val="000000"/>
                <w:szCs w:val="21"/>
              </w:rPr>
            </w:pPr>
            <w:r>
              <w:rPr>
                <w:rFonts w:hint="eastAsia" w:ascii="宋体" w:hAnsi="宋体" w:eastAsia="宋体" w:cs="仿宋_GB2312"/>
                <w:color w:val="000000"/>
                <w:szCs w:val="21"/>
              </w:rPr>
              <w:t>2</w:t>
            </w:r>
          </w:p>
        </w:tc>
        <w:tc>
          <w:tcPr>
            <w:tcW w:w="5764" w:type="dxa"/>
            <w:noWrap/>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color w:val="000000"/>
                <w:szCs w:val="21"/>
              </w:rPr>
              <w:t>在温岭市门户网站上已按规定内容和时限公开了2019年的决算和2020年的预算信息，得2分。</w:t>
            </w:r>
          </w:p>
        </w:tc>
        <w:tc>
          <w:tcPr>
            <w:tcW w:w="1134" w:type="dxa"/>
            <w:noWrap/>
            <w:vAlign w:val="center"/>
          </w:tcPr>
          <w:p>
            <w:pPr>
              <w:spacing w:line="300" w:lineRule="exact"/>
              <w:jc w:val="center"/>
              <w:rPr>
                <w:rFonts w:ascii="宋体" w:hAnsi="宋体" w:eastAsia="宋体"/>
                <w:szCs w:val="21"/>
              </w:rPr>
            </w:pPr>
            <w:r>
              <w:rPr>
                <w:rFonts w:hint="eastAsia" w:ascii="宋体" w:hAnsi="宋体" w:eastAsia="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9" w:hRule="atLeast"/>
          <w:jc w:val="center"/>
        </w:trPr>
        <w:tc>
          <w:tcPr>
            <w:tcW w:w="481" w:type="dxa"/>
            <w:vMerge w:val="restart"/>
            <w:noWrap/>
            <w:vAlign w:val="center"/>
          </w:tcPr>
          <w:p>
            <w:pPr>
              <w:spacing w:line="300" w:lineRule="exact"/>
              <w:jc w:val="left"/>
              <w:rPr>
                <w:rFonts w:ascii="宋体" w:hAnsi="宋体" w:eastAsia="宋体"/>
                <w:kern w:val="0"/>
                <w:szCs w:val="21"/>
              </w:rPr>
            </w:pPr>
            <w:r>
              <w:rPr>
                <w:rFonts w:hint="eastAsia" w:ascii="宋体" w:hAnsi="宋体" w:eastAsia="宋体"/>
                <w:kern w:val="0"/>
                <w:szCs w:val="21"/>
              </w:rPr>
              <w:t>产出与效益</w:t>
            </w:r>
          </w:p>
        </w:tc>
        <w:tc>
          <w:tcPr>
            <w:tcW w:w="567" w:type="dxa"/>
            <w:vMerge w:val="restart"/>
            <w:noWrap/>
            <w:vAlign w:val="center"/>
          </w:tcPr>
          <w:p>
            <w:pPr>
              <w:spacing w:line="300" w:lineRule="exact"/>
              <w:jc w:val="center"/>
              <w:rPr>
                <w:rFonts w:ascii="宋体" w:hAnsi="宋体" w:eastAsia="宋体"/>
                <w:kern w:val="0"/>
                <w:szCs w:val="21"/>
              </w:rPr>
            </w:pPr>
            <w:r>
              <w:rPr>
                <w:rFonts w:hint="eastAsia" w:ascii="宋体" w:hAnsi="宋体" w:eastAsia="宋体"/>
                <w:kern w:val="0"/>
                <w:szCs w:val="21"/>
              </w:rPr>
              <w:t>经济效益</w:t>
            </w:r>
          </w:p>
        </w:tc>
        <w:tc>
          <w:tcPr>
            <w:tcW w:w="1005" w:type="dxa"/>
            <w:noWrap/>
            <w:vAlign w:val="center"/>
          </w:tcPr>
          <w:p>
            <w:pPr>
              <w:spacing w:line="300" w:lineRule="exact"/>
              <w:jc w:val="center"/>
              <w:rPr>
                <w:rFonts w:ascii="宋体" w:hAnsi="宋体" w:eastAsia="宋体"/>
                <w:kern w:val="0"/>
                <w:szCs w:val="21"/>
              </w:rPr>
            </w:pPr>
            <w:r>
              <w:rPr>
                <w:rFonts w:hint="eastAsia" w:ascii="宋体" w:hAnsi="宋体" w:eastAsia="宋体"/>
                <w:color w:val="000000"/>
                <w:szCs w:val="21"/>
              </w:rPr>
              <w:t>地方财政收入</w:t>
            </w:r>
          </w:p>
        </w:tc>
        <w:tc>
          <w:tcPr>
            <w:tcW w:w="708" w:type="dxa"/>
            <w:noWrap/>
            <w:vAlign w:val="center"/>
          </w:tcPr>
          <w:p>
            <w:pPr>
              <w:jc w:val="center"/>
              <w:rPr>
                <w:rFonts w:ascii="宋体" w:hAnsi="宋体" w:eastAsia="宋体" w:cs="宋体"/>
                <w:color w:val="000000"/>
                <w:szCs w:val="21"/>
              </w:rPr>
            </w:pPr>
            <w:r>
              <w:rPr>
                <w:rFonts w:hint="eastAsia" w:ascii="宋体" w:hAnsi="宋体" w:eastAsia="宋体"/>
                <w:color w:val="000000"/>
                <w:szCs w:val="21"/>
              </w:rPr>
              <w:t>2.5</w:t>
            </w:r>
          </w:p>
        </w:tc>
        <w:tc>
          <w:tcPr>
            <w:tcW w:w="5764" w:type="dxa"/>
            <w:noWrap/>
            <w:vAlign w:val="center"/>
          </w:tcPr>
          <w:p>
            <w:pPr>
              <w:widowControl/>
              <w:jc w:val="left"/>
              <w:textAlignment w:val="center"/>
              <w:rPr>
                <w:rFonts w:ascii="宋体" w:hAnsi="宋体" w:eastAsia="宋体" w:cs="仿宋_GB2312"/>
                <w:color w:val="000000"/>
                <w:szCs w:val="21"/>
              </w:rPr>
            </w:pPr>
            <w:r>
              <w:rPr>
                <w:rFonts w:hint="eastAsia" w:ascii="宋体" w:hAnsi="宋体" w:eastAsia="宋体"/>
                <w:color w:val="000000"/>
                <w:szCs w:val="21"/>
              </w:rPr>
              <w:t>城西街道2020年度地方财政收入</w:t>
            </w:r>
            <w:r>
              <w:rPr>
                <w:rFonts w:hint="eastAsia" w:ascii="宋体" w:hAnsi="宋体" w:eastAsia="宋体"/>
                <w:szCs w:val="21"/>
              </w:rPr>
              <w:t>46568万元，比去年同期增长7.0%，增幅在温岭各镇街道排名第3位，得2.5分。</w:t>
            </w:r>
          </w:p>
        </w:tc>
        <w:tc>
          <w:tcPr>
            <w:tcW w:w="1134" w:type="dxa"/>
            <w:noWrap/>
            <w:vAlign w:val="center"/>
          </w:tcPr>
          <w:p>
            <w:pPr>
              <w:widowControl/>
              <w:spacing w:line="300" w:lineRule="exact"/>
              <w:jc w:val="center"/>
              <w:rPr>
                <w:rFonts w:ascii="宋体" w:hAnsi="宋体" w:eastAsia="宋体"/>
                <w:kern w:val="0"/>
                <w:szCs w:val="21"/>
              </w:rPr>
            </w:pPr>
            <w:r>
              <w:rPr>
                <w:rFonts w:hint="eastAsia" w:ascii="宋体" w:hAnsi="宋体" w:eastAsia="宋体"/>
                <w:kern w:val="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3" w:hRule="atLeast"/>
          <w:jc w:val="center"/>
        </w:trPr>
        <w:tc>
          <w:tcPr>
            <w:tcW w:w="481" w:type="dxa"/>
            <w:vMerge w:val="continue"/>
            <w:noWrap/>
            <w:vAlign w:val="center"/>
          </w:tcPr>
          <w:p>
            <w:pPr>
              <w:spacing w:line="300" w:lineRule="exact"/>
              <w:jc w:val="left"/>
              <w:rPr>
                <w:rFonts w:ascii="宋体" w:hAnsi="宋体" w:eastAsia="宋体"/>
                <w:kern w:val="0"/>
                <w:szCs w:val="21"/>
              </w:rPr>
            </w:pPr>
          </w:p>
        </w:tc>
        <w:tc>
          <w:tcPr>
            <w:tcW w:w="567" w:type="dxa"/>
            <w:vMerge w:val="continue"/>
            <w:noWrap/>
            <w:vAlign w:val="center"/>
          </w:tcPr>
          <w:p>
            <w:pPr>
              <w:spacing w:line="300" w:lineRule="exact"/>
              <w:jc w:val="center"/>
              <w:rPr>
                <w:rFonts w:ascii="宋体" w:hAnsi="宋体" w:eastAsia="宋体"/>
                <w:kern w:val="0"/>
                <w:szCs w:val="21"/>
              </w:rPr>
            </w:pPr>
          </w:p>
        </w:tc>
        <w:tc>
          <w:tcPr>
            <w:tcW w:w="1005" w:type="dxa"/>
            <w:noWrap/>
            <w:vAlign w:val="center"/>
          </w:tcPr>
          <w:p>
            <w:pPr>
              <w:widowControl/>
              <w:spacing w:line="300" w:lineRule="exact"/>
              <w:jc w:val="center"/>
              <w:rPr>
                <w:rFonts w:ascii="宋体" w:hAnsi="宋体" w:eastAsia="宋体"/>
                <w:kern w:val="0"/>
                <w:szCs w:val="21"/>
              </w:rPr>
            </w:pPr>
            <w:r>
              <w:rPr>
                <w:rFonts w:hint="eastAsia" w:ascii="宋体" w:hAnsi="宋体" w:eastAsia="宋体"/>
                <w:color w:val="000000"/>
                <w:szCs w:val="21"/>
              </w:rPr>
              <w:t>规上企业工业增加值</w:t>
            </w:r>
          </w:p>
        </w:tc>
        <w:tc>
          <w:tcPr>
            <w:tcW w:w="708" w:type="dxa"/>
            <w:noWrap/>
            <w:vAlign w:val="center"/>
          </w:tcPr>
          <w:p>
            <w:pPr>
              <w:jc w:val="center"/>
              <w:rPr>
                <w:rFonts w:ascii="宋体" w:hAnsi="宋体" w:eastAsia="宋体" w:cs="宋体"/>
                <w:color w:val="000000"/>
                <w:szCs w:val="21"/>
              </w:rPr>
            </w:pPr>
            <w:r>
              <w:rPr>
                <w:rFonts w:hint="eastAsia" w:ascii="宋体" w:hAnsi="宋体" w:eastAsia="宋体"/>
                <w:color w:val="000000"/>
                <w:szCs w:val="21"/>
              </w:rPr>
              <w:t>2.5</w:t>
            </w:r>
          </w:p>
        </w:tc>
        <w:tc>
          <w:tcPr>
            <w:tcW w:w="5764" w:type="dxa"/>
            <w:noWrap/>
            <w:vAlign w:val="center"/>
          </w:tcPr>
          <w:p>
            <w:pPr>
              <w:widowControl/>
              <w:jc w:val="left"/>
              <w:textAlignment w:val="center"/>
              <w:rPr>
                <w:rFonts w:ascii="宋体" w:hAnsi="宋体" w:eastAsia="宋体" w:cs="仿宋_GB2312"/>
                <w:color w:val="000000"/>
                <w:szCs w:val="21"/>
              </w:rPr>
            </w:pPr>
            <w:r>
              <w:rPr>
                <w:rFonts w:hint="eastAsia" w:ascii="宋体" w:hAnsi="宋体" w:eastAsia="宋体"/>
                <w:color w:val="000000"/>
                <w:szCs w:val="21"/>
              </w:rPr>
              <w:t>城西街道2020年度地方规上企业工业</w:t>
            </w:r>
            <w:r>
              <w:rPr>
                <w:rFonts w:hint="eastAsia" w:ascii="宋体" w:hAnsi="宋体" w:eastAsia="宋体"/>
                <w:szCs w:val="21"/>
              </w:rPr>
              <w:t>增加值80216万元，比去年同期增长3.8%，增幅在温岭各镇街道排名第10位，得1.5分</w:t>
            </w:r>
          </w:p>
        </w:tc>
        <w:tc>
          <w:tcPr>
            <w:tcW w:w="1134" w:type="dxa"/>
            <w:noWrap/>
            <w:vAlign w:val="center"/>
          </w:tcPr>
          <w:p>
            <w:pPr>
              <w:widowControl/>
              <w:spacing w:line="300" w:lineRule="exact"/>
              <w:jc w:val="center"/>
              <w:rPr>
                <w:rFonts w:ascii="宋体" w:hAnsi="宋体" w:eastAsia="宋体"/>
                <w:kern w:val="0"/>
                <w:szCs w:val="21"/>
              </w:rPr>
            </w:pPr>
            <w:r>
              <w:rPr>
                <w:rFonts w:hint="eastAsia" w:ascii="宋体" w:hAnsi="宋体" w:eastAsia="宋体"/>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481" w:type="dxa"/>
            <w:vMerge w:val="continue"/>
            <w:noWrap/>
            <w:vAlign w:val="center"/>
          </w:tcPr>
          <w:p>
            <w:pPr>
              <w:spacing w:line="300" w:lineRule="exact"/>
              <w:jc w:val="left"/>
              <w:rPr>
                <w:rFonts w:ascii="宋体" w:hAnsi="宋体" w:eastAsia="宋体"/>
                <w:kern w:val="0"/>
                <w:szCs w:val="21"/>
              </w:rPr>
            </w:pPr>
          </w:p>
        </w:tc>
        <w:tc>
          <w:tcPr>
            <w:tcW w:w="567" w:type="dxa"/>
            <w:vMerge w:val="continue"/>
            <w:noWrap/>
            <w:vAlign w:val="center"/>
          </w:tcPr>
          <w:p>
            <w:pPr>
              <w:spacing w:line="300" w:lineRule="exact"/>
              <w:jc w:val="center"/>
              <w:rPr>
                <w:rFonts w:ascii="宋体" w:hAnsi="宋体" w:eastAsia="宋体"/>
                <w:kern w:val="0"/>
                <w:szCs w:val="21"/>
              </w:rPr>
            </w:pPr>
          </w:p>
        </w:tc>
        <w:tc>
          <w:tcPr>
            <w:tcW w:w="1005" w:type="dxa"/>
            <w:noWrap/>
            <w:vAlign w:val="center"/>
          </w:tcPr>
          <w:p>
            <w:pPr>
              <w:widowControl/>
              <w:spacing w:line="300" w:lineRule="exact"/>
              <w:jc w:val="center"/>
              <w:rPr>
                <w:rFonts w:ascii="宋体" w:hAnsi="宋体" w:eastAsia="宋体"/>
                <w:kern w:val="0"/>
                <w:szCs w:val="21"/>
              </w:rPr>
            </w:pPr>
            <w:r>
              <w:rPr>
                <w:rFonts w:hint="eastAsia" w:ascii="宋体" w:hAnsi="宋体" w:eastAsia="宋体"/>
                <w:color w:val="000000"/>
                <w:szCs w:val="21"/>
              </w:rPr>
              <w:t>固定资产投资</w:t>
            </w:r>
          </w:p>
        </w:tc>
        <w:tc>
          <w:tcPr>
            <w:tcW w:w="708" w:type="dxa"/>
            <w:noWrap/>
            <w:vAlign w:val="center"/>
          </w:tcPr>
          <w:p>
            <w:pPr>
              <w:jc w:val="center"/>
              <w:rPr>
                <w:rFonts w:ascii="宋体" w:hAnsi="宋体" w:eastAsia="宋体" w:cs="宋体"/>
                <w:color w:val="000000"/>
                <w:szCs w:val="21"/>
              </w:rPr>
            </w:pPr>
            <w:r>
              <w:rPr>
                <w:rFonts w:hint="eastAsia" w:ascii="宋体" w:hAnsi="宋体" w:eastAsia="宋体"/>
                <w:color w:val="000000"/>
                <w:szCs w:val="21"/>
              </w:rPr>
              <w:t>2.5</w:t>
            </w:r>
          </w:p>
        </w:tc>
        <w:tc>
          <w:tcPr>
            <w:tcW w:w="5764" w:type="dxa"/>
            <w:noWrap/>
            <w:vAlign w:val="center"/>
          </w:tcPr>
          <w:p>
            <w:pPr>
              <w:widowControl/>
              <w:jc w:val="left"/>
              <w:textAlignment w:val="center"/>
              <w:rPr>
                <w:rFonts w:ascii="宋体" w:hAnsi="宋体" w:eastAsia="宋体" w:cs="仿宋_GB2312"/>
                <w:color w:val="000000"/>
                <w:szCs w:val="21"/>
              </w:rPr>
            </w:pPr>
            <w:r>
              <w:rPr>
                <w:rFonts w:hint="eastAsia" w:ascii="宋体" w:hAnsi="宋体" w:eastAsia="宋体"/>
                <w:color w:val="000000"/>
                <w:szCs w:val="21"/>
              </w:rPr>
              <w:t>2020年固定资产投资</w:t>
            </w:r>
            <w:r>
              <w:rPr>
                <w:rFonts w:hint="eastAsia" w:ascii="宋体" w:hAnsi="宋体" w:eastAsia="宋体"/>
                <w:szCs w:val="21"/>
              </w:rPr>
              <w:t>比去年同期增长-50.8%，增幅排名第13名，得0分</w:t>
            </w:r>
          </w:p>
        </w:tc>
        <w:tc>
          <w:tcPr>
            <w:tcW w:w="1134" w:type="dxa"/>
            <w:noWrap/>
            <w:vAlign w:val="center"/>
          </w:tcPr>
          <w:p>
            <w:pPr>
              <w:widowControl/>
              <w:spacing w:line="300" w:lineRule="exact"/>
              <w:jc w:val="center"/>
              <w:rPr>
                <w:rFonts w:ascii="宋体" w:hAnsi="宋体" w:eastAsia="宋体"/>
                <w:kern w:val="0"/>
                <w:szCs w:val="21"/>
              </w:rPr>
            </w:pPr>
            <w:r>
              <w:rPr>
                <w:rFonts w:hint="eastAsia" w:ascii="宋体" w:hAnsi="宋体" w:eastAsia="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6" w:hRule="atLeast"/>
          <w:jc w:val="center"/>
        </w:trPr>
        <w:tc>
          <w:tcPr>
            <w:tcW w:w="481" w:type="dxa"/>
            <w:vMerge w:val="continue"/>
            <w:noWrap/>
            <w:vAlign w:val="center"/>
          </w:tcPr>
          <w:p>
            <w:pPr>
              <w:spacing w:line="300" w:lineRule="exact"/>
              <w:jc w:val="left"/>
              <w:rPr>
                <w:rFonts w:ascii="宋体" w:hAnsi="宋体" w:eastAsia="宋体"/>
                <w:kern w:val="0"/>
                <w:szCs w:val="21"/>
              </w:rPr>
            </w:pPr>
          </w:p>
        </w:tc>
        <w:tc>
          <w:tcPr>
            <w:tcW w:w="567" w:type="dxa"/>
            <w:vMerge w:val="continue"/>
            <w:noWrap/>
            <w:vAlign w:val="center"/>
          </w:tcPr>
          <w:p>
            <w:pPr>
              <w:spacing w:line="300" w:lineRule="exact"/>
              <w:jc w:val="center"/>
              <w:rPr>
                <w:rFonts w:ascii="宋体" w:hAnsi="宋体" w:eastAsia="宋体"/>
                <w:kern w:val="0"/>
                <w:szCs w:val="21"/>
              </w:rPr>
            </w:pPr>
          </w:p>
        </w:tc>
        <w:tc>
          <w:tcPr>
            <w:tcW w:w="1005" w:type="dxa"/>
            <w:noWrap/>
            <w:vAlign w:val="center"/>
          </w:tcPr>
          <w:p>
            <w:pPr>
              <w:widowControl/>
              <w:spacing w:line="300" w:lineRule="exact"/>
              <w:jc w:val="center"/>
              <w:rPr>
                <w:rFonts w:ascii="宋体" w:hAnsi="宋体" w:eastAsia="宋体"/>
                <w:kern w:val="0"/>
                <w:szCs w:val="21"/>
              </w:rPr>
            </w:pPr>
            <w:r>
              <w:rPr>
                <w:rFonts w:hint="eastAsia" w:ascii="宋体" w:hAnsi="宋体" w:eastAsia="宋体"/>
                <w:color w:val="000000"/>
                <w:szCs w:val="21"/>
              </w:rPr>
              <w:t>服务企业转型升级</w:t>
            </w:r>
          </w:p>
        </w:tc>
        <w:tc>
          <w:tcPr>
            <w:tcW w:w="708" w:type="dxa"/>
            <w:noWrap/>
            <w:vAlign w:val="center"/>
          </w:tcPr>
          <w:p>
            <w:pPr>
              <w:jc w:val="center"/>
              <w:rPr>
                <w:rFonts w:ascii="宋体" w:hAnsi="宋体" w:eastAsia="宋体" w:cs="宋体"/>
                <w:color w:val="000000"/>
                <w:szCs w:val="21"/>
              </w:rPr>
            </w:pPr>
            <w:r>
              <w:rPr>
                <w:rFonts w:hint="eastAsia" w:ascii="宋体" w:hAnsi="宋体" w:eastAsia="宋体"/>
                <w:color w:val="000000"/>
                <w:szCs w:val="21"/>
              </w:rPr>
              <w:t>2.5</w:t>
            </w:r>
          </w:p>
        </w:tc>
        <w:tc>
          <w:tcPr>
            <w:tcW w:w="5764" w:type="dxa"/>
            <w:noWrap/>
            <w:vAlign w:val="center"/>
          </w:tcPr>
          <w:p>
            <w:pPr>
              <w:widowControl/>
              <w:jc w:val="left"/>
              <w:textAlignment w:val="center"/>
              <w:rPr>
                <w:rFonts w:ascii="宋体" w:hAnsi="宋体" w:eastAsia="宋体" w:cs="仿宋_GB2312"/>
                <w:szCs w:val="21"/>
              </w:rPr>
            </w:pPr>
            <w:r>
              <w:rPr>
                <w:rFonts w:hint="eastAsia" w:ascii="宋体" w:hAnsi="宋体" w:eastAsia="宋体" w:cs="仿宋_GB2312"/>
                <w:szCs w:val="21"/>
              </w:rPr>
              <w:t>风驰车轮成功申报国家高新技术企业，18家成功申报省级科技型企业，</w:t>
            </w:r>
            <w:r>
              <w:rPr>
                <w:rFonts w:hint="eastAsia" w:ascii="宋体" w:hAnsi="宋体" w:eastAsia="宋体" w:cs="仿宋_GB2312"/>
                <w:color w:val="000000"/>
                <w:szCs w:val="21"/>
              </w:rPr>
              <w:t>力驰雷奥和大众精机“</w:t>
            </w:r>
            <w:r>
              <w:rPr>
                <w:rFonts w:ascii="宋体" w:hAnsi="宋体" w:eastAsia="宋体" w:cs="仿宋_GB2312"/>
                <w:color w:val="000000"/>
                <w:szCs w:val="21"/>
              </w:rPr>
              <w:t>500精英”人才创新和创业项目2人</w:t>
            </w:r>
            <w:r>
              <w:rPr>
                <w:rFonts w:hint="eastAsia" w:ascii="宋体" w:hAnsi="宋体" w:eastAsia="宋体" w:cs="仿宋_GB2312"/>
                <w:szCs w:val="21"/>
              </w:rPr>
              <w:t>，但是</w:t>
            </w:r>
            <w:r>
              <w:rPr>
                <w:rFonts w:hint="eastAsia" w:ascii="宋体" w:hAnsi="宋体" w:eastAsia="宋体" w:cs="仿宋_GB2312"/>
                <w:color w:val="000000"/>
                <w:szCs w:val="21"/>
              </w:rPr>
              <w:t>无著名品牌创建</w:t>
            </w:r>
            <w:r>
              <w:rPr>
                <w:rFonts w:hint="eastAsia" w:ascii="宋体" w:hAnsi="宋体" w:eastAsia="宋体" w:cs="仿宋_GB2312"/>
                <w:szCs w:val="21"/>
              </w:rPr>
              <w:t>，得2分。</w:t>
            </w:r>
          </w:p>
        </w:tc>
        <w:tc>
          <w:tcPr>
            <w:tcW w:w="1134" w:type="dxa"/>
            <w:noWrap/>
            <w:vAlign w:val="center"/>
          </w:tcPr>
          <w:p>
            <w:pPr>
              <w:widowControl/>
              <w:spacing w:line="300" w:lineRule="exact"/>
              <w:jc w:val="center"/>
              <w:rPr>
                <w:rFonts w:ascii="宋体" w:hAnsi="宋体" w:eastAsia="宋体"/>
                <w:kern w:val="0"/>
                <w:szCs w:val="21"/>
              </w:rPr>
            </w:pPr>
            <w:r>
              <w:rPr>
                <w:rFonts w:hint="eastAsia" w:ascii="宋体" w:hAnsi="宋体" w:eastAsia="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6" w:hRule="atLeast"/>
          <w:jc w:val="center"/>
        </w:trPr>
        <w:tc>
          <w:tcPr>
            <w:tcW w:w="481" w:type="dxa"/>
            <w:vMerge w:val="continue"/>
            <w:noWrap/>
            <w:vAlign w:val="center"/>
          </w:tcPr>
          <w:p>
            <w:pPr>
              <w:spacing w:line="300" w:lineRule="exact"/>
              <w:jc w:val="left"/>
              <w:rPr>
                <w:rFonts w:ascii="宋体" w:hAnsi="宋体" w:eastAsia="宋体"/>
                <w:kern w:val="0"/>
                <w:szCs w:val="21"/>
              </w:rPr>
            </w:pPr>
          </w:p>
        </w:tc>
        <w:tc>
          <w:tcPr>
            <w:tcW w:w="567" w:type="dxa"/>
            <w:vMerge w:val="continue"/>
            <w:noWrap/>
            <w:vAlign w:val="center"/>
          </w:tcPr>
          <w:p>
            <w:pPr>
              <w:spacing w:line="300" w:lineRule="exact"/>
              <w:jc w:val="center"/>
              <w:rPr>
                <w:rFonts w:ascii="宋体" w:hAnsi="宋体" w:eastAsia="宋体"/>
                <w:kern w:val="0"/>
                <w:szCs w:val="21"/>
              </w:rPr>
            </w:pPr>
          </w:p>
        </w:tc>
        <w:tc>
          <w:tcPr>
            <w:tcW w:w="1005" w:type="dxa"/>
            <w:noWrap/>
            <w:vAlign w:val="center"/>
          </w:tcPr>
          <w:p>
            <w:pPr>
              <w:widowControl/>
              <w:spacing w:line="300" w:lineRule="exact"/>
              <w:jc w:val="center"/>
              <w:rPr>
                <w:rFonts w:ascii="宋体" w:hAnsi="宋体" w:eastAsia="宋体"/>
                <w:kern w:val="0"/>
                <w:szCs w:val="21"/>
              </w:rPr>
            </w:pPr>
            <w:r>
              <w:rPr>
                <w:rFonts w:hint="eastAsia" w:ascii="宋体" w:hAnsi="宋体" w:eastAsia="宋体"/>
                <w:color w:val="000000"/>
                <w:szCs w:val="21"/>
              </w:rPr>
              <w:t>服务业发展</w:t>
            </w:r>
          </w:p>
        </w:tc>
        <w:tc>
          <w:tcPr>
            <w:tcW w:w="708" w:type="dxa"/>
            <w:noWrap/>
            <w:vAlign w:val="center"/>
          </w:tcPr>
          <w:p>
            <w:pPr>
              <w:jc w:val="center"/>
              <w:rPr>
                <w:rFonts w:ascii="宋体" w:hAnsi="宋体" w:eastAsia="宋体" w:cs="宋体"/>
                <w:color w:val="000000"/>
                <w:szCs w:val="21"/>
              </w:rPr>
            </w:pPr>
            <w:r>
              <w:rPr>
                <w:rFonts w:hint="eastAsia" w:ascii="宋体" w:hAnsi="宋体" w:eastAsia="宋体"/>
                <w:color w:val="000000"/>
                <w:szCs w:val="21"/>
              </w:rPr>
              <w:t>2.5</w:t>
            </w:r>
          </w:p>
        </w:tc>
        <w:tc>
          <w:tcPr>
            <w:tcW w:w="5764" w:type="dxa"/>
            <w:noWrap/>
            <w:vAlign w:val="center"/>
          </w:tcPr>
          <w:p>
            <w:pPr>
              <w:widowControl/>
              <w:jc w:val="left"/>
              <w:textAlignment w:val="center"/>
              <w:rPr>
                <w:rFonts w:ascii="宋体" w:hAnsi="宋体" w:eastAsia="宋体" w:cs="仿宋_GB2312"/>
                <w:kern w:val="0"/>
                <w:szCs w:val="21"/>
              </w:rPr>
            </w:pPr>
            <w:r>
              <w:rPr>
                <w:rFonts w:hint="eastAsia" w:ascii="宋体" w:hAnsi="宋体" w:eastAsia="宋体" w:cs="仿宋_GB2312"/>
                <w:szCs w:val="21"/>
              </w:rPr>
              <w:t>落实推进宝龙广场、五洋路特色街、九龙湖中医医院、新缘养老院等产业项目，做大做强金融集聚区，8家金融服务企业入驻，得2.5分</w:t>
            </w:r>
          </w:p>
        </w:tc>
        <w:tc>
          <w:tcPr>
            <w:tcW w:w="1134" w:type="dxa"/>
            <w:noWrap/>
            <w:vAlign w:val="center"/>
          </w:tcPr>
          <w:p>
            <w:pPr>
              <w:widowControl/>
              <w:spacing w:line="300" w:lineRule="exact"/>
              <w:jc w:val="center"/>
              <w:rPr>
                <w:rFonts w:ascii="宋体" w:hAnsi="宋体" w:eastAsia="宋体"/>
                <w:kern w:val="0"/>
                <w:szCs w:val="21"/>
              </w:rPr>
            </w:pPr>
            <w:r>
              <w:rPr>
                <w:rFonts w:hint="eastAsia" w:ascii="宋体" w:hAnsi="宋体" w:eastAsia="宋体"/>
                <w:kern w:val="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atLeast"/>
          <w:jc w:val="center"/>
        </w:trPr>
        <w:tc>
          <w:tcPr>
            <w:tcW w:w="481" w:type="dxa"/>
            <w:vMerge w:val="continue"/>
            <w:noWrap/>
            <w:vAlign w:val="center"/>
          </w:tcPr>
          <w:p>
            <w:pPr>
              <w:widowControl/>
              <w:spacing w:line="300" w:lineRule="exact"/>
              <w:jc w:val="left"/>
              <w:rPr>
                <w:rFonts w:ascii="宋体" w:hAnsi="宋体" w:eastAsia="宋体"/>
                <w:kern w:val="0"/>
                <w:szCs w:val="21"/>
              </w:rPr>
            </w:pPr>
          </w:p>
        </w:tc>
        <w:tc>
          <w:tcPr>
            <w:tcW w:w="567" w:type="dxa"/>
            <w:vMerge w:val="restart"/>
            <w:noWrap/>
            <w:vAlign w:val="center"/>
          </w:tcPr>
          <w:p>
            <w:pPr>
              <w:spacing w:line="300" w:lineRule="exact"/>
              <w:jc w:val="center"/>
              <w:rPr>
                <w:rFonts w:ascii="宋体" w:hAnsi="宋体" w:eastAsia="宋体"/>
                <w:kern w:val="0"/>
                <w:szCs w:val="21"/>
              </w:rPr>
            </w:pPr>
            <w:r>
              <w:rPr>
                <w:rFonts w:hint="eastAsia" w:ascii="宋体" w:hAnsi="宋体" w:eastAsia="宋体"/>
                <w:kern w:val="0"/>
                <w:szCs w:val="21"/>
              </w:rPr>
              <w:t>社会效益</w:t>
            </w:r>
          </w:p>
        </w:tc>
        <w:tc>
          <w:tcPr>
            <w:tcW w:w="1005" w:type="dxa"/>
            <w:noWrap/>
            <w:vAlign w:val="center"/>
          </w:tcPr>
          <w:p>
            <w:pPr>
              <w:widowControl/>
              <w:spacing w:line="300" w:lineRule="exact"/>
              <w:jc w:val="center"/>
              <w:rPr>
                <w:rFonts w:ascii="宋体" w:hAnsi="宋体" w:eastAsia="宋体"/>
                <w:kern w:val="0"/>
                <w:szCs w:val="21"/>
              </w:rPr>
            </w:pPr>
            <w:r>
              <w:rPr>
                <w:rFonts w:hint="eastAsia" w:ascii="宋体" w:hAnsi="宋体" w:eastAsia="宋体"/>
                <w:color w:val="000000"/>
                <w:szCs w:val="21"/>
              </w:rPr>
              <w:t>防范疫情</w:t>
            </w:r>
          </w:p>
        </w:tc>
        <w:tc>
          <w:tcPr>
            <w:tcW w:w="708" w:type="dxa"/>
            <w:noWrap/>
            <w:vAlign w:val="center"/>
          </w:tcPr>
          <w:p>
            <w:pPr>
              <w:jc w:val="center"/>
              <w:rPr>
                <w:rFonts w:ascii="宋体" w:hAnsi="宋体" w:eastAsia="宋体" w:cs="宋体"/>
                <w:color w:val="000000"/>
                <w:szCs w:val="21"/>
              </w:rPr>
            </w:pPr>
            <w:r>
              <w:rPr>
                <w:rFonts w:hint="eastAsia" w:ascii="宋体" w:hAnsi="宋体" w:eastAsia="宋体"/>
                <w:color w:val="000000"/>
                <w:szCs w:val="21"/>
              </w:rPr>
              <w:t>2.5</w:t>
            </w:r>
          </w:p>
        </w:tc>
        <w:tc>
          <w:tcPr>
            <w:tcW w:w="5764" w:type="dxa"/>
            <w:noWrap/>
            <w:vAlign w:val="center"/>
          </w:tcPr>
          <w:p>
            <w:pPr>
              <w:widowControl/>
              <w:jc w:val="left"/>
              <w:textAlignment w:val="center"/>
              <w:rPr>
                <w:rFonts w:ascii="宋体" w:hAnsi="宋体" w:eastAsia="宋体" w:cs="仿宋_GB2312"/>
                <w:szCs w:val="21"/>
              </w:rPr>
            </w:pPr>
            <w:r>
              <w:rPr>
                <w:rFonts w:hint="eastAsia" w:ascii="宋体" w:hAnsi="宋体" w:eastAsia="宋体" w:cs="仿宋_GB2312"/>
                <w:color w:val="000000"/>
                <w:szCs w:val="21"/>
              </w:rPr>
              <w:t>街道确诊病例较早实现“清零”，在全市率先完成“健康码”申领全覆盖，全年没有发生疫情反弹</w:t>
            </w:r>
            <w:r>
              <w:rPr>
                <w:rFonts w:hint="eastAsia" w:ascii="宋体" w:hAnsi="宋体" w:eastAsia="宋体" w:cs="仿宋_GB2312"/>
                <w:szCs w:val="21"/>
              </w:rPr>
              <w:t>，得1.5分；</w:t>
            </w:r>
            <w:r>
              <w:rPr>
                <w:rFonts w:hint="eastAsia" w:ascii="宋体" w:hAnsi="宋体" w:eastAsia="宋体" w:cs="仿宋_GB2312"/>
                <w:color w:val="000000"/>
                <w:szCs w:val="21"/>
              </w:rPr>
              <w:t>根据问卷</w:t>
            </w:r>
            <w:r>
              <w:rPr>
                <w:rFonts w:ascii="宋体" w:hAnsi="宋体" w:eastAsia="宋体" w:cs="仿宋_GB2312"/>
                <w:color w:val="000000"/>
                <w:szCs w:val="21"/>
              </w:rPr>
              <w:t>1，</w:t>
            </w:r>
            <w:r>
              <w:rPr>
                <w:rFonts w:hint="eastAsia" w:ascii="宋体" w:hAnsi="宋体" w:eastAsia="宋体" w:cs="仿宋_GB2312"/>
                <w:szCs w:val="21"/>
              </w:rPr>
              <w:t>得分=（62*1+1*0.8）/63=1分</w:t>
            </w:r>
          </w:p>
        </w:tc>
        <w:tc>
          <w:tcPr>
            <w:tcW w:w="1134" w:type="dxa"/>
            <w:noWrap/>
            <w:vAlign w:val="center"/>
          </w:tcPr>
          <w:p>
            <w:pPr>
              <w:widowControl/>
              <w:spacing w:line="300" w:lineRule="exact"/>
              <w:jc w:val="center"/>
              <w:rPr>
                <w:rFonts w:ascii="宋体" w:hAnsi="宋体" w:eastAsia="宋体"/>
                <w:kern w:val="0"/>
                <w:szCs w:val="21"/>
              </w:rPr>
            </w:pPr>
            <w:r>
              <w:rPr>
                <w:rFonts w:hint="eastAsia" w:ascii="宋体" w:hAnsi="宋体" w:eastAsia="宋体"/>
                <w:kern w:val="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jc w:val="center"/>
        </w:trPr>
        <w:tc>
          <w:tcPr>
            <w:tcW w:w="481" w:type="dxa"/>
            <w:vMerge w:val="continue"/>
            <w:noWrap/>
            <w:vAlign w:val="center"/>
          </w:tcPr>
          <w:p>
            <w:pPr>
              <w:widowControl/>
              <w:spacing w:line="300" w:lineRule="exact"/>
              <w:jc w:val="left"/>
              <w:rPr>
                <w:rFonts w:ascii="宋体" w:hAnsi="宋体" w:eastAsia="宋体"/>
                <w:kern w:val="0"/>
                <w:szCs w:val="21"/>
              </w:rPr>
            </w:pPr>
          </w:p>
        </w:tc>
        <w:tc>
          <w:tcPr>
            <w:tcW w:w="567" w:type="dxa"/>
            <w:vMerge w:val="continue"/>
            <w:noWrap/>
            <w:vAlign w:val="center"/>
          </w:tcPr>
          <w:p>
            <w:pPr>
              <w:spacing w:line="300" w:lineRule="exact"/>
              <w:jc w:val="center"/>
              <w:rPr>
                <w:rFonts w:ascii="宋体" w:hAnsi="宋体" w:eastAsia="宋体"/>
                <w:kern w:val="0"/>
                <w:szCs w:val="21"/>
              </w:rPr>
            </w:pPr>
          </w:p>
        </w:tc>
        <w:tc>
          <w:tcPr>
            <w:tcW w:w="1005" w:type="dxa"/>
            <w:noWrap/>
            <w:vAlign w:val="center"/>
          </w:tcPr>
          <w:p>
            <w:pPr>
              <w:widowControl/>
              <w:spacing w:line="300" w:lineRule="exact"/>
              <w:jc w:val="center"/>
              <w:rPr>
                <w:rFonts w:ascii="宋体" w:hAnsi="宋体" w:eastAsia="宋体"/>
                <w:kern w:val="0"/>
                <w:szCs w:val="21"/>
              </w:rPr>
            </w:pPr>
            <w:r>
              <w:rPr>
                <w:rFonts w:hint="eastAsia" w:ascii="宋体" w:hAnsi="宋体" w:eastAsia="宋体"/>
                <w:color w:val="000000"/>
                <w:szCs w:val="21"/>
              </w:rPr>
              <w:t>基层组织管理</w:t>
            </w:r>
          </w:p>
        </w:tc>
        <w:tc>
          <w:tcPr>
            <w:tcW w:w="708" w:type="dxa"/>
            <w:noWrap/>
            <w:vAlign w:val="center"/>
          </w:tcPr>
          <w:p>
            <w:pPr>
              <w:jc w:val="center"/>
              <w:rPr>
                <w:rFonts w:ascii="宋体" w:hAnsi="宋体" w:eastAsia="宋体" w:cs="宋体"/>
                <w:color w:val="000000"/>
                <w:szCs w:val="21"/>
              </w:rPr>
            </w:pPr>
            <w:r>
              <w:rPr>
                <w:rFonts w:hint="eastAsia" w:ascii="宋体" w:hAnsi="宋体" w:eastAsia="宋体"/>
                <w:color w:val="000000"/>
                <w:szCs w:val="21"/>
              </w:rPr>
              <w:t>2.5</w:t>
            </w:r>
          </w:p>
        </w:tc>
        <w:tc>
          <w:tcPr>
            <w:tcW w:w="5764" w:type="dxa"/>
            <w:noWrap/>
            <w:vAlign w:val="center"/>
          </w:tcPr>
          <w:p>
            <w:pPr>
              <w:spacing w:line="300" w:lineRule="exact"/>
              <w:jc w:val="left"/>
              <w:rPr>
                <w:rFonts w:ascii="宋体" w:hAnsi="宋体" w:eastAsia="宋体"/>
                <w:kern w:val="0"/>
                <w:szCs w:val="21"/>
              </w:rPr>
            </w:pPr>
            <w:r>
              <w:rPr>
                <w:rFonts w:hint="eastAsia" w:ascii="宋体" w:hAnsi="宋体" w:eastAsia="宋体" w:cs="仿宋_GB2312"/>
                <w:szCs w:val="21"/>
              </w:rPr>
              <w:t>19个村社区平稳有序高效完成村社组织换届选举工作，得1.5分；</w:t>
            </w:r>
            <w:r>
              <w:rPr>
                <w:rFonts w:hint="eastAsia" w:ascii="宋体" w:hAnsi="宋体" w:eastAsia="宋体" w:cs="仿宋_GB2312"/>
                <w:color w:val="000000"/>
                <w:szCs w:val="21"/>
              </w:rPr>
              <w:t>根据问卷</w:t>
            </w:r>
            <w:r>
              <w:rPr>
                <w:rFonts w:ascii="宋体" w:hAnsi="宋体" w:eastAsia="宋体" w:cs="仿宋_GB2312"/>
                <w:color w:val="000000"/>
                <w:szCs w:val="21"/>
              </w:rPr>
              <w:t>2，</w:t>
            </w:r>
            <w:r>
              <w:rPr>
                <w:rFonts w:hint="eastAsia" w:ascii="宋体" w:hAnsi="宋体" w:eastAsia="宋体" w:cs="仿宋_GB2312"/>
                <w:szCs w:val="21"/>
              </w:rPr>
              <w:t>得分=（60*1+3*0.8）/63=0.99分</w:t>
            </w:r>
          </w:p>
        </w:tc>
        <w:tc>
          <w:tcPr>
            <w:tcW w:w="1134" w:type="dxa"/>
            <w:noWrap/>
            <w:vAlign w:val="center"/>
          </w:tcPr>
          <w:p>
            <w:pPr>
              <w:spacing w:line="300" w:lineRule="exact"/>
              <w:jc w:val="center"/>
              <w:rPr>
                <w:rFonts w:ascii="宋体" w:hAnsi="宋体" w:eastAsia="宋体"/>
                <w:kern w:val="0"/>
                <w:szCs w:val="21"/>
              </w:rPr>
            </w:pPr>
            <w:r>
              <w:rPr>
                <w:rFonts w:hint="eastAsia" w:ascii="宋体" w:hAnsi="宋体" w:eastAsia="宋体"/>
                <w:kern w:val="0"/>
                <w:szCs w:val="21"/>
              </w:rPr>
              <w:t>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481" w:type="dxa"/>
            <w:vMerge w:val="continue"/>
            <w:noWrap/>
            <w:vAlign w:val="center"/>
          </w:tcPr>
          <w:p>
            <w:pPr>
              <w:widowControl/>
              <w:spacing w:line="300" w:lineRule="exact"/>
              <w:jc w:val="left"/>
              <w:rPr>
                <w:rFonts w:ascii="宋体" w:hAnsi="宋体" w:eastAsia="宋体"/>
                <w:kern w:val="0"/>
                <w:szCs w:val="21"/>
              </w:rPr>
            </w:pPr>
          </w:p>
        </w:tc>
        <w:tc>
          <w:tcPr>
            <w:tcW w:w="567" w:type="dxa"/>
            <w:vMerge w:val="continue"/>
            <w:noWrap/>
            <w:vAlign w:val="center"/>
          </w:tcPr>
          <w:p>
            <w:pPr>
              <w:spacing w:line="300" w:lineRule="exact"/>
              <w:jc w:val="center"/>
              <w:rPr>
                <w:rFonts w:ascii="宋体" w:hAnsi="宋体" w:eastAsia="宋体"/>
                <w:kern w:val="0"/>
                <w:szCs w:val="21"/>
              </w:rPr>
            </w:pPr>
          </w:p>
        </w:tc>
        <w:tc>
          <w:tcPr>
            <w:tcW w:w="1005" w:type="dxa"/>
            <w:noWrap/>
            <w:vAlign w:val="center"/>
          </w:tcPr>
          <w:p>
            <w:pPr>
              <w:widowControl/>
              <w:spacing w:line="300" w:lineRule="exact"/>
              <w:jc w:val="center"/>
              <w:rPr>
                <w:rFonts w:ascii="宋体" w:hAnsi="宋体" w:eastAsia="宋体"/>
                <w:kern w:val="0"/>
                <w:szCs w:val="21"/>
              </w:rPr>
            </w:pPr>
            <w:r>
              <w:rPr>
                <w:rFonts w:hint="eastAsia" w:ascii="宋体" w:hAnsi="宋体" w:eastAsia="宋体"/>
                <w:color w:val="000000"/>
                <w:szCs w:val="21"/>
              </w:rPr>
              <w:t>党建工作</w:t>
            </w:r>
          </w:p>
        </w:tc>
        <w:tc>
          <w:tcPr>
            <w:tcW w:w="708" w:type="dxa"/>
            <w:noWrap/>
            <w:vAlign w:val="center"/>
          </w:tcPr>
          <w:p>
            <w:pPr>
              <w:jc w:val="center"/>
              <w:rPr>
                <w:rFonts w:ascii="宋体" w:hAnsi="宋体" w:eastAsia="宋体" w:cs="宋体"/>
                <w:color w:val="000000"/>
                <w:szCs w:val="21"/>
              </w:rPr>
            </w:pPr>
            <w:r>
              <w:rPr>
                <w:rFonts w:hint="eastAsia" w:ascii="宋体" w:hAnsi="宋体" w:eastAsia="宋体"/>
                <w:color w:val="000000"/>
                <w:szCs w:val="21"/>
              </w:rPr>
              <w:t>2</w:t>
            </w:r>
          </w:p>
        </w:tc>
        <w:tc>
          <w:tcPr>
            <w:tcW w:w="5764" w:type="dxa"/>
            <w:noWrap/>
            <w:vAlign w:val="center"/>
          </w:tcPr>
          <w:p>
            <w:pPr>
              <w:spacing w:line="300" w:lineRule="exact"/>
              <w:jc w:val="left"/>
              <w:rPr>
                <w:rFonts w:ascii="宋体" w:hAnsi="宋体" w:eastAsia="宋体"/>
                <w:kern w:val="0"/>
                <w:szCs w:val="21"/>
              </w:rPr>
            </w:pPr>
            <w:r>
              <w:rPr>
                <w:rFonts w:hint="eastAsia" w:ascii="宋体" w:hAnsi="宋体" w:eastAsia="宋体"/>
                <w:kern w:val="0"/>
                <w:szCs w:val="21"/>
              </w:rPr>
              <w:t>2020年城西街道党建考核为良，得1.6分</w:t>
            </w:r>
          </w:p>
        </w:tc>
        <w:tc>
          <w:tcPr>
            <w:tcW w:w="1134" w:type="dxa"/>
            <w:noWrap/>
            <w:vAlign w:val="center"/>
          </w:tcPr>
          <w:p>
            <w:pPr>
              <w:spacing w:line="300" w:lineRule="exact"/>
              <w:jc w:val="center"/>
              <w:rPr>
                <w:rFonts w:ascii="宋体" w:hAnsi="宋体" w:eastAsia="宋体"/>
                <w:kern w:val="0"/>
                <w:szCs w:val="21"/>
              </w:rPr>
            </w:pPr>
            <w:r>
              <w:rPr>
                <w:rFonts w:hint="eastAsia" w:ascii="宋体" w:hAnsi="宋体" w:eastAsia="宋体"/>
                <w:kern w:val="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jc w:val="center"/>
        </w:trPr>
        <w:tc>
          <w:tcPr>
            <w:tcW w:w="481" w:type="dxa"/>
            <w:vMerge w:val="continue"/>
            <w:noWrap/>
            <w:vAlign w:val="center"/>
          </w:tcPr>
          <w:p>
            <w:pPr>
              <w:widowControl/>
              <w:spacing w:line="300" w:lineRule="exact"/>
              <w:jc w:val="left"/>
              <w:rPr>
                <w:rFonts w:ascii="宋体" w:hAnsi="宋体" w:eastAsia="宋体"/>
                <w:kern w:val="0"/>
                <w:szCs w:val="21"/>
              </w:rPr>
            </w:pPr>
          </w:p>
        </w:tc>
        <w:tc>
          <w:tcPr>
            <w:tcW w:w="567" w:type="dxa"/>
            <w:vMerge w:val="continue"/>
            <w:noWrap/>
            <w:vAlign w:val="center"/>
          </w:tcPr>
          <w:p>
            <w:pPr>
              <w:spacing w:line="300" w:lineRule="exact"/>
              <w:jc w:val="center"/>
              <w:rPr>
                <w:rFonts w:ascii="宋体" w:hAnsi="宋体" w:eastAsia="宋体"/>
                <w:kern w:val="0"/>
                <w:szCs w:val="21"/>
              </w:rPr>
            </w:pPr>
          </w:p>
        </w:tc>
        <w:tc>
          <w:tcPr>
            <w:tcW w:w="1005" w:type="dxa"/>
            <w:noWrap/>
            <w:vAlign w:val="center"/>
          </w:tcPr>
          <w:p>
            <w:pPr>
              <w:widowControl/>
              <w:spacing w:line="300" w:lineRule="exact"/>
              <w:jc w:val="center"/>
              <w:rPr>
                <w:rFonts w:ascii="宋体" w:hAnsi="宋体" w:eastAsia="宋体"/>
                <w:kern w:val="0"/>
                <w:szCs w:val="21"/>
              </w:rPr>
            </w:pPr>
            <w:r>
              <w:rPr>
                <w:rFonts w:hint="eastAsia" w:ascii="宋体" w:hAnsi="宋体" w:eastAsia="宋体"/>
                <w:color w:val="000000"/>
                <w:szCs w:val="21"/>
              </w:rPr>
              <w:t>法制政府建设</w:t>
            </w:r>
          </w:p>
        </w:tc>
        <w:tc>
          <w:tcPr>
            <w:tcW w:w="708" w:type="dxa"/>
            <w:noWrap/>
            <w:vAlign w:val="center"/>
          </w:tcPr>
          <w:p>
            <w:pPr>
              <w:jc w:val="center"/>
              <w:rPr>
                <w:rFonts w:ascii="宋体" w:hAnsi="宋体" w:eastAsia="宋体" w:cs="宋体"/>
                <w:color w:val="000000"/>
                <w:szCs w:val="21"/>
              </w:rPr>
            </w:pPr>
            <w:r>
              <w:rPr>
                <w:rFonts w:hint="eastAsia" w:ascii="宋体" w:hAnsi="宋体" w:eastAsia="宋体"/>
                <w:color w:val="000000"/>
                <w:szCs w:val="21"/>
              </w:rPr>
              <w:t>2.5</w:t>
            </w:r>
          </w:p>
        </w:tc>
        <w:tc>
          <w:tcPr>
            <w:tcW w:w="5764" w:type="dxa"/>
            <w:noWrap/>
            <w:vAlign w:val="center"/>
          </w:tcPr>
          <w:p>
            <w:pPr>
              <w:spacing w:line="300" w:lineRule="exact"/>
              <w:jc w:val="left"/>
              <w:rPr>
                <w:rFonts w:ascii="宋体" w:hAnsi="宋体" w:eastAsia="宋体"/>
                <w:kern w:val="0"/>
                <w:szCs w:val="21"/>
              </w:rPr>
            </w:pPr>
            <w:r>
              <w:rPr>
                <w:rFonts w:hint="eastAsia" w:ascii="宋体" w:hAnsi="宋体" w:eastAsia="宋体" w:cs="仿宋_GB2312"/>
                <w:color w:val="000000"/>
                <w:szCs w:val="21"/>
              </w:rPr>
              <w:t>按照《法治政府建设实施纲要（</w:t>
            </w:r>
            <w:r>
              <w:rPr>
                <w:rFonts w:ascii="宋体" w:hAnsi="宋体" w:eastAsia="宋体" w:cs="仿宋_GB2312"/>
                <w:color w:val="000000"/>
                <w:szCs w:val="21"/>
              </w:rPr>
              <w:t>2015－2020年）》要求，完善依法行政制度体系，全面推行行政执法三项制度，</w:t>
            </w:r>
            <w:r>
              <w:rPr>
                <w:rFonts w:hint="eastAsia" w:ascii="宋体" w:hAnsi="宋体" w:eastAsia="宋体" w:cs="仿宋_GB2312"/>
                <w:color w:val="000000"/>
                <w:szCs w:val="21"/>
              </w:rPr>
              <w:t>基本达到法治政府建设要求，但存在行政执法持证率未达标，得1.2分；根据问卷3，得分=（53*1+9*0.8+1*0.6）/63=0.96分</w:t>
            </w:r>
          </w:p>
        </w:tc>
        <w:tc>
          <w:tcPr>
            <w:tcW w:w="1134" w:type="dxa"/>
            <w:noWrap/>
            <w:vAlign w:val="center"/>
          </w:tcPr>
          <w:p>
            <w:pPr>
              <w:spacing w:line="300" w:lineRule="exact"/>
              <w:jc w:val="center"/>
              <w:rPr>
                <w:rFonts w:ascii="宋体" w:hAnsi="宋体" w:eastAsia="宋体"/>
                <w:kern w:val="0"/>
                <w:szCs w:val="21"/>
              </w:rPr>
            </w:pPr>
            <w:r>
              <w:rPr>
                <w:rFonts w:hint="eastAsia" w:ascii="宋体" w:hAnsi="宋体" w:eastAsia="宋体"/>
                <w:kern w:val="0"/>
                <w:szCs w:val="21"/>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jc w:val="center"/>
        </w:trPr>
        <w:tc>
          <w:tcPr>
            <w:tcW w:w="481" w:type="dxa"/>
            <w:vMerge w:val="continue"/>
            <w:noWrap/>
            <w:vAlign w:val="center"/>
          </w:tcPr>
          <w:p>
            <w:pPr>
              <w:widowControl/>
              <w:spacing w:line="300" w:lineRule="exact"/>
              <w:jc w:val="left"/>
              <w:rPr>
                <w:rFonts w:ascii="宋体" w:hAnsi="宋体" w:eastAsia="宋体"/>
                <w:kern w:val="0"/>
                <w:szCs w:val="21"/>
              </w:rPr>
            </w:pPr>
          </w:p>
        </w:tc>
        <w:tc>
          <w:tcPr>
            <w:tcW w:w="567" w:type="dxa"/>
            <w:vMerge w:val="continue"/>
            <w:noWrap/>
            <w:vAlign w:val="center"/>
          </w:tcPr>
          <w:p>
            <w:pPr>
              <w:spacing w:line="300" w:lineRule="exact"/>
              <w:jc w:val="center"/>
              <w:rPr>
                <w:rFonts w:ascii="宋体" w:hAnsi="宋体" w:eastAsia="宋体"/>
                <w:kern w:val="0"/>
                <w:szCs w:val="21"/>
              </w:rPr>
            </w:pPr>
          </w:p>
        </w:tc>
        <w:tc>
          <w:tcPr>
            <w:tcW w:w="1005" w:type="dxa"/>
            <w:noWrap/>
            <w:vAlign w:val="center"/>
          </w:tcPr>
          <w:p>
            <w:pPr>
              <w:widowControl/>
              <w:spacing w:line="300" w:lineRule="exact"/>
              <w:jc w:val="center"/>
              <w:rPr>
                <w:rFonts w:ascii="宋体" w:hAnsi="宋体" w:eastAsia="宋体"/>
                <w:kern w:val="0"/>
                <w:szCs w:val="21"/>
              </w:rPr>
            </w:pPr>
            <w:r>
              <w:rPr>
                <w:rFonts w:hint="eastAsia" w:ascii="宋体" w:hAnsi="宋体" w:eastAsia="宋体"/>
                <w:color w:val="000000"/>
                <w:szCs w:val="21"/>
              </w:rPr>
              <w:t>城市治理体系建设</w:t>
            </w:r>
          </w:p>
        </w:tc>
        <w:tc>
          <w:tcPr>
            <w:tcW w:w="708" w:type="dxa"/>
            <w:noWrap/>
            <w:vAlign w:val="center"/>
          </w:tcPr>
          <w:p>
            <w:pPr>
              <w:jc w:val="center"/>
              <w:rPr>
                <w:rFonts w:ascii="宋体" w:hAnsi="宋体" w:eastAsia="宋体" w:cs="宋体"/>
                <w:color w:val="000000"/>
                <w:szCs w:val="21"/>
              </w:rPr>
            </w:pPr>
            <w:r>
              <w:rPr>
                <w:rFonts w:hint="eastAsia" w:ascii="宋体" w:hAnsi="宋体" w:eastAsia="宋体"/>
                <w:color w:val="000000"/>
                <w:szCs w:val="21"/>
              </w:rPr>
              <w:t>2</w:t>
            </w:r>
          </w:p>
        </w:tc>
        <w:tc>
          <w:tcPr>
            <w:tcW w:w="5764" w:type="dxa"/>
            <w:noWrap/>
            <w:vAlign w:val="center"/>
          </w:tcPr>
          <w:p>
            <w:pPr>
              <w:spacing w:line="300" w:lineRule="exact"/>
              <w:jc w:val="left"/>
              <w:rPr>
                <w:rFonts w:ascii="宋体" w:hAnsi="宋体" w:eastAsia="宋体"/>
                <w:kern w:val="0"/>
                <w:szCs w:val="21"/>
              </w:rPr>
            </w:pPr>
            <w:r>
              <w:rPr>
                <w:rFonts w:hint="eastAsia" w:ascii="宋体" w:hAnsi="宋体" w:eastAsia="宋体" w:cs="仿宋_GB2312"/>
                <w:color w:val="000000"/>
                <w:szCs w:val="21"/>
              </w:rPr>
              <w:t>街道联合市融媒体中心建成智慧治理平台和驾驶舱，全年建成智安小区、智安村居、智安单位18个，为城市治理和科学决策提供技术保障，得1.9分。</w:t>
            </w:r>
          </w:p>
        </w:tc>
        <w:tc>
          <w:tcPr>
            <w:tcW w:w="1134" w:type="dxa"/>
            <w:noWrap/>
            <w:vAlign w:val="center"/>
          </w:tcPr>
          <w:p>
            <w:pPr>
              <w:spacing w:line="300" w:lineRule="exact"/>
              <w:jc w:val="center"/>
              <w:rPr>
                <w:rFonts w:ascii="宋体" w:hAnsi="宋体" w:eastAsia="宋体"/>
                <w:kern w:val="0"/>
                <w:szCs w:val="21"/>
              </w:rPr>
            </w:pPr>
            <w:r>
              <w:rPr>
                <w:rFonts w:hint="eastAsia" w:ascii="宋体" w:hAnsi="宋体" w:eastAsia="宋体"/>
                <w:kern w:val="0"/>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5" w:hRule="atLeast"/>
          <w:jc w:val="center"/>
        </w:trPr>
        <w:tc>
          <w:tcPr>
            <w:tcW w:w="481" w:type="dxa"/>
            <w:vMerge w:val="continue"/>
            <w:noWrap/>
            <w:vAlign w:val="center"/>
          </w:tcPr>
          <w:p>
            <w:pPr>
              <w:widowControl/>
              <w:spacing w:line="300" w:lineRule="exact"/>
              <w:jc w:val="left"/>
              <w:rPr>
                <w:rFonts w:ascii="宋体" w:hAnsi="宋体" w:eastAsia="宋体"/>
                <w:kern w:val="0"/>
                <w:szCs w:val="21"/>
              </w:rPr>
            </w:pPr>
          </w:p>
        </w:tc>
        <w:tc>
          <w:tcPr>
            <w:tcW w:w="567" w:type="dxa"/>
            <w:vMerge w:val="continue"/>
            <w:noWrap/>
            <w:vAlign w:val="center"/>
          </w:tcPr>
          <w:p>
            <w:pPr>
              <w:spacing w:line="300" w:lineRule="exact"/>
              <w:jc w:val="center"/>
              <w:rPr>
                <w:rFonts w:ascii="宋体" w:hAnsi="宋体" w:eastAsia="宋体"/>
                <w:kern w:val="0"/>
                <w:szCs w:val="21"/>
              </w:rPr>
            </w:pPr>
          </w:p>
        </w:tc>
        <w:tc>
          <w:tcPr>
            <w:tcW w:w="1005" w:type="dxa"/>
            <w:noWrap/>
            <w:vAlign w:val="center"/>
          </w:tcPr>
          <w:p>
            <w:pPr>
              <w:widowControl/>
              <w:spacing w:line="300" w:lineRule="exact"/>
              <w:jc w:val="center"/>
              <w:rPr>
                <w:rFonts w:ascii="宋体" w:hAnsi="宋体" w:eastAsia="宋体"/>
                <w:kern w:val="0"/>
                <w:szCs w:val="21"/>
              </w:rPr>
            </w:pPr>
            <w:r>
              <w:rPr>
                <w:rFonts w:hint="eastAsia" w:ascii="宋体" w:hAnsi="宋体" w:eastAsia="宋体"/>
                <w:color w:val="000000"/>
                <w:szCs w:val="21"/>
              </w:rPr>
              <w:t>推进城镇化进程</w:t>
            </w:r>
          </w:p>
        </w:tc>
        <w:tc>
          <w:tcPr>
            <w:tcW w:w="708" w:type="dxa"/>
            <w:noWrap/>
            <w:vAlign w:val="center"/>
          </w:tcPr>
          <w:p>
            <w:pPr>
              <w:jc w:val="center"/>
              <w:rPr>
                <w:rFonts w:ascii="宋体" w:hAnsi="宋体" w:eastAsia="宋体" w:cs="宋体"/>
                <w:color w:val="000000"/>
                <w:szCs w:val="21"/>
              </w:rPr>
            </w:pPr>
            <w:r>
              <w:rPr>
                <w:rFonts w:hint="eastAsia" w:ascii="宋体" w:hAnsi="宋体" w:eastAsia="宋体"/>
                <w:color w:val="000000"/>
                <w:szCs w:val="21"/>
              </w:rPr>
              <w:t>2.5</w:t>
            </w:r>
          </w:p>
        </w:tc>
        <w:tc>
          <w:tcPr>
            <w:tcW w:w="5764" w:type="dxa"/>
            <w:noWrap/>
            <w:vAlign w:val="center"/>
          </w:tcPr>
          <w:p>
            <w:pPr>
              <w:spacing w:line="300" w:lineRule="exact"/>
              <w:jc w:val="left"/>
              <w:rPr>
                <w:rFonts w:ascii="宋体" w:hAnsi="宋体" w:eastAsia="宋体"/>
                <w:kern w:val="0"/>
                <w:szCs w:val="21"/>
              </w:rPr>
            </w:pPr>
            <w:r>
              <w:rPr>
                <w:rFonts w:hint="eastAsia" w:ascii="宋体" w:hAnsi="宋体" w:eastAsia="宋体" w:cs="仿宋_GB2312"/>
                <w:color w:val="000000"/>
                <w:szCs w:val="21"/>
              </w:rPr>
              <w:t>街道5项重点建设项目进度基本上达到要求；西溪四期、东辉隧道口、五洋路鉴洋区块等先后实现遗留户“清零”，全年累计“拔钉扫尾”27户37间；城中村改造复建推进正常，得2.5分。</w:t>
            </w:r>
          </w:p>
        </w:tc>
        <w:tc>
          <w:tcPr>
            <w:tcW w:w="1134" w:type="dxa"/>
            <w:noWrap/>
            <w:vAlign w:val="center"/>
          </w:tcPr>
          <w:p>
            <w:pPr>
              <w:spacing w:line="300" w:lineRule="exact"/>
              <w:jc w:val="center"/>
              <w:rPr>
                <w:rFonts w:ascii="宋体" w:hAnsi="宋体" w:eastAsia="宋体"/>
                <w:kern w:val="0"/>
                <w:szCs w:val="21"/>
              </w:rPr>
            </w:pPr>
            <w:r>
              <w:rPr>
                <w:rFonts w:hint="eastAsia" w:ascii="宋体" w:hAnsi="宋体" w:eastAsia="宋体"/>
                <w:kern w:val="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6" w:hRule="atLeast"/>
          <w:jc w:val="center"/>
        </w:trPr>
        <w:tc>
          <w:tcPr>
            <w:tcW w:w="481" w:type="dxa"/>
            <w:vMerge w:val="continue"/>
            <w:noWrap/>
            <w:vAlign w:val="center"/>
          </w:tcPr>
          <w:p>
            <w:pPr>
              <w:widowControl/>
              <w:spacing w:line="300" w:lineRule="exact"/>
              <w:jc w:val="left"/>
              <w:rPr>
                <w:rFonts w:ascii="宋体" w:hAnsi="宋体" w:eastAsia="宋体"/>
                <w:kern w:val="0"/>
                <w:szCs w:val="21"/>
              </w:rPr>
            </w:pPr>
          </w:p>
        </w:tc>
        <w:tc>
          <w:tcPr>
            <w:tcW w:w="567" w:type="dxa"/>
            <w:vMerge w:val="continue"/>
            <w:noWrap/>
            <w:vAlign w:val="center"/>
          </w:tcPr>
          <w:p>
            <w:pPr>
              <w:spacing w:line="300" w:lineRule="exact"/>
              <w:jc w:val="center"/>
              <w:rPr>
                <w:rFonts w:ascii="宋体" w:hAnsi="宋体" w:eastAsia="宋体"/>
                <w:kern w:val="0"/>
                <w:szCs w:val="21"/>
              </w:rPr>
            </w:pPr>
          </w:p>
        </w:tc>
        <w:tc>
          <w:tcPr>
            <w:tcW w:w="1005" w:type="dxa"/>
            <w:noWrap/>
            <w:vAlign w:val="center"/>
          </w:tcPr>
          <w:p>
            <w:pPr>
              <w:widowControl/>
              <w:spacing w:line="300" w:lineRule="exact"/>
              <w:jc w:val="center"/>
              <w:rPr>
                <w:rFonts w:ascii="宋体" w:hAnsi="宋体" w:eastAsia="宋体"/>
                <w:kern w:val="0"/>
                <w:szCs w:val="21"/>
              </w:rPr>
            </w:pPr>
            <w:r>
              <w:rPr>
                <w:rFonts w:hint="eastAsia" w:ascii="宋体" w:hAnsi="宋体" w:eastAsia="宋体"/>
                <w:color w:val="000000"/>
                <w:szCs w:val="21"/>
              </w:rPr>
              <w:t>促进社会稳定</w:t>
            </w:r>
          </w:p>
        </w:tc>
        <w:tc>
          <w:tcPr>
            <w:tcW w:w="708" w:type="dxa"/>
            <w:noWrap/>
            <w:vAlign w:val="center"/>
          </w:tcPr>
          <w:p>
            <w:pPr>
              <w:jc w:val="center"/>
              <w:rPr>
                <w:rFonts w:ascii="宋体" w:hAnsi="宋体" w:eastAsia="宋体" w:cs="宋体"/>
                <w:color w:val="000000"/>
                <w:szCs w:val="21"/>
              </w:rPr>
            </w:pPr>
            <w:r>
              <w:rPr>
                <w:rFonts w:hint="eastAsia" w:ascii="宋体" w:hAnsi="宋体" w:eastAsia="宋体"/>
                <w:color w:val="000000"/>
                <w:szCs w:val="21"/>
              </w:rPr>
              <w:t>3</w:t>
            </w:r>
          </w:p>
        </w:tc>
        <w:tc>
          <w:tcPr>
            <w:tcW w:w="5764" w:type="dxa"/>
            <w:noWrap/>
            <w:vAlign w:val="center"/>
          </w:tcPr>
          <w:p>
            <w:pPr>
              <w:spacing w:line="300" w:lineRule="exact"/>
              <w:jc w:val="left"/>
              <w:rPr>
                <w:rFonts w:ascii="宋体" w:hAnsi="宋体" w:eastAsia="宋体"/>
                <w:kern w:val="0"/>
                <w:szCs w:val="21"/>
              </w:rPr>
            </w:pPr>
            <w:r>
              <w:rPr>
                <w:rFonts w:hint="eastAsia" w:ascii="宋体" w:hAnsi="宋体" w:eastAsia="宋体" w:cs="仿宋_GB2312"/>
                <w:color w:val="000000"/>
                <w:szCs w:val="21"/>
              </w:rPr>
              <w:t>全部落实对低保救助、儿童福利对象、残疾人、优扶对象的补助，得1分；新建街道矛盾纠纷调处化解中心，吸收社区律师、专职人民调解员，实现“矛调中心”与“四个平台”对接，流转处置各类事件7541件并全部办结，成功化解市级交办积案和历史平台积案各3起，得1分；根据问卷4，得分=（60*1+3*0.8）/63=0.99分</w:t>
            </w:r>
          </w:p>
        </w:tc>
        <w:tc>
          <w:tcPr>
            <w:tcW w:w="1134" w:type="dxa"/>
            <w:noWrap/>
            <w:vAlign w:val="center"/>
          </w:tcPr>
          <w:p>
            <w:pPr>
              <w:spacing w:line="300" w:lineRule="exact"/>
              <w:jc w:val="center"/>
              <w:rPr>
                <w:rFonts w:ascii="宋体" w:hAnsi="宋体" w:eastAsia="宋体"/>
                <w:kern w:val="0"/>
                <w:szCs w:val="21"/>
              </w:rPr>
            </w:pPr>
            <w:r>
              <w:rPr>
                <w:rFonts w:hint="eastAsia" w:ascii="宋体" w:hAnsi="宋体" w:eastAsia="宋体"/>
                <w:kern w:val="0"/>
                <w:szCs w:val="21"/>
              </w:rPr>
              <w:t>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3" w:hRule="atLeast"/>
          <w:jc w:val="center"/>
        </w:trPr>
        <w:tc>
          <w:tcPr>
            <w:tcW w:w="481" w:type="dxa"/>
            <w:vMerge w:val="continue"/>
            <w:noWrap/>
            <w:vAlign w:val="center"/>
          </w:tcPr>
          <w:p>
            <w:pPr>
              <w:widowControl/>
              <w:spacing w:line="300" w:lineRule="exact"/>
              <w:jc w:val="left"/>
              <w:rPr>
                <w:rFonts w:ascii="宋体" w:hAnsi="宋体" w:eastAsia="宋体"/>
                <w:kern w:val="0"/>
                <w:szCs w:val="21"/>
              </w:rPr>
            </w:pPr>
          </w:p>
        </w:tc>
        <w:tc>
          <w:tcPr>
            <w:tcW w:w="567" w:type="dxa"/>
            <w:vMerge w:val="continue"/>
            <w:noWrap/>
            <w:vAlign w:val="center"/>
          </w:tcPr>
          <w:p>
            <w:pPr>
              <w:spacing w:line="300" w:lineRule="exact"/>
              <w:jc w:val="center"/>
              <w:rPr>
                <w:rFonts w:ascii="宋体" w:hAnsi="宋体" w:eastAsia="宋体"/>
                <w:kern w:val="0"/>
                <w:szCs w:val="21"/>
              </w:rPr>
            </w:pPr>
          </w:p>
        </w:tc>
        <w:tc>
          <w:tcPr>
            <w:tcW w:w="1005" w:type="dxa"/>
            <w:noWrap/>
            <w:vAlign w:val="center"/>
          </w:tcPr>
          <w:p>
            <w:pPr>
              <w:widowControl/>
              <w:spacing w:line="300" w:lineRule="exact"/>
              <w:jc w:val="center"/>
              <w:rPr>
                <w:rFonts w:ascii="宋体" w:hAnsi="宋体" w:eastAsia="宋体"/>
                <w:kern w:val="0"/>
                <w:szCs w:val="21"/>
              </w:rPr>
            </w:pPr>
            <w:r>
              <w:rPr>
                <w:rFonts w:hint="eastAsia" w:ascii="宋体" w:hAnsi="宋体" w:eastAsia="宋体"/>
                <w:color w:val="000000"/>
                <w:szCs w:val="21"/>
              </w:rPr>
              <w:t>社会服务事务管理</w:t>
            </w:r>
          </w:p>
        </w:tc>
        <w:tc>
          <w:tcPr>
            <w:tcW w:w="708" w:type="dxa"/>
            <w:noWrap/>
            <w:vAlign w:val="center"/>
          </w:tcPr>
          <w:p>
            <w:pPr>
              <w:jc w:val="center"/>
              <w:rPr>
                <w:rFonts w:ascii="宋体" w:hAnsi="宋体" w:eastAsia="宋体" w:cs="宋体"/>
                <w:color w:val="000000"/>
                <w:szCs w:val="21"/>
              </w:rPr>
            </w:pPr>
            <w:r>
              <w:rPr>
                <w:rFonts w:hint="eastAsia" w:ascii="宋体" w:hAnsi="宋体" w:eastAsia="宋体"/>
                <w:color w:val="000000"/>
                <w:szCs w:val="21"/>
              </w:rPr>
              <w:t>3</w:t>
            </w:r>
          </w:p>
        </w:tc>
        <w:tc>
          <w:tcPr>
            <w:tcW w:w="5764" w:type="dxa"/>
            <w:noWrap/>
            <w:vAlign w:val="center"/>
          </w:tcPr>
          <w:p>
            <w:pPr>
              <w:spacing w:line="300" w:lineRule="exact"/>
              <w:jc w:val="left"/>
              <w:rPr>
                <w:rFonts w:ascii="宋体" w:hAnsi="宋体" w:eastAsia="宋体"/>
                <w:kern w:val="0"/>
                <w:szCs w:val="21"/>
              </w:rPr>
            </w:pPr>
            <w:r>
              <w:rPr>
                <w:rFonts w:hint="eastAsia" w:ascii="宋体" w:hAnsi="宋体" w:eastAsia="宋体" w:cs="仿宋_GB2312"/>
                <w:color w:val="000000"/>
                <w:szCs w:val="21"/>
              </w:rPr>
              <w:t>创建浙江省三星级街道食安办，神童门学校新建项目如期开工，顺利完成市五中运动场修复工程、城西街道幼儿园综合素质实践基地建设，</w:t>
            </w:r>
            <w:r>
              <w:rPr>
                <w:rFonts w:ascii="宋体" w:hAnsi="宋体" w:eastAsia="宋体" w:cs="仿宋_GB2312"/>
                <w:color w:val="000000"/>
                <w:szCs w:val="21"/>
              </w:rPr>
              <w:t>通过全国卫生城市复评，成功创建省级卫生村3个</w:t>
            </w:r>
            <w:r>
              <w:rPr>
                <w:rFonts w:hint="eastAsia" w:ascii="宋体" w:hAnsi="宋体" w:eastAsia="宋体" w:cs="仿宋_GB2312"/>
                <w:color w:val="000000"/>
                <w:szCs w:val="21"/>
              </w:rPr>
              <w:t>，得2分；根据问卷5，得分=（60*1+3*0.8）/63=0.99分。</w:t>
            </w:r>
          </w:p>
        </w:tc>
        <w:tc>
          <w:tcPr>
            <w:tcW w:w="1134" w:type="dxa"/>
            <w:noWrap/>
            <w:vAlign w:val="center"/>
          </w:tcPr>
          <w:p>
            <w:pPr>
              <w:spacing w:line="300" w:lineRule="exact"/>
              <w:jc w:val="center"/>
              <w:rPr>
                <w:rFonts w:ascii="宋体" w:hAnsi="宋体" w:eastAsia="宋体"/>
                <w:kern w:val="0"/>
                <w:szCs w:val="21"/>
              </w:rPr>
            </w:pPr>
            <w:r>
              <w:rPr>
                <w:rFonts w:hint="eastAsia" w:ascii="宋体" w:hAnsi="宋体" w:eastAsia="宋体"/>
                <w:kern w:val="0"/>
                <w:szCs w:val="21"/>
              </w:rPr>
              <w:t>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1" w:hRule="atLeast"/>
          <w:jc w:val="center"/>
        </w:trPr>
        <w:tc>
          <w:tcPr>
            <w:tcW w:w="481" w:type="dxa"/>
            <w:vMerge w:val="continue"/>
            <w:noWrap/>
            <w:vAlign w:val="center"/>
          </w:tcPr>
          <w:p>
            <w:pPr>
              <w:widowControl/>
              <w:spacing w:line="300" w:lineRule="exact"/>
              <w:jc w:val="left"/>
              <w:rPr>
                <w:rFonts w:ascii="宋体" w:hAnsi="宋体" w:eastAsia="宋体"/>
                <w:kern w:val="0"/>
                <w:szCs w:val="21"/>
              </w:rPr>
            </w:pPr>
          </w:p>
        </w:tc>
        <w:tc>
          <w:tcPr>
            <w:tcW w:w="567" w:type="dxa"/>
            <w:vMerge w:val="continue"/>
            <w:noWrap/>
            <w:vAlign w:val="center"/>
          </w:tcPr>
          <w:p>
            <w:pPr>
              <w:spacing w:line="300" w:lineRule="exact"/>
              <w:jc w:val="center"/>
              <w:rPr>
                <w:rFonts w:ascii="宋体" w:hAnsi="宋体" w:eastAsia="宋体"/>
                <w:kern w:val="0"/>
                <w:szCs w:val="21"/>
              </w:rPr>
            </w:pPr>
          </w:p>
        </w:tc>
        <w:tc>
          <w:tcPr>
            <w:tcW w:w="1005" w:type="dxa"/>
            <w:noWrap/>
            <w:vAlign w:val="center"/>
          </w:tcPr>
          <w:p>
            <w:pPr>
              <w:widowControl/>
              <w:spacing w:line="300" w:lineRule="exact"/>
              <w:jc w:val="center"/>
              <w:rPr>
                <w:rFonts w:ascii="宋体" w:hAnsi="宋体" w:eastAsia="宋体" w:cs="仿宋_GB2312"/>
                <w:color w:val="000000"/>
                <w:szCs w:val="21"/>
              </w:rPr>
            </w:pPr>
            <w:r>
              <w:rPr>
                <w:rFonts w:hint="eastAsia" w:ascii="宋体" w:hAnsi="宋体" w:eastAsia="宋体" w:cs="仿宋_GB2312"/>
                <w:color w:val="000000"/>
                <w:szCs w:val="21"/>
              </w:rPr>
              <w:t>安全消防管理</w:t>
            </w:r>
          </w:p>
        </w:tc>
        <w:tc>
          <w:tcPr>
            <w:tcW w:w="708" w:type="dxa"/>
            <w:noWrap/>
            <w:vAlign w:val="center"/>
          </w:tcPr>
          <w:p>
            <w:pPr>
              <w:jc w:val="center"/>
              <w:rPr>
                <w:rFonts w:ascii="宋体" w:hAnsi="宋体" w:eastAsia="宋体" w:cs="宋体"/>
                <w:color w:val="000000"/>
                <w:szCs w:val="21"/>
              </w:rPr>
            </w:pPr>
            <w:r>
              <w:rPr>
                <w:rFonts w:hint="eastAsia" w:ascii="宋体" w:hAnsi="宋体" w:eastAsia="宋体"/>
                <w:color w:val="000000"/>
                <w:szCs w:val="21"/>
              </w:rPr>
              <w:t>2.5</w:t>
            </w:r>
          </w:p>
        </w:tc>
        <w:tc>
          <w:tcPr>
            <w:tcW w:w="5764" w:type="dxa"/>
            <w:noWrap/>
            <w:vAlign w:val="center"/>
          </w:tcPr>
          <w:p>
            <w:pPr>
              <w:rPr>
                <w:rFonts w:ascii="宋体" w:hAnsi="宋体" w:eastAsia="宋体" w:cs="仿宋_GB2312"/>
                <w:color w:val="000000"/>
                <w:szCs w:val="21"/>
              </w:rPr>
            </w:pPr>
            <w:r>
              <w:rPr>
                <w:rFonts w:hint="eastAsia" w:ascii="宋体" w:hAnsi="宋体" w:eastAsia="宋体" w:cs="仿宋_GB2312"/>
                <w:color w:val="000000"/>
                <w:szCs w:val="21"/>
              </w:rPr>
              <w:t>检查各类单位1325家，发现3520处，整改3402处，立案53家，处罚金额12.45万元，责令停产停业143家，关闭8家，得1.2分。2020年全年街道共接火警33起，火灾5起，同比2019年下降15.38%、16.67%，得1分。</w:t>
            </w:r>
          </w:p>
        </w:tc>
        <w:tc>
          <w:tcPr>
            <w:tcW w:w="1134" w:type="dxa"/>
            <w:noWrap/>
            <w:vAlign w:val="center"/>
          </w:tcPr>
          <w:p>
            <w:pPr>
              <w:spacing w:line="300" w:lineRule="exact"/>
              <w:jc w:val="center"/>
              <w:rPr>
                <w:rFonts w:ascii="宋体" w:hAnsi="宋体" w:eastAsia="宋体"/>
                <w:kern w:val="0"/>
                <w:szCs w:val="21"/>
              </w:rPr>
            </w:pPr>
            <w:r>
              <w:rPr>
                <w:rFonts w:hint="eastAsia" w:ascii="宋体" w:hAnsi="宋体" w:eastAsia="宋体"/>
                <w:kern w:val="0"/>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481" w:type="dxa"/>
            <w:vMerge w:val="continue"/>
            <w:noWrap/>
            <w:vAlign w:val="center"/>
          </w:tcPr>
          <w:p>
            <w:pPr>
              <w:widowControl/>
              <w:spacing w:line="300" w:lineRule="exact"/>
              <w:jc w:val="left"/>
              <w:rPr>
                <w:rFonts w:ascii="宋体" w:hAnsi="宋体" w:eastAsia="宋体"/>
                <w:kern w:val="0"/>
                <w:szCs w:val="21"/>
              </w:rPr>
            </w:pPr>
          </w:p>
        </w:tc>
        <w:tc>
          <w:tcPr>
            <w:tcW w:w="567" w:type="dxa"/>
            <w:vMerge w:val="continue"/>
            <w:noWrap/>
            <w:vAlign w:val="center"/>
          </w:tcPr>
          <w:p>
            <w:pPr>
              <w:spacing w:line="300" w:lineRule="exact"/>
              <w:jc w:val="center"/>
              <w:rPr>
                <w:rFonts w:ascii="宋体" w:hAnsi="宋体" w:eastAsia="宋体"/>
                <w:kern w:val="0"/>
                <w:szCs w:val="21"/>
              </w:rPr>
            </w:pPr>
          </w:p>
        </w:tc>
        <w:tc>
          <w:tcPr>
            <w:tcW w:w="1005" w:type="dxa"/>
            <w:noWrap/>
            <w:vAlign w:val="center"/>
          </w:tcPr>
          <w:p>
            <w:pPr>
              <w:widowControl/>
              <w:spacing w:line="300" w:lineRule="exact"/>
              <w:jc w:val="center"/>
              <w:rPr>
                <w:rFonts w:ascii="宋体" w:hAnsi="宋体" w:eastAsia="宋体" w:cs="仿宋_GB2312"/>
                <w:color w:val="000000"/>
                <w:szCs w:val="21"/>
              </w:rPr>
            </w:pPr>
            <w:r>
              <w:rPr>
                <w:rFonts w:hint="eastAsia" w:ascii="宋体" w:hAnsi="宋体" w:eastAsia="宋体" w:cs="仿宋_GB2312"/>
                <w:color w:val="000000"/>
                <w:szCs w:val="21"/>
              </w:rPr>
              <w:t>文明城市建设</w:t>
            </w:r>
          </w:p>
        </w:tc>
        <w:tc>
          <w:tcPr>
            <w:tcW w:w="708" w:type="dxa"/>
            <w:noWrap/>
            <w:vAlign w:val="center"/>
          </w:tcPr>
          <w:p>
            <w:pPr>
              <w:jc w:val="center"/>
              <w:rPr>
                <w:rFonts w:ascii="宋体" w:hAnsi="宋体" w:eastAsia="宋体" w:cs="宋体"/>
                <w:color w:val="000000"/>
                <w:szCs w:val="21"/>
              </w:rPr>
            </w:pPr>
            <w:r>
              <w:rPr>
                <w:rFonts w:hint="eastAsia" w:ascii="宋体" w:hAnsi="宋体" w:eastAsia="宋体"/>
                <w:color w:val="000000"/>
                <w:szCs w:val="21"/>
              </w:rPr>
              <w:t>2.5</w:t>
            </w:r>
          </w:p>
        </w:tc>
        <w:tc>
          <w:tcPr>
            <w:tcW w:w="5764" w:type="dxa"/>
            <w:noWrap/>
            <w:vAlign w:val="center"/>
          </w:tcPr>
          <w:p>
            <w:pPr>
              <w:spacing w:line="300" w:lineRule="exact"/>
              <w:jc w:val="left"/>
              <w:rPr>
                <w:rFonts w:ascii="宋体" w:hAnsi="宋体" w:eastAsia="宋体"/>
                <w:kern w:val="0"/>
                <w:szCs w:val="21"/>
              </w:rPr>
            </w:pPr>
            <w:r>
              <w:rPr>
                <w:rFonts w:hint="eastAsia" w:ascii="宋体" w:hAnsi="宋体" w:eastAsia="宋体" w:cs="仿宋_GB2312"/>
                <w:color w:val="000000"/>
                <w:szCs w:val="21"/>
              </w:rPr>
              <w:t>高标准实施“文明创建百日攻坚”行动，通过了省示范文明城市实地调研测评，得0.</w:t>
            </w:r>
            <w:r>
              <w:rPr>
                <w:rFonts w:hint="eastAsia" w:ascii="宋体" w:hAnsi="宋体" w:eastAsia="宋体" w:cs="仿宋_GB2312"/>
                <w:szCs w:val="21"/>
              </w:rPr>
              <w:t>5分；</w:t>
            </w:r>
            <w:r>
              <w:rPr>
                <w:rFonts w:hint="eastAsia" w:ascii="宋体" w:hAnsi="宋体" w:eastAsia="宋体" w:cs="仿宋_GB2312"/>
                <w:color w:val="000000"/>
                <w:szCs w:val="21"/>
              </w:rPr>
              <w:t>完成对温江路沿线、川城路道路两侧人行道改造、立面改造、绿化提升</w:t>
            </w:r>
            <w:r>
              <w:rPr>
                <w:rFonts w:hint="eastAsia" w:ascii="宋体" w:hAnsi="宋体" w:eastAsia="宋体" w:cs="仿宋_GB2312"/>
                <w:szCs w:val="21"/>
              </w:rPr>
              <w:t>，</w:t>
            </w:r>
            <w:r>
              <w:rPr>
                <w:rFonts w:hint="eastAsia" w:ascii="宋体" w:hAnsi="宋体" w:eastAsia="宋体" w:cs="仿宋_GB2312"/>
                <w:color w:val="000000"/>
                <w:szCs w:val="21"/>
              </w:rPr>
              <w:t>得</w:t>
            </w:r>
            <w:r>
              <w:rPr>
                <w:rFonts w:hint="eastAsia" w:ascii="宋体" w:hAnsi="宋体" w:eastAsia="宋体" w:cs="仿宋_GB2312"/>
                <w:szCs w:val="21"/>
              </w:rPr>
              <w:t>1</w:t>
            </w:r>
            <w:r>
              <w:rPr>
                <w:rFonts w:hint="eastAsia" w:ascii="宋体" w:hAnsi="宋体" w:eastAsia="宋体" w:cs="仿宋_GB2312"/>
                <w:color w:val="000000"/>
                <w:szCs w:val="21"/>
              </w:rPr>
              <w:t>分；</w:t>
            </w:r>
            <w:r>
              <w:rPr>
                <w:rFonts w:hint="eastAsia" w:ascii="宋体" w:hAnsi="宋体" w:eastAsia="宋体" w:cs="仿宋_GB2312"/>
                <w:szCs w:val="21"/>
              </w:rPr>
              <w:t>根据问卷6，得分=（59*1+4*0.8）/63=0.99分</w:t>
            </w:r>
          </w:p>
        </w:tc>
        <w:tc>
          <w:tcPr>
            <w:tcW w:w="1134" w:type="dxa"/>
            <w:noWrap/>
            <w:vAlign w:val="center"/>
          </w:tcPr>
          <w:p>
            <w:pPr>
              <w:spacing w:line="300" w:lineRule="exact"/>
              <w:jc w:val="center"/>
              <w:rPr>
                <w:rFonts w:ascii="宋体" w:hAnsi="宋体" w:eastAsia="宋体"/>
                <w:kern w:val="0"/>
                <w:szCs w:val="21"/>
              </w:rPr>
            </w:pPr>
            <w:r>
              <w:rPr>
                <w:rFonts w:hint="eastAsia" w:ascii="宋体" w:hAnsi="宋体" w:eastAsia="宋体"/>
                <w:kern w:val="0"/>
                <w:szCs w:val="21"/>
              </w:rPr>
              <w:t>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6" w:hRule="atLeast"/>
          <w:jc w:val="center"/>
        </w:trPr>
        <w:tc>
          <w:tcPr>
            <w:tcW w:w="481" w:type="dxa"/>
            <w:vMerge w:val="continue"/>
            <w:noWrap/>
            <w:vAlign w:val="center"/>
          </w:tcPr>
          <w:p>
            <w:pPr>
              <w:widowControl/>
              <w:spacing w:line="300" w:lineRule="exact"/>
              <w:jc w:val="left"/>
              <w:rPr>
                <w:rFonts w:ascii="宋体" w:hAnsi="宋体" w:eastAsia="宋体"/>
                <w:kern w:val="0"/>
                <w:szCs w:val="21"/>
              </w:rPr>
            </w:pPr>
          </w:p>
        </w:tc>
        <w:tc>
          <w:tcPr>
            <w:tcW w:w="567" w:type="dxa"/>
            <w:vMerge w:val="restart"/>
            <w:noWrap/>
            <w:vAlign w:val="center"/>
          </w:tcPr>
          <w:p>
            <w:pPr>
              <w:spacing w:line="300" w:lineRule="exact"/>
              <w:jc w:val="center"/>
              <w:rPr>
                <w:rFonts w:ascii="宋体" w:hAnsi="宋体" w:eastAsia="宋体"/>
                <w:kern w:val="0"/>
                <w:szCs w:val="21"/>
              </w:rPr>
            </w:pPr>
            <w:r>
              <w:rPr>
                <w:rFonts w:hint="eastAsia" w:ascii="宋体" w:hAnsi="宋体" w:eastAsia="宋体"/>
                <w:kern w:val="0"/>
                <w:szCs w:val="21"/>
              </w:rPr>
              <w:t>生态效益</w:t>
            </w:r>
          </w:p>
        </w:tc>
        <w:tc>
          <w:tcPr>
            <w:tcW w:w="1005" w:type="dxa"/>
            <w:noWrap/>
            <w:vAlign w:val="center"/>
          </w:tcPr>
          <w:p>
            <w:pPr>
              <w:widowControl/>
              <w:spacing w:line="300" w:lineRule="exact"/>
              <w:jc w:val="center"/>
              <w:rPr>
                <w:rFonts w:ascii="宋体" w:hAnsi="宋体" w:eastAsia="宋体" w:cs="仿宋_GB2312"/>
                <w:color w:val="000000"/>
                <w:szCs w:val="21"/>
              </w:rPr>
            </w:pPr>
            <w:r>
              <w:rPr>
                <w:rFonts w:hint="eastAsia" w:ascii="宋体" w:hAnsi="宋体" w:eastAsia="宋体" w:cs="仿宋_GB2312"/>
                <w:color w:val="000000"/>
                <w:szCs w:val="21"/>
              </w:rPr>
              <w:t>城市绿化美化</w:t>
            </w:r>
          </w:p>
        </w:tc>
        <w:tc>
          <w:tcPr>
            <w:tcW w:w="708" w:type="dxa"/>
            <w:noWrap/>
            <w:vAlign w:val="center"/>
          </w:tcPr>
          <w:p>
            <w:pPr>
              <w:jc w:val="center"/>
              <w:rPr>
                <w:rFonts w:ascii="宋体" w:hAnsi="宋体" w:eastAsia="宋体" w:cs="宋体"/>
                <w:color w:val="000000"/>
                <w:szCs w:val="21"/>
              </w:rPr>
            </w:pPr>
            <w:r>
              <w:rPr>
                <w:rFonts w:hint="eastAsia" w:ascii="宋体" w:hAnsi="宋体" w:eastAsia="宋体"/>
                <w:color w:val="000000"/>
                <w:szCs w:val="21"/>
              </w:rPr>
              <w:t>2.5</w:t>
            </w:r>
          </w:p>
        </w:tc>
        <w:tc>
          <w:tcPr>
            <w:tcW w:w="5764" w:type="dxa"/>
            <w:noWrap/>
            <w:vAlign w:val="center"/>
          </w:tcPr>
          <w:p>
            <w:pPr>
              <w:spacing w:line="300" w:lineRule="exact"/>
              <w:jc w:val="left"/>
              <w:rPr>
                <w:rFonts w:ascii="宋体" w:hAnsi="宋体" w:eastAsia="宋体"/>
                <w:kern w:val="0"/>
                <w:szCs w:val="21"/>
              </w:rPr>
            </w:pPr>
            <w:r>
              <w:rPr>
                <w:rFonts w:hint="eastAsia" w:ascii="宋体" w:hAnsi="宋体" w:eastAsia="宋体"/>
                <w:kern w:val="0"/>
                <w:szCs w:val="21"/>
              </w:rPr>
              <w:t>完成美丽庭院示范村1个及示范户的建设得1分，对街道辖区范围内20条主要道路约43公里、部分山边、水边的两侧乱堆乱放乱搭乱建进行整治得0.5分；</w:t>
            </w:r>
            <w:r>
              <w:rPr>
                <w:rFonts w:hint="eastAsia" w:ascii="宋体" w:hAnsi="宋体" w:eastAsia="宋体" w:cs="仿宋_GB2312"/>
                <w:color w:val="000000"/>
                <w:szCs w:val="21"/>
              </w:rPr>
              <w:t>根据问卷7，得分=（54*1+8*0.8+1*0.6）/63=0.97分</w:t>
            </w:r>
          </w:p>
        </w:tc>
        <w:tc>
          <w:tcPr>
            <w:tcW w:w="1134" w:type="dxa"/>
            <w:noWrap/>
            <w:vAlign w:val="center"/>
          </w:tcPr>
          <w:p>
            <w:pPr>
              <w:spacing w:line="300" w:lineRule="exact"/>
              <w:jc w:val="center"/>
              <w:rPr>
                <w:rFonts w:ascii="宋体" w:hAnsi="宋体" w:eastAsia="宋体"/>
                <w:kern w:val="0"/>
                <w:szCs w:val="21"/>
              </w:rPr>
            </w:pPr>
            <w:r>
              <w:rPr>
                <w:rFonts w:hint="eastAsia" w:ascii="宋体" w:hAnsi="宋体" w:eastAsia="宋体"/>
                <w:kern w:val="0"/>
                <w:szCs w:val="21"/>
              </w:rPr>
              <w:t>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4" w:hRule="atLeast"/>
          <w:jc w:val="center"/>
        </w:trPr>
        <w:tc>
          <w:tcPr>
            <w:tcW w:w="481" w:type="dxa"/>
            <w:vMerge w:val="continue"/>
            <w:noWrap/>
            <w:vAlign w:val="center"/>
          </w:tcPr>
          <w:p>
            <w:pPr>
              <w:widowControl/>
              <w:spacing w:line="300" w:lineRule="exact"/>
              <w:jc w:val="left"/>
              <w:rPr>
                <w:rFonts w:ascii="宋体" w:hAnsi="宋体" w:eastAsia="宋体"/>
                <w:kern w:val="0"/>
                <w:szCs w:val="21"/>
              </w:rPr>
            </w:pPr>
          </w:p>
        </w:tc>
        <w:tc>
          <w:tcPr>
            <w:tcW w:w="567" w:type="dxa"/>
            <w:vMerge w:val="continue"/>
            <w:noWrap/>
            <w:vAlign w:val="center"/>
          </w:tcPr>
          <w:p>
            <w:pPr>
              <w:spacing w:line="300" w:lineRule="exact"/>
              <w:jc w:val="center"/>
              <w:rPr>
                <w:rFonts w:ascii="宋体" w:hAnsi="宋体" w:eastAsia="宋体"/>
                <w:kern w:val="0"/>
                <w:szCs w:val="21"/>
              </w:rPr>
            </w:pPr>
          </w:p>
        </w:tc>
        <w:tc>
          <w:tcPr>
            <w:tcW w:w="1005" w:type="dxa"/>
            <w:noWrap/>
            <w:vAlign w:val="center"/>
          </w:tcPr>
          <w:p>
            <w:pPr>
              <w:widowControl/>
              <w:spacing w:line="300" w:lineRule="exact"/>
              <w:jc w:val="center"/>
              <w:rPr>
                <w:rFonts w:ascii="宋体" w:hAnsi="宋体" w:eastAsia="宋体" w:cs="仿宋_GB2312"/>
                <w:color w:val="000000"/>
                <w:szCs w:val="21"/>
              </w:rPr>
            </w:pPr>
            <w:r>
              <w:rPr>
                <w:rFonts w:hint="eastAsia" w:ascii="宋体" w:hAnsi="宋体" w:eastAsia="宋体" w:cs="仿宋_GB2312"/>
                <w:color w:val="000000"/>
                <w:szCs w:val="21"/>
              </w:rPr>
              <w:t>五水共治</w:t>
            </w:r>
          </w:p>
        </w:tc>
        <w:tc>
          <w:tcPr>
            <w:tcW w:w="708" w:type="dxa"/>
            <w:noWrap/>
            <w:vAlign w:val="center"/>
          </w:tcPr>
          <w:p>
            <w:pPr>
              <w:jc w:val="center"/>
              <w:rPr>
                <w:rFonts w:ascii="宋体" w:hAnsi="宋体" w:eastAsia="宋体" w:cs="宋体"/>
                <w:color w:val="000000"/>
                <w:szCs w:val="21"/>
              </w:rPr>
            </w:pPr>
            <w:r>
              <w:rPr>
                <w:rFonts w:hint="eastAsia" w:ascii="宋体" w:hAnsi="宋体" w:eastAsia="宋体"/>
                <w:color w:val="000000"/>
                <w:szCs w:val="21"/>
              </w:rPr>
              <w:t>2.5</w:t>
            </w:r>
          </w:p>
        </w:tc>
        <w:tc>
          <w:tcPr>
            <w:tcW w:w="5764" w:type="dxa"/>
            <w:noWrap/>
            <w:vAlign w:val="center"/>
          </w:tcPr>
          <w:p>
            <w:pPr>
              <w:spacing w:line="300" w:lineRule="exact"/>
              <w:jc w:val="left"/>
              <w:rPr>
                <w:rFonts w:ascii="宋体" w:hAnsi="宋体" w:eastAsia="宋体"/>
                <w:kern w:val="0"/>
                <w:szCs w:val="21"/>
              </w:rPr>
            </w:pPr>
            <w:r>
              <w:rPr>
                <w:rFonts w:hint="eastAsia" w:ascii="宋体" w:hAnsi="宋体" w:eastAsia="宋体" w:cs="仿宋_GB2312"/>
                <w:color w:val="000000"/>
                <w:szCs w:val="21"/>
              </w:rPr>
              <w:t>推进生活小区“污水零直排区”建设，做好涉水行业零直排监管，办理排水许可证528份；实施河道垃圾清理，对沉船进行打捞，倒须笼进行清理；查处建筑泥浆直排河道等各类违法行为53起、立案6起。但是部分污水零直排工程建设进度延缓，工程结算慢，得1分。根据问卷8，得分=（54*1+7*0.8+2*0.6）/63=0.96分</w:t>
            </w:r>
          </w:p>
        </w:tc>
        <w:tc>
          <w:tcPr>
            <w:tcW w:w="1134" w:type="dxa"/>
            <w:noWrap/>
            <w:vAlign w:val="center"/>
          </w:tcPr>
          <w:p>
            <w:pPr>
              <w:spacing w:line="300" w:lineRule="exact"/>
              <w:jc w:val="center"/>
              <w:rPr>
                <w:rFonts w:ascii="宋体" w:hAnsi="宋体" w:eastAsia="宋体"/>
                <w:kern w:val="0"/>
                <w:szCs w:val="21"/>
              </w:rPr>
            </w:pPr>
            <w:r>
              <w:rPr>
                <w:rFonts w:hint="eastAsia" w:ascii="宋体" w:hAnsi="宋体" w:eastAsia="宋体"/>
                <w:kern w:val="0"/>
                <w:szCs w:val="21"/>
              </w:rPr>
              <w:t>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atLeast"/>
          <w:jc w:val="center"/>
        </w:trPr>
        <w:tc>
          <w:tcPr>
            <w:tcW w:w="481" w:type="dxa"/>
            <w:vMerge w:val="continue"/>
            <w:noWrap/>
            <w:vAlign w:val="center"/>
          </w:tcPr>
          <w:p>
            <w:pPr>
              <w:widowControl/>
              <w:spacing w:line="300" w:lineRule="exact"/>
              <w:jc w:val="left"/>
              <w:rPr>
                <w:rFonts w:ascii="宋体" w:hAnsi="宋体" w:eastAsia="宋体"/>
                <w:kern w:val="0"/>
                <w:szCs w:val="21"/>
              </w:rPr>
            </w:pPr>
          </w:p>
        </w:tc>
        <w:tc>
          <w:tcPr>
            <w:tcW w:w="567" w:type="dxa"/>
            <w:vMerge w:val="continue"/>
            <w:noWrap/>
            <w:vAlign w:val="center"/>
          </w:tcPr>
          <w:p>
            <w:pPr>
              <w:spacing w:line="300" w:lineRule="exact"/>
              <w:jc w:val="center"/>
              <w:rPr>
                <w:rFonts w:ascii="宋体" w:hAnsi="宋体" w:eastAsia="宋体"/>
                <w:kern w:val="0"/>
                <w:szCs w:val="21"/>
              </w:rPr>
            </w:pPr>
          </w:p>
        </w:tc>
        <w:tc>
          <w:tcPr>
            <w:tcW w:w="1005" w:type="dxa"/>
            <w:noWrap/>
            <w:vAlign w:val="center"/>
          </w:tcPr>
          <w:p>
            <w:pPr>
              <w:widowControl/>
              <w:spacing w:line="300" w:lineRule="exact"/>
              <w:jc w:val="center"/>
              <w:rPr>
                <w:rFonts w:ascii="宋体" w:hAnsi="宋体" w:eastAsia="宋体" w:cs="仿宋_GB2312"/>
                <w:color w:val="000000"/>
                <w:szCs w:val="21"/>
              </w:rPr>
            </w:pPr>
            <w:r>
              <w:rPr>
                <w:rFonts w:hint="eastAsia" w:ascii="宋体" w:hAnsi="宋体" w:eastAsia="宋体" w:cs="仿宋_GB2312"/>
                <w:color w:val="000000"/>
                <w:szCs w:val="21"/>
              </w:rPr>
              <w:t>三改一拆</w:t>
            </w:r>
          </w:p>
        </w:tc>
        <w:tc>
          <w:tcPr>
            <w:tcW w:w="708" w:type="dxa"/>
            <w:noWrap/>
            <w:vAlign w:val="center"/>
          </w:tcPr>
          <w:p>
            <w:pPr>
              <w:jc w:val="center"/>
              <w:rPr>
                <w:rFonts w:ascii="宋体" w:hAnsi="宋体" w:eastAsia="宋体" w:cs="宋体"/>
                <w:color w:val="000000"/>
                <w:szCs w:val="21"/>
              </w:rPr>
            </w:pPr>
            <w:r>
              <w:rPr>
                <w:rFonts w:hint="eastAsia" w:ascii="宋体" w:hAnsi="宋体" w:eastAsia="宋体"/>
                <w:color w:val="000000"/>
                <w:szCs w:val="21"/>
              </w:rPr>
              <w:t>2.5</w:t>
            </w:r>
          </w:p>
        </w:tc>
        <w:tc>
          <w:tcPr>
            <w:tcW w:w="5764" w:type="dxa"/>
            <w:noWrap/>
            <w:vAlign w:val="center"/>
          </w:tcPr>
          <w:p>
            <w:pPr>
              <w:spacing w:line="300" w:lineRule="exact"/>
              <w:jc w:val="left"/>
              <w:rPr>
                <w:rFonts w:ascii="宋体" w:hAnsi="宋体" w:eastAsia="宋体"/>
                <w:kern w:val="0"/>
                <w:szCs w:val="21"/>
              </w:rPr>
            </w:pPr>
            <w:r>
              <w:rPr>
                <w:rFonts w:hint="eastAsia" w:ascii="宋体" w:hAnsi="宋体" w:eastAsia="宋体" w:cs="仿宋_GB2312"/>
                <w:color w:val="000000"/>
                <w:szCs w:val="21"/>
              </w:rPr>
              <w:t>强势拆除开元四期、置信原墅等住宅小区的违法搭建，全年累计拆违4.03万平方米，完成全年拆违任务</w:t>
            </w:r>
            <w:r>
              <w:rPr>
                <w:rFonts w:ascii="宋体" w:hAnsi="宋体" w:eastAsia="宋体" w:cs="仿宋_GB2312"/>
                <w:color w:val="000000"/>
                <w:szCs w:val="21"/>
              </w:rPr>
              <w:t>134%</w:t>
            </w:r>
            <w:r>
              <w:rPr>
                <w:rFonts w:hint="eastAsia" w:ascii="宋体" w:hAnsi="宋体" w:eastAsia="宋体" w:cs="仿宋_GB2312"/>
                <w:color w:val="000000"/>
                <w:szCs w:val="21"/>
              </w:rPr>
              <w:t>，顺利通过台州市“无违建街道”复评，得2.5分。</w:t>
            </w:r>
          </w:p>
        </w:tc>
        <w:tc>
          <w:tcPr>
            <w:tcW w:w="1134" w:type="dxa"/>
            <w:noWrap/>
            <w:vAlign w:val="center"/>
          </w:tcPr>
          <w:p>
            <w:pPr>
              <w:spacing w:line="300" w:lineRule="exact"/>
              <w:jc w:val="center"/>
              <w:rPr>
                <w:rFonts w:ascii="宋体" w:hAnsi="宋体" w:eastAsia="宋体"/>
                <w:kern w:val="0"/>
                <w:szCs w:val="21"/>
              </w:rPr>
            </w:pPr>
            <w:r>
              <w:rPr>
                <w:rFonts w:hint="eastAsia" w:ascii="宋体" w:hAnsi="宋体" w:eastAsia="宋体"/>
                <w:kern w:val="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jc w:val="center"/>
        </w:trPr>
        <w:tc>
          <w:tcPr>
            <w:tcW w:w="481" w:type="dxa"/>
            <w:vMerge w:val="continue"/>
            <w:noWrap/>
            <w:vAlign w:val="center"/>
          </w:tcPr>
          <w:p>
            <w:pPr>
              <w:widowControl/>
              <w:spacing w:line="300" w:lineRule="exact"/>
              <w:jc w:val="left"/>
              <w:rPr>
                <w:rFonts w:ascii="宋体" w:hAnsi="宋体" w:eastAsia="宋体"/>
                <w:kern w:val="0"/>
                <w:szCs w:val="21"/>
              </w:rPr>
            </w:pPr>
          </w:p>
        </w:tc>
        <w:tc>
          <w:tcPr>
            <w:tcW w:w="567" w:type="dxa"/>
            <w:vMerge w:val="continue"/>
            <w:noWrap/>
            <w:vAlign w:val="center"/>
          </w:tcPr>
          <w:p>
            <w:pPr>
              <w:spacing w:line="300" w:lineRule="exact"/>
              <w:jc w:val="center"/>
              <w:rPr>
                <w:rFonts w:ascii="宋体" w:hAnsi="宋体" w:eastAsia="宋体"/>
                <w:kern w:val="0"/>
                <w:szCs w:val="21"/>
              </w:rPr>
            </w:pPr>
          </w:p>
        </w:tc>
        <w:tc>
          <w:tcPr>
            <w:tcW w:w="1005" w:type="dxa"/>
            <w:noWrap/>
            <w:vAlign w:val="center"/>
          </w:tcPr>
          <w:p>
            <w:pPr>
              <w:widowControl/>
              <w:spacing w:line="300" w:lineRule="exact"/>
              <w:jc w:val="center"/>
              <w:rPr>
                <w:rFonts w:ascii="宋体" w:hAnsi="宋体" w:eastAsia="宋体" w:cs="仿宋_GB2312"/>
                <w:color w:val="000000"/>
                <w:szCs w:val="21"/>
              </w:rPr>
            </w:pPr>
            <w:r>
              <w:rPr>
                <w:rFonts w:hint="eastAsia" w:ascii="宋体" w:hAnsi="宋体" w:eastAsia="宋体" w:cs="仿宋_GB2312"/>
                <w:color w:val="000000"/>
                <w:szCs w:val="21"/>
              </w:rPr>
              <w:t>垃圾分类</w:t>
            </w:r>
          </w:p>
        </w:tc>
        <w:tc>
          <w:tcPr>
            <w:tcW w:w="708" w:type="dxa"/>
            <w:noWrap/>
            <w:vAlign w:val="center"/>
          </w:tcPr>
          <w:p>
            <w:pPr>
              <w:jc w:val="center"/>
              <w:rPr>
                <w:rFonts w:ascii="宋体" w:hAnsi="宋体" w:eastAsia="宋体" w:cs="宋体"/>
                <w:color w:val="000000"/>
                <w:szCs w:val="21"/>
              </w:rPr>
            </w:pPr>
            <w:r>
              <w:rPr>
                <w:rFonts w:hint="eastAsia" w:ascii="宋体" w:hAnsi="宋体" w:eastAsia="宋体"/>
                <w:color w:val="000000"/>
                <w:szCs w:val="21"/>
              </w:rPr>
              <w:t>2.5</w:t>
            </w:r>
          </w:p>
        </w:tc>
        <w:tc>
          <w:tcPr>
            <w:tcW w:w="5764" w:type="dxa"/>
            <w:noWrap/>
            <w:vAlign w:val="center"/>
          </w:tcPr>
          <w:p>
            <w:pPr>
              <w:spacing w:line="300" w:lineRule="exact"/>
              <w:jc w:val="left"/>
              <w:rPr>
                <w:rFonts w:ascii="宋体" w:hAnsi="宋体" w:eastAsia="宋体"/>
                <w:kern w:val="0"/>
                <w:szCs w:val="21"/>
              </w:rPr>
            </w:pPr>
            <w:r>
              <w:rPr>
                <w:rFonts w:hint="eastAsia" w:ascii="宋体" w:hAnsi="宋体" w:eastAsia="宋体" w:cs="仿宋_GB2312"/>
                <w:color w:val="000000"/>
                <w:szCs w:val="21"/>
              </w:rPr>
              <w:t>配备垃圾分类保洁员、设置垃圾分类设施，全年新增3个垃圾分类示范小区，获评浙江省生活垃圾分类示范片区、温岭市生活垃圾分类工作先进集体，得1.5分；根据问卷9，得分=（49*1+13*0.8+1*0.6）/63=0.95分</w:t>
            </w:r>
          </w:p>
        </w:tc>
        <w:tc>
          <w:tcPr>
            <w:tcW w:w="1134" w:type="dxa"/>
            <w:noWrap/>
            <w:vAlign w:val="center"/>
          </w:tcPr>
          <w:p>
            <w:pPr>
              <w:spacing w:line="300" w:lineRule="exact"/>
              <w:jc w:val="center"/>
              <w:rPr>
                <w:rFonts w:ascii="宋体" w:hAnsi="宋体" w:eastAsia="宋体"/>
                <w:kern w:val="0"/>
                <w:szCs w:val="21"/>
              </w:rPr>
            </w:pPr>
            <w:r>
              <w:rPr>
                <w:rFonts w:hint="eastAsia" w:ascii="宋体" w:hAnsi="宋体" w:eastAsia="宋体"/>
                <w:kern w:val="0"/>
                <w:szCs w:val="21"/>
              </w:rPr>
              <w:t>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5" w:hRule="atLeast"/>
          <w:jc w:val="center"/>
        </w:trPr>
        <w:tc>
          <w:tcPr>
            <w:tcW w:w="481" w:type="dxa"/>
            <w:vMerge w:val="continue"/>
            <w:noWrap/>
            <w:vAlign w:val="center"/>
          </w:tcPr>
          <w:p>
            <w:pPr>
              <w:widowControl/>
              <w:spacing w:line="300" w:lineRule="exact"/>
              <w:jc w:val="left"/>
              <w:rPr>
                <w:rFonts w:ascii="宋体" w:hAnsi="宋体" w:eastAsia="宋体"/>
                <w:kern w:val="0"/>
                <w:szCs w:val="21"/>
              </w:rPr>
            </w:pPr>
          </w:p>
        </w:tc>
        <w:tc>
          <w:tcPr>
            <w:tcW w:w="567" w:type="dxa"/>
            <w:vMerge w:val="continue"/>
            <w:noWrap/>
            <w:vAlign w:val="center"/>
          </w:tcPr>
          <w:p>
            <w:pPr>
              <w:spacing w:line="300" w:lineRule="exact"/>
              <w:jc w:val="center"/>
              <w:rPr>
                <w:rFonts w:ascii="宋体" w:hAnsi="宋体" w:eastAsia="宋体"/>
                <w:kern w:val="0"/>
                <w:szCs w:val="21"/>
              </w:rPr>
            </w:pPr>
          </w:p>
        </w:tc>
        <w:tc>
          <w:tcPr>
            <w:tcW w:w="1005" w:type="dxa"/>
            <w:noWrap/>
            <w:vAlign w:val="center"/>
          </w:tcPr>
          <w:p>
            <w:pPr>
              <w:widowControl/>
              <w:spacing w:line="300" w:lineRule="exact"/>
              <w:jc w:val="center"/>
              <w:rPr>
                <w:rFonts w:ascii="宋体" w:hAnsi="宋体" w:eastAsia="宋体" w:cs="仿宋_GB2312"/>
                <w:color w:val="000000"/>
                <w:szCs w:val="21"/>
              </w:rPr>
            </w:pPr>
            <w:r>
              <w:rPr>
                <w:rFonts w:hint="eastAsia" w:ascii="宋体" w:hAnsi="宋体" w:eastAsia="宋体" w:cs="仿宋_GB2312"/>
                <w:color w:val="000000"/>
                <w:szCs w:val="21"/>
              </w:rPr>
              <w:t>病媒生物防治</w:t>
            </w:r>
          </w:p>
        </w:tc>
        <w:tc>
          <w:tcPr>
            <w:tcW w:w="708" w:type="dxa"/>
            <w:noWrap/>
            <w:vAlign w:val="center"/>
          </w:tcPr>
          <w:p>
            <w:pPr>
              <w:jc w:val="center"/>
              <w:rPr>
                <w:rFonts w:ascii="宋体" w:hAnsi="宋体" w:eastAsia="宋体" w:cs="宋体"/>
                <w:color w:val="000000"/>
                <w:szCs w:val="21"/>
              </w:rPr>
            </w:pPr>
            <w:r>
              <w:rPr>
                <w:rFonts w:hint="eastAsia" w:ascii="宋体" w:hAnsi="宋体" w:eastAsia="宋体"/>
                <w:color w:val="000000"/>
                <w:szCs w:val="21"/>
              </w:rPr>
              <w:t>2.5</w:t>
            </w:r>
          </w:p>
        </w:tc>
        <w:tc>
          <w:tcPr>
            <w:tcW w:w="5764" w:type="dxa"/>
            <w:noWrap/>
            <w:vAlign w:val="center"/>
          </w:tcPr>
          <w:p>
            <w:pPr>
              <w:widowControl/>
              <w:spacing w:line="300" w:lineRule="exact"/>
              <w:jc w:val="left"/>
              <w:rPr>
                <w:rFonts w:ascii="宋体" w:hAnsi="宋体" w:eastAsia="宋体"/>
                <w:kern w:val="0"/>
                <w:szCs w:val="21"/>
              </w:rPr>
            </w:pPr>
            <w:r>
              <w:rPr>
                <w:rFonts w:hint="eastAsia" w:ascii="宋体" w:hAnsi="宋体" w:eastAsia="宋体"/>
                <w:kern w:val="0"/>
                <w:szCs w:val="21"/>
              </w:rPr>
              <w:t>公共外环境消杀，六小行业、企事业单位、其他沿街店铺等相关经营单位病媒生物防制消杀，辖区居民除害药物发放，农贸市场（含菜市场）病媒生物防治，毒饵站建设及维护，诱蝇笼(固定式)安装，得2.5分。</w:t>
            </w:r>
          </w:p>
        </w:tc>
        <w:tc>
          <w:tcPr>
            <w:tcW w:w="1134" w:type="dxa"/>
            <w:noWrap/>
            <w:vAlign w:val="center"/>
          </w:tcPr>
          <w:p>
            <w:pPr>
              <w:widowControl/>
              <w:spacing w:line="300" w:lineRule="exact"/>
              <w:jc w:val="center"/>
              <w:rPr>
                <w:rFonts w:ascii="宋体" w:hAnsi="宋体" w:eastAsia="宋体"/>
                <w:kern w:val="0"/>
                <w:szCs w:val="21"/>
              </w:rPr>
            </w:pPr>
            <w:r>
              <w:rPr>
                <w:rFonts w:hint="eastAsia" w:ascii="宋体" w:hAnsi="宋体" w:eastAsia="宋体"/>
                <w:kern w:val="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481" w:type="dxa"/>
            <w:vMerge w:val="continue"/>
            <w:noWrap/>
            <w:vAlign w:val="center"/>
          </w:tcPr>
          <w:p>
            <w:pPr>
              <w:widowControl/>
              <w:spacing w:line="300" w:lineRule="exact"/>
              <w:jc w:val="center"/>
              <w:rPr>
                <w:rFonts w:ascii="宋体" w:hAnsi="宋体" w:eastAsia="宋体"/>
                <w:kern w:val="0"/>
                <w:szCs w:val="21"/>
              </w:rPr>
            </w:pPr>
          </w:p>
        </w:tc>
        <w:tc>
          <w:tcPr>
            <w:tcW w:w="1572" w:type="dxa"/>
            <w:gridSpan w:val="2"/>
            <w:noWrap/>
            <w:vAlign w:val="center"/>
          </w:tcPr>
          <w:p>
            <w:pPr>
              <w:widowControl/>
              <w:spacing w:line="300" w:lineRule="exact"/>
              <w:jc w:val="center"/>
              <w:rPr>
                <w:rFonts w:ascii="宋体" w:hAnsi="宋体" w:eastAsia="宋体"/>
                <w:kern w:val="0"/>
                <w:szCs w:val="21"/>
              </w:rPr>
            </w:pPr>
            <w:r>
              <w:rPr>
                <w:rFonts w:hint="eastAsia" w:ascii="宋体" w:hAnsi="宋体" w:eastAsia="宋体"/>
                <w:kern w:val="0"/>
                <w:szCs w:val="21"/>
              </w:rPr>
              <w:t>部门考核</w:t>
            </w:r>
          </w:p>
        </w:tc>
        <w:tc>
          <w:tcPr>
            <w:tcW w:w="708" w:type="dxa"/>
            <w:noWrap/>
            <w:vAlign w:val="center"/>
          </w:tcPr>
          <w:p>
            <w:pPr>
              <w:widowControl/>
              <w:spacing w:line="300" w:lineRule="exact"/>
              <w:jc w:val="center"/>
              <w:rPr>
                <w:rFonts w:ascii="宋体" w:hAnsi="宋体" w:eastAsia="宋体"/>
                <w:kern w:val="0"/>
                <w:szCs w:val="21"/>
              </w:rPr>
            </w:pPr>
            <w:r>
              <w:rPr>
                <w:rFonts w:hint="eastAsia" w:ascii="宋体" w:hAnsi="宋体" w:eastAsia="宋体"/>
                <w:kern w:val="0"/>
                <w:szCs w:val="21"/>
              </w:rPr>
              <w:t>2</w:t>
            </w:r>
          </w:p>
        </w:tc>
        <w:tc>
          <w:tcPr>
            <w:tcW w:w="5764" w:type="dxa"/>
            <w:noWrap/>
            <w:vAlign w:val="center"/>
          </w:tcPr>
          <w:p>
            <w:pPr>
              <w:widowControl/>
              <w:spacing w:line="300" w:lineRule="exact"/>
              <w:jc w:val="left"/>
              <w:rPr>
                <w:rFonts w:ascii="宋体" w:hAnsi="宋体" w:eastAsia="宋体"/>
                <w:kern w:val="0"/>
                <w:szCs w:val="21"/>
              </w:rPr>
            </w:pPr>
            <w:r>
              <w:rPr>
                <w:rFonts w:hint="eastAsia" w:ascii="宋体" w:hAnsi="宋体" w:eastAsia="宋体"/>
                <w:kern w:val="0"/>
                <w:szCs w:val="21"/>
              </w:rPr>
              <w:t>在全市目标责任制考核中评为优秀，得2分。</w:t>
            </w:r>
          </w:p>
        </w:tc>
        <w:tc>
          <w:tcPr>
            <w:tcW w:w="1134" w:type="dxa"/>
            <w:noWrap/>
            <w:vAlign w:val="center"/>
          </w:tcPr>
          <w:p>
            <w:pPr>
              <w:widowControl/>
              <w:spacing w:line="300" w:lineRule="exact"/>
              <w:jc w:val="center"/>
              <w:rPr>
                <w:rFonts w:ascii="宋体" w:hAnsi="宋体" w:eastAsia="宋体"/>
                <w:kern w:val="0"/>
                <w:szCs w:val="21"/>
              </w:rPr>
            </w:pPr>
            <w:r>
              <w:rPr>
                <w:rFonts w:hint="eastAsia" w:ascii="宋体" w:hAnsi="宋体" w:eastAsia="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481" w:type="dxa"/>
            <w:vMerge w:val="continue"/>
            <w:noWrap/>
            <w:vAlign w:val="center"/>
          </w:tcPr>
          <w:p>
            <w:pPr>
              <w:widowControl/>
              <w:spacing w:line="300" w:lineRule="exact"/>
              <w:jc w:val="center"/>
              <w:rPr>
                <w:rFonts w:ascii="宋体" w:hAnsi="宋体" w:eastAsia="宋体"/>
                <w:kern w:val="0"/>
                <w:szCs w:val="21"/>
              </w:rPr>
            </w:pPr>
          </w:p>
        </w:tc>
        <w:tc>
          <w:tcPr>
            <w:tcW w:w="1572" w:type="dxa"/>
            <w:gridSpan w:val="2"/>
            <w:noWrap/>
            <w:vAlign w:val="center"/>
          </w:tcPr>
          <w:p>
            <w:pPr>
              <w:widowControl/>
              <w:spacing w:line="300" w:lineRule="exact"/>
              <w:jc w:val="center"/>
              <w:rPr>
                <w:rFonts w:ascii="宋体" w:hAnsi="宋体" w:eastAsia="宋体"/>
                <w:kern w:val="0"/>
                <w:szCs w:val="21"/>
              </w:rPr>
            </w:pPr>
            <w:r>
              <w:rPr>
                <w:rFonts w:hint="eastAsia" w:ascii="宋体" w:hAnsi="宋体" w:eastAsia="宋体"/>
                <w:kern w:val="0"/>
                <w:szCs w:val="21"/>
              </w:rPr>
              <w:t>满意度</w:t>
            </w:r>
          </w:p>
        </w:tc>
        <w:tc>
          <w:tcPr>
            <w:tcW w:w="708" w:type="dxa"/>
            <w:noWrap/>
            <w:vAlign w:val="center"/>
          </w:tcPr>
          <w:p>
            <w:pPr>
              <w:widowControl/>
              <w:spacing w:line="300" w:lineRule="exact"/>
              <w:jc w:val="center"/>
              <w:rPr>
                <w:rFonts w:ascii="宋体" w:hAnsi="宋体" w:eastAsia="宋体"/>
                <w:kern w:val="0"/>
                <w:szCs w:val="21"/>
              </w:rPr>
            </w:pPr>
            <w:r>
              <w:rPr>
                <w:rFonts w:hint="eastAsia" w:ascii="宋体" w:hAnsi="宋体" w:eastAsia="宋体"/>
                <w:kern w:val="0"/>
                <w:szCs w:val="21"/>
              </w:rPr>
              <w:t>3</w:t>
            </w:r>
          </w:p>
        </w:tc>
        <w:tc>
          <w:tcPr>
            <w:tcW w:w="5764" w:type="dxa"/>
            <w:noWrap/>
            <w:vAlign w:val="center"/>
          </w:tcPr>
          <w:p>
            <w:pPr>
              <w:widowControl/>
              <w:spacing w:line="300" w:lineRule="exact"/>
              <w:jc w:val="left"/>
              <w:rPr>
                <w:rFonts w:ascii="宋体" w:hAnsi="宋体" w:eastAsia="宋体"/>
                <w:kern w:val="0"/>
                <w:szCs w:val="21"/>
              </w:rPr>
            </w:pPr>
            <w:r>
              <w:rPr>
                <w:rFonts w:hint="eastAsia" w:ascii="宋体" w:hAnsi="宋体" w:eastAsia="宋体"/>
                <w:kern w:val="0"/>
                <w:szCs w:val="21"/>
              </w:rPr>
              <w:t>根据问卷10，</w:t>
            </w:r>
            <w:r>
              <w:rPr>
                <w:rFonts w:hint="eastAsia" w:ascii="宋体" w:hAnsi="宋体" w:eastAsia="宋体" w:cs="仿宋_GB2312"/>
                <w:color w:val="000000"/>
                <w:szCs w:val="21"/>
              </w:rPr>
              <w:t>得分=（61*3+1*2.4+1*1.8）/63=2.97分</w:t>
            </w:r>
          </w:p>
        </w:tc>
        <w:tc>
          <w:tcPr>
            <w:tcW w:w="1134" w:type="dxa"/>
            <w:noWrap/>
            <w:vAlign w:val="center"/>
          </w:tcPr>
          <w:p>
            <w:pPr>
              <w:widowControl/>
              <w:spacing w:line="300" w:lineRule="exact"/>
              <w:jc w:val="center"/>
              <w:rPr>
                <w:rFonts w:ascii="宋体" w:hAnsi="宋体" w:eastAsia="宋体"/>
                <w:kern w:val="0"/>
                <w:szCs w:val="21"/>
              </w:rPr>
            </w:pPr>
            <w:r>
              <w:rPr>
                <w:rFonts w:hint="eastAsia" w:ascii="宋体" w:hAnsi="宋体" w:eastAsia="宋体"/>
                <w:kern w:val="0"/>
                <w:szCs w:val="21"/>
              </w:rPr>
              <w:t>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2053" w:type="dxa"/>
            <w:gridSpan w:val="3"/>
            <w:noWrap/>
            <w:vAlign w:val="center"/>
          </w:tcPr>
          <w:p>
            <w:pPr>
              <w:widowControl/>
              <w:spacing w:line="300" w:lineRule="exact"/>
              <w:jc w:val="center"/>
              <w:rPr>
                <w:rFonts w:ascii="宋体" w:hAnsi="宋体" w:eastAsia="宋体"/>
                <w:kern w:val="0"/>
                <w:szCs w:val="21"/>
              </w:rPr>
            </w:pPr>
            <w:r>
              <w:rPr>
                <w:rFonts w:hint="eastAsia" w:ascii="宋体" w:hAnsi="宋体" w:eastAsia="宋体"/>
                <w:kern w:val="0"/>
                <w:szCs w:val="21"/>
              </w:rPr>
              <w:t>总分合计</w:t>
            </w:r>
          </w:p>
        </w:tc>
        <w:tc>
          <w:tcPr>
            <w:tcW w:w="708" w:type="dxa"/>
            <w:noWrap/>
            <w:vAlign w:val="center"/>
          </w:tcPr>
          <w:p>
            <w:pPr>
              <w:widowControl/>
              <w:spacing w:line="300" w:lineRule="exact"/>
              <w:jc w:val="center"/>
              <w:rPr>
                <w:rFonts w:ascii="宋体" w:hAnsi="宋体" w:eastAsia="宋体"/>
                <w:kern w:val="0"/>
                <w:szCs w:val="21"/>
              </w:rPr>
            </w:pPr>
            <w:r>
              <w:rPr>
                <w:rFonts w:hint="eastAsia" w:ascii="宋体" w:hAnsi="宋体" w:eastAsia="宋体"/>
                <w:kern w:val="0"/>
                <w:szCs w:val="21"/>
              </w:rPr>
              <w:t>100</w:t>
            </w:r>
          </w:p>
        </w:tc>
        <w:tc>
          <w:tcPr>
            <w:tcW w:w="5764" w:type="dxa"/>
            <w:noWrap/>
            <w:vAlign w:val="center"/>
          </w:tcPr>
          <w:p>
            <w:pPr>
              <w:widowControl/>
              <w:spacing w:line="300" w:lineRule="exact"/>
              <w:jc w:val="left"/>
              <w:rPr>
                <w:rFonts w:ascii="宋体" w:hAnsi="宋体" w:eastAsia="宋体"/>
                <w:kern w:val="0"/>
                <w:szCs w:val="21"/>
              </w:rPr>
            </w:pPr>
          </w:p>
        </w:tc>
        <w:tc>
          <w:tcPr>
            <w:tcW w:w="1134" w:type="dxa"/>
            <w:noWrap/>
            <w:vAlign w:val="center"/>
          </w:tcPr>
          <w:p>
            <w:pPr>
              <w:widowControl/>
              <w:spacing w:line="300" w:lineRule="exact"/>
              <w:jc w:val="center"/>
              <w:rPr>
                <w:rFonts w:ascii="宋体" w:hAnsi="宋体" w:eastAsia="宋体"/>
                <w:kern w:val="0"/>
                <w:szCs w:val="21"/>
              </w:rPr>
            </w:pPr>
            <w:r>
              <w:rPr>
                <w:rFonts w:hint="eastAsia" w:ascii="宋体" w:hAnsi="宋体" w:eastAsia="宋体"/>
                <w:kern w:val="0"/>
                <w:szCs w:val="21"/>
              </w:rPr>
              <w:t>85.77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2053" w:type="dxa"/>
            <w:gridSpan w:val="3"/>
            <w:noWrap/>
            <w:vAlign w:val="center"/>
          </w:tcPr>
          <w:p>
            <w:pPr>
              <w:widowControl/>
              <w:spacing w:line="300" w:lineRule="exact"/>
              <w:jc w:val="center"/>
              <w:rPr>
                <w:rFonts w:ascii="宋体" w:hAnsi="宋体" w:eastAsia="宋体"/>
                <w:kern w:val="0"/>
                <w:szCs w:val="21"/>
              </w:rPr>
            </w:pPr>
            <w:r>
              <w:rPr>
                <w:rFonts w:hint="eastAsia" w:ascii="宋体" w:hAnsi="宋体" w:eastAsia="宋体"/>
                <w:kern w:val="0"/>
                <w:szCs w:val="21"/>
              </w:rPr>
              <w:t>评价等级</w:t>
            </w:r>
          </w:p>
        </w:tc>
        <w:tc>
          <w:tcPr>
            <w:tcW w:w="708" w:type="dxa"/>
            <w:noWrap/>
            <w:vAlign w:val="center"/>
          </w:tcPr>
          <w:p>
            <w:pPr>
              <w:widowControl/>
              <w:spacing w:line="300" w:lineRule="exact"/>
              <w:jc w:val="center"/>
              <w:rPr>
                <w:rFonts w:ascii="宋体" w:hAnsi="宋体" w:eastAsia="宋体"/>
                <w:kern w:val="0"/>
                <w:szCs w:val="21"/>
              </w:rPr>
            </w:pPr>
          </w:p>
        </w:tc>
        <w:tc>
          <w:tcPr>
            <w:tcW w:w="5764" w:type="dxa"/>
            <w:noWrap/>
            <w:vAlign w:val="center"/>
          </w:tcPr>
          <w:p>
            <w:pPr>
              <w:widowControl/>
              <w:spacing w:line="300" w:lineRule="exact"/>
              <w:jc w:val="left"/>
              <w:rPr>
                <w:rFonts w:ascii="宋体" w:hAnsi="宋体" w:eastAsia="宋体"/>
                <w:kern w:val="0"/>
                <w:szCs w:val="21"/>
              </w:rPr>
            </w:pPr>
            <w:r>
              <w:rPr>
                <w:rFonts w:hint="eastAsia" w:ascii="宋体" w:hAnsi="宋体" w:eastAsia="宋体" w:cs="仿宋_GB2312"/>
                <w:color w:val="000000"/>
                <w:kern w:val="0"/>
                <w:szCs w:val="21"/>
              </w:rPr>
              <w:t>90分（含）以上为优、80（含）-90分为良、60（含）-80分为中、60分以下为差。</w:t>
            </w:r>
          </w:p>
        </w:tc>
        <w:tc>
          <w:tcPr>
            <w:tcW w:w="1134" w:type="dxa"/>
            <w:noWrap/>
            <w:vAlign w:val="center"/>
          </w:tcPr>
          <w:p>
            <w:pPr>
              <w:widowControl/>
              <w:spacing w:line="300" w:lineRule="exact"/>
              <w:jc w:val="center"/>
              <w:rPr>
                <w:rFonts w:ascii="宋体" w:hAnsi="宋体" w:eastAsia="宋体"/>
                <w:kern w:val="0"/>
                <w:szCs w:val="21"/>
              </w:rPr>
            </w:pPr>
            <w:r>
              <w:rPr>
                <w:rFonts w:hint="eastAsia" w:ascii="宋体" w:hAnsi="宋体" w:eastAsia="宋体" w:cs="仿宋_GB2312"/>
                <w:color w:val="000000"/>
                <w:kern w:val="0"/>
                <w:szCs w:val="21"/>
              </w:rPr>
              <w:t>良</w:t>
            </w:r>
          </w:p>
        </w:tc>
      </w:tr>
    </w:tbl>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四、名词解释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1.财政拨款收入：指本级财政部门当年拨付的财政预算资金，包括一般公共预算财政拨款、政府性基金预算财政拨款和国有资本经预算财政拨款。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2.事业收入：指事业单位开展专业业务活动及辅助活动所取得的收入。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3.经营收入：指事业单位在专业业务活动及辅助活动之外开展非独立核算经营活动取得的收入。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4.上级补助收入：指事业单位从主管部门和上级单位取得的非财政补助收入。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5.附属单位上缴收入：指事业单位附属独立核算单位按照有关规定上缴的收入。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6.其他收入：指预算单位在“财政拨款”、“事业收入”、“经营收入”、“上级补助收入”、“附属单位上缴收入”等之外取得的各项收入。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7.使用非财政拨款结余：指事业单位使用以前年度积累的非财政拨款结余弥补当年收支差额的金额。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8.年初结转和结余：指预算单位以前年度尚未完成、结转到本年仍按原规定用途继续使用的资金。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9.年末结转和结余：指单位按有关规定结转到下年或以后年度继续使用的资金。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10.基本支出：指预算单位为保障其正常运转，完成日常工作任务所发生的支出，包括人员经费支出和日常公用经费支出。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11.项目支出：指预算单位为完成其特定的行政工作任务或事业发展目标所发生的支出。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12.上缴上级支出：填列事业单位按照财政部门和主管部门的规定上缴上级单位的支出。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13.经营支出：指事业单位在专业业务活动及其辅助活动之外开展非独立核算经营活动发生的支出。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14.附属单位补助支出：填列事业单位用财政补助收入之外的收入对附属单位补助发生的支出。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17.一般公共服务支出（类）人大事务（款）行政运行（项）。指行政单位（包括实行公务员管理的事业单位）的基本支出。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18.一般公共服务支出（类）政府办公厅（室）及机关相关事务（款）行政运行（项）。指行政单位（包括实行公务员管理的事业单位）的基本支出。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19.一般公共服务支出（类）政府办公厅（室）及机关相关事务（款）其他政府办公厅（室）及相关机构事务支出（项）。反应上述项目以外的其他政府办公厅（室）及相关机构事务支出。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20.一般公共服务支出（类）统计信息事务（款）事业运行（项）。指事业单位的基本支出，不包括行政单位（包括实行公务员管理的事业单位）后勤服务中心、医务室等附属事业单位。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21.一般公共服务支出（类）财政事务（款）行政运行（项）。指行政单位（包括实行公务员管理的事业单位）的基本支出。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22.一般公共服务支出（类）群众团体事务（款）行政运行（项）。指行政单位（包括实行公务员管理的事业单位）的基本支出。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23.一般公共服务支出（类）党委办公室（厅）及相关事务支出（款）行政运行（项）。指行政单位（包括实行公务员管理的事业单位）的基本支出。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24.一般公共服务支出（类）其他一般公共服务支出（款）其他一般公共服务支出（项）。指除上述项目以外的其他一般公共服务支出。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25.文化体育与传媒支出（类）文化（款）群众文化（项）。反应群众文化方面的支出，包括基层文化馆（站）、群众艺术馆支出等。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26.文化体育与传媒支出（类）其他文化体育与传媒支出（款）其他文化体育与传媒支出（项）。反映出上述项目外的其他文化体育与传媒支出。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27.社会保障和就业支出（类）人力资源和社会保障管理事务（款）劳动保障监察（项）。反映劳动保障监察事务支出。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28.社会保障和就业支出（类）民政管理事务（款）拥军优属（项）。反映开展拥军优属活动的支出。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29.社会保障和就业支出（类）抚恤（款）死亡抚恤（项）。反映按规定用于烈士和牺牲、病故人员家属的一次性和定期抚恤金以及丧葬补助费。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30.社会保障和就业支出（类）抚恤（款）伤残抚恤（项）。反映按规定用于伤残人员的抚恤金和按规定开支的各种伤残补助费。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社会保障和就业支出（类）抚恤（款）在乡复员、退伍军人生活补助（项）。反映在乡退伍红军老战士（含西路军红军老战士、红军失散人员）、1954年10月31日前入伍的在乡复员军人、按规定办理带病回乡手续的退伍军人生活补助。</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32.社会保障和就业支出（类）抚恤（款）义务兵优待（项）。反映用于义务兵优待方面的支出。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33.社会保障和就业支出（类）抚恤（款）农村籍退役士兵老年生活补助（项）。反映1954年11月1日试行义务兵役制后至《退役士兵安置条例》实施前入伍、年龄在60周岁以上（含60周岁）、未享受到国家定期抚恤补助的农村籍退役士兵的老年生活补助。</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34.社会保障和就业支出（类）抚恤（款）其他优抚支出（项）。反映上述项目以外的其他优抚支出。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35.社会保障和就业支出（类）退役安置（款）退役士兵安置（项）。反映按规定用于伤残义务兵的一次性建房补助，对符合条件的退役士兵、专业士官的安置支出。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36.社会保障和就业支出（类）退役安置（款）军队移交政府的离退休人员安置（项）。反映移交政府的军队离退休人员安置支出。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37.社会保障和就业支出（类）社会福利（款）儿童福利（项）。反映对儿童提供福利服务方面的支出。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38.社会保障和就业支出（类）社会福利（款）老年福利（项）。反映对老年人提供福利服务方面的支出，包括为经济困难的高龄、失能等老年人提供基本养老服务保障的资金补助等支出。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39.社会保障和就业支出（类）社会福利（款）社会福利事业单位（项）。反映民政部门举办的社会福利事业单位支出，以及对集体社会福利事业单位的补助费。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40.社会保障和就业支出（类）残疾人事业（款）残疾人康复（项）。反映残疾人联合会用于残疾人康复方面的支出。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41.社会保障和就业支出（类）残疾人事业（款）残疾人就业和扶贫（项）。反映残疾人联合会用于残疾人就业和扶贫等方面的支出。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42.社会保障和就业支出（类）残疾人事业（款）残疾人生活和护理补贴（项）。反映困难残疾人生活补贴和重度残疾人护理补贴支出。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43.社会保障和就业支出（类）残疾人事业（款）其他残疾人事业支出（项）。反映上述项目以外的其他残疾人事业支出。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44.社会保障和就业支出（类）自然灾害生活救助（款）中央自然灾害生活补助（项）。反映中央预算对遭受特大自然灾害地区的地方政府在安排受灾群众吃、穿、住和抢救、转移、安置、治病等经费发生困难时</w:t>
      </w:r>
      <w:r>
        <w:rPr>
          <w:rFonts w:hint="eastAsia" w:ascii="仿宋_GB2312" w:hAnsi="仿宋_GB2312" w:eastAsia="仿宋_GB2312" w:cs="仿宋_GB2312"/>
          <w:sz w:val="32"/>
          <w:szCs w:val="32"/>
          <w:lang w:eastAsia="zh-CN"/>
        </w:rPr>
        <w:t>给予</w:t>
      </w:r>
      <w:bookmarkStart w:id="0" w:name="_GoBack"/>
      <w:bookmarkEnd w:id="0"/>
      <w:r>
        <w:rPr>
          <w:rFonts w:hint="eastAsia" w:ascii="仿宋_GB2312" w:hAnsi="仿宋_GB2312" w:eastAsia="仿宋_GB2312" w:cs="仿宋_GB2312"/>
          <w:sz w:val="32"/>
          <w:szCs w:val="32"/>
        </w:rPr>
        <w:t>的专项补助，以及为抗御特大自然灾害而设立的中央级救灾物资储备资金。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45.社会保障和就业支出（类）最低生活保障（款），城市最低生活保障金支出（项）。反映城市最低生活保障对象的最低生活保障金支出。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46.社会保障和就业支出（类）临时救助（款）临时救助支出（项）。反映用于城乡生活困难居民的临时救助支出。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47.社会保障和就业支出（类）特困人员救助供养（款）城市特困人员救助供养（项）。反映城市特困人员救助供养支出。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48.社会保障和就业支出（类）其他生活救助（款）其他城市生活救助（项）。反映除最低生活保障、临时救助、特困人员供养外，用于城市困难居民生活救助支出。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49.社会保障和就业支出（类）其他生活救助（款）其他农村生活救助（项）。反映除最低生活保障、临时救助、特困人员供养外，用于农村困难居民生活救助支出。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50.医疗卫生与计划生育支出（类）计划生育事务（款）其他计划生育事务支出（项）。反映出上述项目以外其他计划生育事务支出。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51.医疗卫生与计划生育支出（类）优抚对象医疗（款）优抚对象医疗补助（项）。反映按规定补助优抚对象的医疗经费。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52.节能环保支出（类）环境保护管理事务（项）其他环境保护管理事务支出（项）。反映出上述项目以外其他环境保护管理事务支出。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53.节能环保支出（类）自然生态保护（款）农村环境保护（项）。反映用于农村环境保护方面的支出。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54.城乡社区支出（类）其他城乡社区支出（款）其他城乡社区支出（项）。反映上述项目以外的其他城乡社区支出。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55.农林水支出（类）农业（款）事业运行（项）。指事业单位的基本支出，不包括行政单位（包括实行公务员管理的事业单位）后勤服务中心、医务室等附属事业单位。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56.农林水支出（类）农业（款）对高校毕业生到基层任职补助（项）。反映按规定对高校毕业生到基层任职补助支出。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57.农林水支出（类）林业（款）林业事业机构（项）。反映事业单位基本支出，不包括行政单位（含实行公务员管理的事业单位）后勤服务中心等附属事业单位的支出。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58.农林水支出（类）水利（款）其他水利支出（项）。反映除上述项目以外的其他水利支出。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59.农林水支出（类）农村综合改革（款）对村级一事一议的补助（项）。反映按规定对对村级一事一议的补助支出。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60.农林水支出（类）其他农林水支出（款）其他农林水支出（项）。反映对除上述项目以外的其他农林水支出。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61.资源勘探信息等支出（类）安全生产监管（款）其他安全生产监管支出（项）。反映对上述项目以外的其他安全生产监管支出。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62.资源勘探信息等支出（类）支持中小企业发展和管理支出（款）其他支持中小企业发展和管理支出（项）。反映对除上述项目以外的其他支持中小企业发展和管理支出。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63.城乡社区支出（类）国有土地使用权出让收入及对应专项债务收入安排的支出（款）土地开发支出（项）。反映从国有土地收益基金中安排用于收购贮备土地需要的前期土地开发性支出以及与前期土地开发相关的费用等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64.城乡社区支出（类）国有土地使用权出让收入及对应专项债务收入安排的支出（款）城市建设支出（项）。反映除土地贮备专项债券、棚户区改造专项债券外，国有土地使用权出让收入对应其他专项债务收入安排的用于完善国有土地使用功能的配套设施建设和城市基础设施建设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65.城乡社区支出（类）国有土地使用权出让收入及对应专项债务收入安排的支出（款）其他国有土地使用权出让收入安排的支出（项）。反映除土地贮备专项债券、棚户区改造专项债券外，国有土地使用权出让收入对应其他专项债务收入安排的除上述项目以外的，用于其他方面的公益资本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66.城乡社区支出（类）城市基础设施配套费及对应专项债务收入安排的支出（款）其他城市基础设施配套费安排的支出（项）。反映上述项目以外，城市基础设施配套费对应专项债务收入安排的公益性资本支出。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67.其他支出（类）其他政府性基金及对应专项债务收入安排的支出（款）其他政府性基金及对应专项债务收入安排的支出（项）。反映其他政府性基金及对应专项债务收入安排的支出。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68.其他支出（类）彩票公益金及对应专项债务收入安排的支出（款）用于社会福利的彩票公益金支出（项）。  用于社会福利的彩票公益金支出。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69.其他支出（类）彩票公益金及对应专项债务收入安排的支出（款）用于残疾人事业的彩票公益金支出（项）。反映用于残疾人事业的彩票公益金支出。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70.其他支出（类）彩票公益金及对应专项债务收入安排的支出（款）用于其他社会公益事业的彩票公益金支出（项）。反映用于其他社会公益事业的彩票公益金支出。</w:t>
      </w:r>
    </w:p>
    <w:p>
      <w:pPr>
        <w:spacing w:line="600" w:lineRule="exact"/>
        <w:ind w:firstLine="640" w:firstLineChars="200"/>
        <w:rPr>
          <w:rFonts w:ascii="仿宋_GB2312" w:hAnsi="仿宋_GB2312" w:eastAsia="仿宋_GB2312" w:cs="仿宋_GB2312"/>
          <w:sz w:val="32"/>
          <w:szCs w:val="32"/>
        </w:rPr>
      </w:pPr>
    </w:p>
    <w:sectPr>
      <w:footerReference r:id="rId3" w:type="default"/>
      <w:pgSz w:w="11906" w:h="16838"/>
      <w:pgMar w:top="1417" w:right="1701" w:bottom="1417" w:left="1701" w:header="851" w:footer="850"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Wingdings 2">
    <w:altName w:val="Wingdings"/>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A619F0"/>
    <w:multiLevelType w:val="singleLevel"/>
    <w:tmpl w:val="D3A619F0"/>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D784552"/>
    <w:rsid w:val="000D253B"/>
    <w:rsid w:val="002122DB"/>
    <w:rsid w:val="00765EE5"/>
    <w:rsid w:val="0097635F"/>
    <w:rsid w:val="00B45503"/>
    <w:rsid w:val="00C70F7B"/>
    <w:rsid w:val="00CA3A98"/>
    <w:rsid w:val="0103451C"/>
    <w:rsid w:val="0D784552"/>
    <w:rsid w:val="11F97373"/>
    <w:rsid w:val="1C612486"/>
    <w:rsid w:val="2B8517B0"/>
    <w:rsid w:val="2CD72F47"/>
    <w:rsid w:val="31DC5A38"/>
    <w:rsid w:val="337837A9"/>
    <w:rsid w:val="39CF0E67"/>
    <w:rsid w:val="3BEC5A3E"/>
    <w:rsid w:val="3D9326FB"/>
    <w:rsid w:val="467D7748"/>
    <w:rsid w:val="46B143AE"/>
    <w:rsid w:val="48BA5FD7"/>
    <w:rsid w:val="4B092F46"/>
    <w:rsid w:val="4ECE71D4"/>
    <w:rsid w:val="55F769D5"/>
    <w:rsid w:val="5C556DC4"/>
    <w:rsid w:val="5EC81C57"/>
    <w:rsid w:val="5FCE785D"/>
    <w:rsid w:val="635C3267"/>
    <w:rsid w:val="645769E0"/>
    <w:rsid w:val="65BA095C"/>
    <w:rsid w:val="65F03CD0"/>
    <w:rsid w:val="66025A71"/>
    <w:rsid w:val="7182065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99"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99"/>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note text"/>
    <w:basedOn w:val="1"/>
    <w:qFormat/>
    <w:uiPriority w:val="0"/>
    <w:pPr>
      <w:widowControl/>
      <w:snapToGrid w:val="0"/>
      <w:jc w:val="left"/>
    </w:pPr>
    <w:rPr>
      <w:rFonts w:ascii="Calibri" w:hAnsi="Calibri" w:eastAsia="宋体" w:cs="Times New Roman"/>
      <w:kern w:val="0"/>
      <w:sz w:val="18"/>
      <w:szCs w:val="18"/>
    </w:rPr>
  </w:style>
  <w:style w:type="paragraph" w:styleId="3">
    <w:name w:val="Balloon Text"/>
    <w:basedOn w:val="1"/>
    <w:link w:val="8"/>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批注框文本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38</Pages>
  <Words>3499</Words>
  <Characters>19945</Characters>
  <Lines>166</Lines>
  <Paragraphs>46</Paragraphs>
  <TotalTime>13</TotalTime>
  <ScaleCrop>false</ScaleCrop>
  <LinksUpToDate>false</LinksUpToDate>
  <CharactersWithSpaces>23398</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2021-09-13T02:30:00Z</dcterms:created>
  <dc:creator>砂尘</dc:creator>
  <cp:lastModifiedBy>Administrator</cp:lastModifiedBy>
  <cp:lastPrinted>2021-09-13T02:40:00Z</cp:lastPrinted>
  <dcterms:modified xsi:type="dcterms:W3CDTF">2021-11-16T03:01:12Z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