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767" w:hanging="1446" w:hangingChars="400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关于泽国镇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2020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年财政预算执行情况和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2021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年财政预算草案的报告</w:t>
      </w:r>
    </w:p>
    <w:p>
      <w:pPr>
        <w:ind w:left="1767" w:hanging="1120" w:hangingChars="4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2021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日在泽国镇第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十七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届人民代表大会第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九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次会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议上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各位代表：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我受镇人民政府委托，现向大会报告泽国镇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年财政预算执行情况和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2021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年财政预算（草案），请予审议，并请列席会议的同志提出意见。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一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2020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年财政预算执行情况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2020年，镇财政工作按照镇党委、政府的统一部署，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全力支持经济平稳增长和转型升级，着力保障和改善民生，深入推进财政改革创新，有效促进全镇经济社会持续健康发展，较好地完成了全年各项工作任务。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（一）财政收入情况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年度，财政总收入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80523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万元，同比减少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10.6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%。地方财政收入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46365.4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万元，同比减少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9.8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（二）财政可用财力及公共财政预算支出情况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年预算可用财力收入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73826.51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万元，完成预算收入计划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79.64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%。其中：体制补助收入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4998.23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万元，完成预算收入计划100.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%；转移支付补助3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431.25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万元，完成预算收入计划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112.87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%；体制结算补助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1200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万元，完成预算收入计划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106.1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%；非税收入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31533.04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万元，完成预算收入计划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103.1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%；政府性基金收入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23222.16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万元，完成预算收入计划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64.71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%；政府性基金补助收入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1073.56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万元，完成预算收入计划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%；各部门拨入经费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8368.27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万元，完成预算收入计划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52.79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年，公共财政预算支出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70446.04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 ，完成预算支出计划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77.84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%，其中：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一般公共服务支出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5914.47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万元，完成预算支出计划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77.17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主要用于人大事务、政府办公室及相关机构事务、统计信息事务、财政事务、群众团体事务、党委办公室及相关机构事务、宣传事务的支出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国防支出8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2.27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万元，完成预算支出计划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80.66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主要用于民兵训练、征兵工作等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公共安全支出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1914.84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万元，完成预算支出计划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69.63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主要用于治安管理、司法等支出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教育支出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963.11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万元，完成预算支出计划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37.42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主要用于迁建工程、校园改造等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文化体育与传媒支出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580.38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万元，完成预算支出计划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59.65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主要用于文化、体育方面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的支出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社会保障和就业支出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4490.76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万元，完成预算支出计划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91.49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主要用于离退休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人员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待遇与保障、民政优抚对象、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>最低生活保障金、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其他农村生活救助、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none"/>
        </w:rPr>
        <w:t>残疾人事业费等支出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卫生健康支出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2537.35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万元，完成预算支出计划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73.78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主要用于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新型农村合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作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医疗基金的补助、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计划生育管理事务、公共卫生、食品药品安全等支出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节能环保支出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4203.96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万元，完成预算支出计划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51.91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主要用于污水处理厂、农村生活污水处理工程、城镇生活污水处理工程等支出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城乡社区支出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40109.67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万元，完成预算支出计划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86.49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主要用于城乡社区公共设施建设、城乡社区环境卫生、征地拆迁和补偿、城市建设、土地开发、三改一拆、小城镇环境综合整治等支出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农林水支出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3602.61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万元，完成预算支出计划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69.04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主要用于农业水利工程、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>村主要干部报酬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、村级便民服务中心运行等支出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交通运输支出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622.99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万元，完成预算支出计划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79.06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主要用公共交通运营补助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等。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资源勘探信息等支出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1066.46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万元，完成预算支出计划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68.63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主要用于支持中小企业发展和管理等支出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商业服务业等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>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186.09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万元，完成预算支出计划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117.78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主要用于三产服务业等支出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自然资源海洋气象等支出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1628.7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万元，完成预算支出计划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49.4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主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要用于农村土地综合整治项目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旱改水项目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治危拆违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  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住房保障支出72.6万元，完成预算支出计划58.55%。主要用于农村危房改造、老旧小区改造等。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灾害防治及应急管理支出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2469.78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万元，完成预算支出计划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113.34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主要用于安全监管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消防事务支出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 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年全镇财政收支保持基本平衡。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（三）国有资本经营预算执行情况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年，国有资本经营预算收入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31649.1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万元，完成预算调整数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45957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万元的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68.87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国有资本经营预算支出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31583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万元，完成预算调整数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45828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万元的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68.92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收支相抵，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年国有资本经营预算收支结余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66.1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回顾一年来，面对突然来袭的新冠疫情和持续加大的经济下行压力以及</w:t>
      </w:r>
      <w:r>
        <w:rPr>
          <w:rFonts w:hint="eastAsia"/>
          <w:sz w:val="28"/>
          <w:szCs w:val="28"/>
          <w:u w:val="none"/>
        </w:rPr>
        <w:t>艰巨复杂的改革发展任务</w:t>
      </w:r>
      <w:r>
        <w:rPr>
          <w:rFonts w:hint="eastAsia"/>
          <w:sz w:val="28"/>
          <w:szCs w:val="28"/>
        </w:rPr>
        <w:t>，镇财政在预算执行中主要做了以下几方面工作：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强化收入征管，确保财政收入平稳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一是镇财政积极加强与税务部门沟通协调，实现信息共享，认真做好税源调查工作，加大对重点行业、重点税源、重点税种的监管力度，做到应收尽收。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是努力挖掘增收潜力，狠抓非税收入，增加地方财政收入。同时全面落实各项减税降费政策，努力帮助企业去杠杆降成本，有效促进税收收入与经济协调增长。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2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加强预算管理，提高财政保障力度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lang w:eastAsia="zh-CN"/>
        </w:rPr>
        <w:t>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全面树立预算的权威性和严肃性，坚持先有预算，后有支出，硬化预算约束，规范预算执行。一是着力优化支出结构，将有限财力用于新增重点支出和改善民生。二是统筹安排社会事业发展资金，保证农林、科教、文化、卫生、水利事业的协同发展。三是加大项目争取力度，用于支持全镇美丽乡村、农田水利、交通、生态环保、人居旅游等基础设施和社会事业建设。</w:t>
      </w:r>
    </w:p>
    <w:p>
      <w:pPr>
        <w:numPr>
          <w:ilvl w:val="0"/>
          <w:numId w:val="1"/>
        </w:numPr>
        <w:spacing w:line="54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保障改善民生，提升群众幸福指数。</w:t>
      </w:r>
    </w:p>
    <w:p>
      <w:pPr>
        <w:numPr>
          <w:ilvl w:val="0"/>
          <w:numId w:val="0"/>
        </w:numPr>
        <w:spacing w:line="54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highlight w:val="yellow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坚持以民生优先，持续加大民生领域投入。全年安排各类社保资金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4000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万元，落实社会弱势群体保障资金，有效提高社会救助水平。财政投入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861.94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万元，全力保障疫情防控经费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为切实提升农村饮用水质量，2020年我镇对7个村实施“一户一表”改造，提升农村饮用水质量，保障群众用水安全。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财政投入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750万元，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深化“污水零直排区”建设，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实现区域内污水全收集、雨污全分流，持续改善泽国镇水体环境。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城乡公厕实现无害化卫生厕所全覆盖，建成复合式星级厕所4座。建成区完成垃圾分类“四分法”全覆盖，成功创建省级垃圾分类示范片区。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加强绩效管理，提升财政管理水平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进一步推进财政工作科学化精细化管理，充分发挥财政监督职能作用，推进财政监督和绩效管理的有机融合。一是加强预算绩效管理，强化支出责任和效率意识，逐步将绩效管理范围覆盖到所有财政资金，着力提高规范专项资金的使用效率和监管力度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是强化国有资产监督管理,为进一步摸清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>家底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，对全镇范围内的所有国有资产，进行了全面自查清理，有效防止了资产流失，规范提升了资产使用效益。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是规范工程招投标和政府采购制度，进一步提升招投标工作效率。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是加强财政监督管理和队伍建设，开展“小金库”专项治理工作，从源头上建立和完善防治“小金库”的长效机制。严格执行《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浙江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乡镇财政资金监管实施办法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加大对财政资金的抽查、巡查力度，努力做到财政资金使用到哪里，制度就跟进到哪里，着力完善事前预警、事中监督和事后评价相协调的监督绩效管理机制。强化内控制度，加强队伍建设，严格要求、严格管理、严格监督，不断提高了依法行政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>依法理财水平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highlight w:val="yellow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各位代表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2020年我们紧紧围绕财政管理的各个环节，预算执行情况总体是好的，但是预算执行中仍存在一些矛盾和问题。受新冠疫情、财政体制以及国内外经济形势等因素的影响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财政收入增长乏力，甚至呈下降趋势；保工资、保运转、保基本民生等刚性需求与财政可安排财力的矛盾仍然突出；财政管理机制还不尽完善，财政支出结构有待进一步优化，财政资金使用效益有待进一步提高；防范和化解财政风险的任务非常艰巨。面对这些问题，我们将通过进一步深化改革，加快经济发展，完善制度，加强管理，逐步加以解决。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2021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年财政预算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安排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2021</w:t>
      </w:r>
      <w:r>
        <w:rPr>
          <w:rFonts w:hint="eastAsia"/>
          <w:sz w:val="28"/>
          <w:szCs w:val="28"/>
        </w:rPr>
        <w:t>年我镇财政工</w:t>
      </w:r>
      <w:r>
        <w:rPr>
          <w:rFonts w:hint="eastAsia"/>
          <w:sz w:val="28"/>
          <w:szCs w:val="28"/>
          <w:lang w:eastAsia="zh-CN"/>
        </w:rPr>
        <w:t>作将坚持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落实国家减税降费政策，坚持不移推进供给侧结构性改革，加大开源节流力度，盘活存量资金资产，努力实现预算收支平衡；坚持艰苦奋斗、勤俭节约，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>大力压减一般性支出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，加强重点领域经费保障。按照量入为出、收支平衡的原则，2021年财政预算初步安排如下：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（一）公共财政预算计划安排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2021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年，公共财政收入预算安排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114858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万元，公共财政支出预算安排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114710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万元，其中：基本支出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6711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万元，项目支出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107999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>收支相抵后，结余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148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>万元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（二）国有资本经营预算计划安排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2021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年，国有资本经营预算收入安排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62565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万元，国有资本经营预算支出安排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61808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收支相抵后，结余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757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万元。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2021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年财政工作主要政策和任务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各位代表，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2021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是“十四五”规划的开局之年，做好财政工作意义重大。我们将认真贯彻落实镇委、镇政府的工作安排，坚持稳中求进工作总基调，以满足人民日益增长的美好生活需求为目标，统筹推进稳增长、促改革、调结构、惠民生、防风险、保稳定，助力建设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美丽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城镇，为“十四五”规划开好局、起好步提供财力保障。为确保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2021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年财政预算和各项财政目标任务的实现，我们将着力抓好以下三方面工作：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2"/>
          <w:sz w:val="28"/>
          <w:szCs w:val="28"/>
          <w:shd w:val="clear" w:fill="FFFFFF"/>
        </w:rPr>
        <w:t>一是强化支出保障，促进事业发展。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kern w:val="2"/>
          <w:sz w:val="28"/>
          <w:szCs w:val="28"/>
          <w:shd w:val="clear" w:fill="FFFFFF"/>
        </w:rPr>
        <w:t>突出抓好“</w:t>
      </w:r>
      <w:r>
        <w:rPr>
          <w:rFonts w:hint="eastAsia" w:asciiTheme="minorEastAsia" w:hAnsiTheme="minorEastAsia" w:cstheme="minorEastAsia"/>
          <w:b w:val="0"/>
          <w:i w:val="0"/>
          <w:color w:val="000000"/>
          <w:kern w:val="2"/>
          <w:sz w:val="28"/>
          <w:szCs w:val="28"/>
          <w:shd w:val="clear" w:fill="FFFFFF"/>
          <w:lang w:val="en-US" w:eastAsia="zh-CN"/>
        </w:rPr>
        <w:t>保工资、保运转、保基本民生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kern w:val="2"/>
          <w:sz w:val="28"/>
          <w:szCs w:val="28"/>
          <w:shd w:val="clear" w:fill="FFFFFF"/>
        </w:rPr>
        <w:t>”工作，大力压减非生产性支出，坚持勤俭节约办事，从严从紧编制部门预算，压缩一般性支出、强化“三公经费”管理、硬化预算执行约束，严格落实政府过紧日子的要求。调整优化财政支出结构，坚决压减非急需、非刚性和低效支出，取消无效支出，调整标准过高的支出，切实降低行政运行成本，集中财力保工资、保运转、保基本民生。重点解决好涉及医疗卫生、社会保障、公共安全等事关群众切身利益的民生问题，不该花的钱一分不花，让每一分钱花到最需要的地方，花出最好的效果。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2"/>
          <w:sz w:val="28"/>
          <w:szCs w:val="28"/>
          <w:shd w:val="clear" w:fill="FFFFFF"/>
        </w:rPr>
        <w:t>二是深化预算执行，规范财务管理。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kern w:val="2"/>
          <w:sz w:val="28"/>
          <w:szCs w:val="28"/>
          <w:shd w:val="clear" w:fill="FFFFFF"/>
        </w:rPr>
        <w:t>进一步加强财政监管，严肃财经纪律，建立健全财政结转资金与预算安排统筹相结合的机制。规范专项资金管理，严格按照财政专项资金管理办法执行，加大专项资金整合力度，推动资金管得严、放得活、用得准，提高资金使用效益，建立更加严格、科学、高效的财政管理体制。进一步推进预算公开，强化预算约束机制，严格预算编制和执行。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2"/>
          <w:sz w:val="28"/>
          <w:szCs w:val="28"/>
          <w:shd w:val="clear" w:fill="FFFFFF"/>
        </w:rPr>
        <w:t>三是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8"/>
          <w:szCs w:val="28"/>
        </w:rPr>
        <w:t>提升城镇品质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2"/>
          <w:sz w:val="28"/>
          <w:szCs w:val="28"/>
          <w:shd w:val="clear" w:fill="FFFFFF"/>
        </w:rPr>
        <w:t>，</w:t>
      </w:r>
      <w:r>
        <w:rPr>
          <w:rFonts w:hint="eastAsia" w:asciiTheme="minorEastAsia" w:hAnsiTheme="minorEastAsia" w:cstheme="minorEastAsia"/>
          <w:b w:val="0"/>
          <w:bCs/>
          <w:i w:val="0"/>
          <w:color w:val="000000"/>
          <w:kern w:val="2"/>
          <w:sz w:val="28"/>
          <w:szCs w:val="28"/>
          <w:shd w:val="clear" w:fill="FFFFFF"/>
          <w:lang w:val="en-US" w:eastAsia="zh-CN"/>
        </w:rPr>
        <w:t>推进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2"/>
          <w:sz w:val="28"/>
          <w:szCs w:val="28"/>
          <w:shd w:val="clear" w:fill="FFFFFF"/>
        </w:rPr>
        <w:t>乡村振兴。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进一步深化美丽城镇建设，加大市政设施、绿化美化、交通治堵、更新改造等方面的投入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kern w:val="2"/>
          <w:sz w:val="28"/>
          <w:szCs w:val="28"/>
          <w:shd w:val="clear" w:fill="FFFFFF"/>
        </w:rPr>
        <w:t>根据“轻重缓急、突出重点、统筹兼顾”的原则，大力支持乡村振兴战略。建立健全财政投入机制，加大财政资金向“三农”的倾斜力度，重点支持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农业生产经营现代化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kern w:val="2"/>
          <w:sz w:val="28"/>
          <w:szCs w:val="28"/>
          <w:shd w:val="clear" w:fill="FFFFFF"/>
        </w:rPr>
        <w:t>、规范农村建房、人居环境整治、“厕所革命”、河长制和美丽乡村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特色村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建设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kern w:val="2"/>
          <w:sz w:val="28"/>
          <w:szCs w:val="28"/>
          <w:shd w:val="clear" w:fill="FFFFFF"/>
        </w:rPr>
        <w:t>，大力改善农村基础设施等。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8"/>
          <w:szCs w:val="28"/>
          <w:shd w:val="clear" w:fill="FFFFFF"/>
        </w:rPr>
        <w:t xml:space="preserve"> 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="宋体" w:hAnsi="Calibri" w:eastAsia="宋体" w:cs="Times New Roman"/>
          <w:b w:val="0"/>
          <w:i w:val="0"/>
          <w:color w:val="000000"/>
          <w:kern w:val="2"/>
          <w:sz w:val="28"/>
          <w:szCs w:val="28"/>
        </w:rPr>
        <w:t>各位代表，做好2021年财政工作，任务艰巨、责任重大、使命光荣。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我们将在镇党委的坚强领导下，主动接受人大监督，</w:t>
      </w:r>
      <w:r>
        <w:rPr>
          <w:rFonts w:hint="eastAsia" w:ascii="宋体" w:hAnsi="Calibri" w:eastAsia="宋体" w:cs="Times New Roman"/>
          <w:b w:val="0"/>
          <w:i w:val="0"/>
          <w:color w:val="000000"/>
          <w:kern w:val="2"/>
          <w:sz w:val="28"/>
          <w:szCs w:val="28"/>
        </w:rPr>
        <w:t>守初心、担使命，谋出彩、谱新篇，坚定信心、锐意进取、攻坚克难、真抓实干，积极发挥财政职能作用，确保圆满完成全年各项目标任务，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为全面建成“台州第一镇”而努力奋斗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！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附表：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2021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年泽国镇公共财政预算收支安排表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2021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年泽国镇国有资本经营预算收支安排表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年泽国镇公共财政预算收支执行情况表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年泽国镇国有资本经营预算收支执行情况表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A96AAC"/>
    <w:multiLevelType w:val="singleLevel"/>
    <w:tmpl w:val="FBA96AAC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B255B"/>
    <w:rsid w:val="01814413"/>
    <w:rsid w:val="036F3A5D"/>
    <w:rsid w:val="05EC3811"/>
    <w:rsid w:val="065805D9"/>
    <w:rsid w:val="07DC7907"/>
    <w:rsid w:val="09C55400"/>
    <w:rsid w:val="0A5478A7"/>
    <w:rsid w:val="0CBB7E61"/>
    <w:rsid w:val="0FFE0D6F"/>
    <w:rsid w:val="15FE1D7C"/>
    <w:rsid w:val="168A3A04"/>
    <w:rsid w:val="177B2A25"/>
    <w:rsid w:val="1930390F"/>
    <w:rsid w:val="1ABA6477"/>
    <w:rsid w:val="1F2B14E5"/>
    <w:rsid w:val="1F2F1A4D"/>
    <w:rsid w:val="214E279A"/>
    <w:rsid w:val="24BB7503"/>
    <w:rsid w:val="2B8526E6"/>
    <w:rsid w:val="2C8F600C"/>
    <w:rsid w:val="2D2D111D"/>
    <w:rsid w:val="2D8279D4"/>
    <w:rsid w:val="2DAA3336"/>
    <w:rsid w:val="313B255B"/>
    <w:rsid w:val="31DF6309"/>
    <w:rsid w:val="31E65C55"/>
    <w:rsid w:val="33095A96"/>
    <w:rsid w:val="352C3717"/>
    <w:rsid w:val="3C4C371A"/>
    <w:rsid w:val="3D3A4350"/>
    <w:rsid w:val="463908F3"/>
    <w:rsid w:val="49A43903"/>
    <w:rsid w:val="4DB63676"/>
    <w:rsid w:val="4E5057FB"/>
    <w:rsid w:val="50A14FC8"/>
    <w:rsid w:val="56076F50"/>
    <w:rsid w:val="57CC046D"/>
    <w:rsid w:val="66CC6D09"/>
    <w:rsid w:val="66D50C3E"/>
    <w:rsid w:val="66DD3883"/>
    <w:rsid w:val="6A47578F"/>
    <w:rsid w:val="76345762"/>
    <w:rsid w:val="79065390"/>
    <w:rsid w:val="7A387E5C"/>
    <w:rsid w:val="7B5A59CB"/>
    <w:rsid w:val="7BDA2A00"/>
    <w:rsid w:val="7C8F6518"/>
    <w:rsid w:val="7DFB533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2020-03-01T11:07:00Z</dcterms:created>
  <dc:creator>ASUS</dc:creator>
  <cp:lastModifiedBy>Administrator</cp:lastModifiedBy>
  <dcterms:modified xsi:type="dcterms:W3CDTF">2021-03-04T07:51:58Z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