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E4" w:rsidRDefault="00EF11E4" w:rsidP="00EF11E4">
      <w:pPr>
        <w:spacing w:line="620" w:lineRule="exact"/>
        <w:jc w:val="center"/>
        <w:rPr>
          <w:rFonts w:ascii="华文中宋" w:eastAsia="华文中宋" w:hAnsi="华文中宋"/>
          <w:kern w:val="0"/>
          <w:sz w:val="40"/>
          <w:szCs w:val="40"/>
        </w:rPr>
      </w:pPr>
      <w:r>
        <w:rPr>
          <w:rFonts w:ascii="华文中宋" w:eastAsia="华文中宋" w:hAnsi="华文中宋" w:hint="eastAsia"/>
          <w:kern w:val="0"/>
          <w:sz w:val="40"/>
          <w:szCs w:val="40"/>
        </w:rPr>
        <w:t>温岭市工程建设项目招标代理管理办法</w:t>
      </w:r>
    </w:p>
    <w:p w:rsidR="00EF11E4" w:rsidRDefault="00EF11E4" w:rsidP="00EF11E4">
      <w:pPr>
        <w:snapToGrid w:val="0"/>
        <w:spacing w:line="600" w:lineRule="exact"/>
        <w:jc w:val="center"/>
        <w:rPr>
          <w:rFonts w:ascii="仿宋_GB2312" w:eastAsia="仿宋_GB2312"/>
          <w:b/>
          <w:bCs/>
          <w:kern w:val="0"/>
          <w:sz w:val="32"/>
          <w:szCs w:val="32"/>
        </w:rPr>
      </w:pPr>
    </w:p>
    <w:p w:rsidR="00EF11E4" w:rsidRPr="0050483F" w:rsidRDefault="00EF11E4" w:rsidP="00EF11E4">
      <w:pPr>
        <w:snapToGrid w:val="0"/>
        <w:spacing w:line="560" w:lineRule="exact"/>
        <w:ind w:firstLine="656"/>
        <w:rPr>
          <w:rFonts w:ascii="仿宋_GB2312" w:eastAsia="仿宋_GB2312"/>
          <w:kern w:val="0"/>
          <w:sz w:val="32"/>
          <w:szCs w:val="32"/>
        </w:rPr>
      </w:pPr>
      <w:r w:rsidRPr="0050483F">
        <w:rPr>
          <w:rFonts w:ascii="仿宋_GB2312" w:eastAsia="仿宋_GB2312" w:hint="eastAsia"/>
          <w:kern w:val="0"/>
          <w:sz w:val="32"/>
          <w:szCs w:val="32"/>
        </w:rPr>
        <w:t>一、温岭市公共资源交易管理委员会（以下简称“市公管委”）会同市发展和改革局、市财政局、市住房和城乡建设局、市自然资源和规划局、市交通运输局、市农业农村和水利局、市港</w:t>
      </w:r>
      <w:proofErr w:type="gramStart"/>
      <w:r w:rsidRPr="0050483F">
        <w:rPr>
          <w:rFonts w:ascii="仿宋_GB2312" w:eastAsia="仿宋_GB2312" w:hint="eastAsia"/>
          <w:kern w:val="0"/>
          <w:sz w:val="32"/>
          <w:szCs w:val="32"/>
        </w:rPr>
        <w:t>航口岸</w:t>
      </w:r>
      <w:proofErr w:type="gramEnd"/>
      <w:r w:rsidRPr="0050483F">
        <w:rPr>
          <w:rFonts w:ascii="仿宋_GB2312" w:eastAsia="仿宋_GB2312" w:hint="eastAsia"/>
          <w:kern w:val="0"/>
          <w:sz w:val="32"/>
          <w:szCs w:val="32"/>
        </w:rPr>
        <w:t>和渔业管理局等行政监督部门负责本市范围内工程招标代理的监督管理工作。</w:t>
      </w:r>
    </w:p>
    <w:p w:rsidR="00EF11E4" w:rsidRPr="0050483F" w:rsidRDefault="00EF11E4" w:rsidP="00EF11E4">
      <w:pPr>
        <w:snapToGrid w:val="0"/>
        <w:spacing w:line="560" w:lineRule="exact"/>
        <w:ind w:firstLine="656"/>
        <w:rPr>
          <w:rFonts w:ascii="仿宋_GB2312" w:eastAsia="仿宋_GB2312"/>
          <w:kern w:val="0"/>
          <w:sz w:val="32"/>
          <w:szCs w:val="32"/>
        </w:rPr>
      </w:pPr>
      <w:r w:rsidRPr="0050483F">
        <w:rPr>
          <w:rFonts w:ascii="仿宋_GB2312" w:eastAsia="仿宋_GB2312" w:hint="eastAsia"/>
          <w:kern w:val="0"/>
          <w:sz w:val="32"/>
          <w:szCs w:val="32"/>
        </w:rPr>
        <w:t>在本市承接业务的招标代理机构，应当接受相关部门的监督管理。在承接业务前，应向市公管委提供附表1、2规定的相关资料，并取得《温岭市工程招标代理机构管理手册》和《温岭市工程招标代理人员管理手册》（以下统称管理手册）。</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b/>
          <w:bCs/>
          <w:kern w:val="0"/>
          <w:sz w:val="32"/>
          <w:szCs w:val="32"/>
        </w:rPr>
        <w:t>二、</w:t>
      </w:r>
      <w:r w:rsidRPr="0050483F">
        <w:rPr>
          <w:rFonts w:ascii="仿宋_GB2312" w:eastAsia="仿宋_GB2312" w:hint="eastAsia"/>
          <w:kern w:val="0"/>
          <w:sz w:val="32"/>
          <w:szCs w:val="32"/>
        </w:rPr>
        <w:t>招标代理机构应当组建能够满足代理招标项目需要的项目组。项目组由本机构专职人员组成，每组设项目负责人1名，组员2名。专职人员不得同时从事3个以上代理项目。</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项目负责人应为注册在本机构的工程</w:t>
      </w:r>
      <w:proofErr w:type="gramStart"/>
      <w:r w:rsidRPr="0050483F">
        <w:rPr>
          <w:rFonts w:ascii="仿宋_GB2312" w:eastAsia="仿宋_GB2312" w:hint="eastAsia"/>
          <w:kern w:val="0"/>
          <w:sz w:val="32"/>
          <w:szCs w:val="32"/>
        </w:rPr>
        <w:t>类注册</w:t>
      </w:r>
      <w:proofErr w:type="gramEnd"/>
      <w:r w:rsidRPr="0050483F">
        <w:rPr>
          <w:rFonts w:ascii="仿宋_GB2312" w:eastAsia="仿宋_GB2312" w:hint="eastAsia"/>
          <w:kern w:val="0"/>
          <w:sz w:val="32"/>
          <w:szCs w:val="32"/>
        </w:rPr>
        <w:t>执业人员或具有中级以上专业技术职称或取得招标职业资格的专职人员，且熟悉招标投标法律法规和有关政策规定。</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bCs/>
          <w:kern w:val="0"/>
          <w:sz w:val="32"/>
          <w:szCs w:val="32"/>
        </w:rPr>
        <w:t>三、</w:t>
      </w:r>
      <w:r w:rsidRPr="0050483F">
        <w:rPr>
          <w:rFonts w:ascii="仿宋_GB2312" w:eastAsia="仿宋_GB2312" w:hint="eastAsia"/>
          <w:kern w:val="0"/>
          <w:sz w:val="32"/>
          <w:szCs w:val="32"/>
        </w:rPr>
        <w:t>代理机构应在资质许可的范围内承接业务，承接业务时，应与建设单位签订招标代理合同，确定项目组人员，收集招标所需资料，根据项目的特点认真编制资格预审文件、招标文件等。</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bCs/>
          <w:kern w:val="0"/>
          <w:sz w:val="32"/>
          <w:szCs w:val="32"/>
        </w:rPr>
        <w:t>四、</w:t>
      </w:r>
      <w:r w:rsidRPr="0050483F">
        <w:rPr>
          <w:rFonts w:ascii="仿宋_GB2312" w:eastAsia="仿宋_GB2312" w:hint="eastAsia"/>
          <w:kern w:val="0"/>
          <w:sz w:val="32"/>
          <w:szCs w:val="32"/>
        </w:rPr>
        <w:t>市级平台评标专家应从浙江省综合性评标专家</w:t>
      </w:r>
      <w:proofErr w:type="gramStart"/>
      <w:r w:rsidRPr="0050483F">
        <w:rPr>
          <w:rFonts w:ascii="仿宋_GB2312" w:eastAsia="仿宋_GB2312" w:hint="eastAsia"/>
          <w:kern w:val="0"/>
          <w:sz w:val="32"/>
          <w:szCs w:val="32"/>
        </w:rPr>
        <w:t>库相应</w:t>
      </w:r>
      <w:proofErr w:type="gramEnd"/>
      <w:r w:rsidRPr="0050483F">
        <w:rPr>
          <w:rFonts w:ascii="仿宋_GB2312" w:eastAsia="仿宋_GB2312" w:hint="eastAsia"/>
          <w:kern w:val="0"/>
          <w:sz w:val="32"/>
          <w:szCs w:val="32"/>
        </w:rPr>
        <w:lastRenderedPageBreak/>
        <w:t>专业类别中随机抽取产生；其他平台评标专家应从温岭市综合评标专家库抽取产生。在特殊招标项目经有关行政监督部门核准后可以由招标人直接确定评标专家。项目流标的，应及时告知投标人、招标人和监管部门。</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项目组人员应于投标截止时间半小时前到达开标现场，进行会场布置、文件资料准备、接收投标文件（备份）等。开标过程中有异议的，应要求投标人以书面形式提出；招标代理应协助招标人当场</w:t>
      </w:r>
      <w:proofErr w:type="gramStart"/>
      <w:r w:rsidRPr="0050483F">
        <w:rPr>
          <w:rFonts w:ascii="仿宋_GB2312" w:eastAsia="仿宋_GB2312" w:hint="eastAsia"/>
          <w:kern w:val="0"/>
          <w:sz w:val="32"/>
          <w:szCs w:val="32"/>
        </w:rPr>
        <w:t>作出</w:t>
      </w:r>
      <w:proofErr w:type="gramEnd"/>
      <w:r w:rsidRPr="0050483F">
        <w:rPr>
          <w:rFonts w:ascii="仿宋_GB2312" w:eastAsia="仿宋_GB2312" w:hint="eastAsia"/>
          <w:kern w:val="0"/>
          <w:sz w:val="32"/>
          <w:szCs w:val="32"/>
        </w:rPr>
        <w:t>书面答复，并制作记录。</w:t>
      </w:r>
    </w:p>
    <w:p w:rsidR="00EF11E4" w:rsidRPr="0050483F" w:rsidRDefault="00EF11E4" w:rsidP="00EF11E4">
      <w:pPr>
        <w:spacing w:line="560" w:lineRule="exact"/>
        <w:ind w:firstLineChars="200" w:firstLine="640"/>
        <w:textAlignment w:val="center"/>
        <w:rPr>
          <w:rFonts w:ascii="仿宋_GB2312" w:eastAsia="仿宋_GB2312"/>
          <w:kern w:val="0"/>
          <w:sz w:val="32"/>
          <w:szCs w:val="32"/>
        </w:rPr>
      </w:pPr>
      <w:r w:rsidRPr="0050483F">
        <w:rPr>
          <w:rFonts w:ascii="仿宋_GB2312" w:eastAsia="仿宋_GB2312" w:hint="eastAsia"/>
          <w:kern w:val="0"/>
          <w:sz w:val="32"/>
          <w:szCs w:val="32"/>
        </w:rPr>
        <w:t>开标时，项目组负责人应宣读开标纪律，收取投标文件（备份）资料。开标开始后，由投标人自行解密并签字确认。解密成功后，项目组负责人进行当众开标。</w:t>
      </w:r>
    </w:p>
    <w:p w:rsidR="00EF11E4" w:rsidRPr="0050483F" w:rsidRDefault="00EF11E4" w:rsidP="00EF11E4">
      <w:pPr>
        <w:snapToGrid w:val="0"/>
        <w:spacing w:line="560" w:lineRule="exact"/>
        <w:ind w:firstLineChars="196" w:firstLine="627"/>
        <w:rPr>
          <w:rFonts w:ascii="仿宋_GB2312" w:eastAsia="仿宋_GB2312"/>
          <w:kern w:val="0"/>
          <w:sz w:val="32"/>
          <w:szCs w:val="32"/>
        </w:rPr>
      </w:pPr>
      <w:r w:rsidRPr="0050483F">
        <w:rPr>
          <w:rFonts w:ascii="仿宋_GB2312" w:eastAsia="仿宋_GB2312" w:hint="eastAsia"/>
          <w:bCs/>
          <w:kern w:val="0"/>
          <w:sz w:val="32"/>
          <w:szCs w:val="32"/>
        </w:rPr>
        <w:t>五、</w:t>
      </w:r>
      <w:r w:rsidRPr="0050483F">
        <w:rPr>
          <w:rFonts w:ascii="仿宋_GB2312" w:eastAsia="仿宋_GB2312" w:hint="eastAsia"/>
          <w:kern w:val="0"/>
          <w:sz w:val="32"/>
          <w:szCs w:val="32"/>
        </w:rPr>
        <w:t>评标开始时，项目组负责人应宣读评标纪律，组织评标委员会成员熟悉招标文件，介绍项目基本情况、评标程序及评标标准，并组织推选评标委员会主任。</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评标过程中，应保持评标室的评标秩序，不得影响评标委员会独立评标；整理资料，汇总数据，核对否决投标条款，发现差错及时向评标委员会提出；操作建设工程计算机辅助评标系统；协助评标委员会完整、准确填写评标报告。</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评标结果宣布后，投标人无异议的或异议处理完毕的，评标委员会成员方可离开评标区。</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bCs/>
          <w:kern w:val="0"/>
          <w:sz w:val="32"/>
          <w:szCs w:val="32"/>
        </w:rPr>
        <w:t>六、评标结束后应</w:t>
      </w:r>
      <w:r w:rsidRPr="0050483F">
        <w:rPr>
          <w:rFonts w:ascii="仿宋_GB2312" w:eastAsia="仿宋_GB2312" w:hint="eastAsia"/>
          <w:kern w:val="0"/>
          <w:sz w:val="32"/>
          <w:szCs w:val="32"/>
        </w:rPr>
        <w:t>及时整理相关资料，按规定内容公示评标结果；如有异议或投诉的，应积极主动协助招标人或监管部</w:t>
      </w:r>
      <w:r w:rsidRPr="0050483F">
        <w:rPr>
          <w:rFonts w:ascii="仿宋_GB2312" w:eastAsia="仿宋_GB2312" w:hint="eastAsia"/>
          <w:kern w:val="0"/>
          <w:sz w:val="32"/>
          <w:szCs w:val="32"/>
        </w:rPr>
        <w:lastRenderedPageBreak/>
        <w:t>门处理异议、投诉事宜。评标结果公示期间无异议或投诉的，公示期结束后，应协助招标人及时发放中标通知书，按招标文件要求拟制合同文本，协调合同签订事宜。</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合同签订后应告知招标人信用评价有关规定，及时拟制招标投标情况书面报告，完成招标投标情况书面报告和合同备案；做好招投标资料的归档工作。</w:t>
      </w:r>
    </w:p>
    <w:p w:rsidR="00EF11E4" w:rsidRPr="0050483F" w:rsidRDefault="00EF11E4" w:rsidP="00EF11E4">
      <w:pPr>
        <w:snapToGrid w:val="0"/>
        <w:spacing w:line="560" w:lineRule="exact"/>
        <w:rPr>
          <w:rFonts w:ascii="仿宋_GB2312" w:eastAsia="仿宋_GB2312"/>
          <w:bCs/>
          <w:kern w:val="0"/>
          <w:sz w:val="32"/>
          <w:szCs w:val="32"/>
        </w:rPr>
      </w:pPr>
      <w:r w:rsidRPr="0050483F">
        <w:rPr>
          <w:rFonts w:ascii="仿宋_GB2312" w:eastAsia="仿宋_GB2312" w:hint="eastAsia"/>
          <w:kern w:val="0"/>
          <w:sz w:val="32"/>
          <w:szCs w:val="32"/>
        </w:rPr>
        <w:t xml:space="preserve">    七、</w:t>
      </w:r>
      <w:r w:rsidRPr="0050483F">
        <w:rPr>
          <w:rFonts w:ascii="仿宋_GB2312" w:eastAsia="仿宋_GB2312" w:hint="eastAsia"/>
          <w:bCs/>
          <w:kern w:val="0"/>
          <w:sz w:val="32"/>
          <w:szCs w:val="32"/>
        </w:rPr>
        <w:t>招标代理日常管理由市公管委负责，实行加分扣分制，周期为一个年度。有承接项目的初始总分为90分，无承接项目的初始总分为80分。</w:t>
      </w:r>
    </w:p>
    <w:p w:rsidR="00EF11E4" w:rsidRPr="0050483F" w:rsidRDefault="00EF11E4" w:rsidP="00EF11E4">
      <w:pPr>
        <w:snapToGrid w:val="0"/>
        <w:spacing w:line="560" w:lineRule="exact"/>
        <w:ind w:firstLineChars="200" w:firstLine="640"/>
        <w:rPr>
          <w:rFonts w:ascii="仿宋_GB2312" w:eastAsia="仿宋_GB2312"/>
          <w:bCs/>
          <w:kern w:val="0"/>
          <w:sz w:val="32"/>
          <w:szCs w:val="32"/>
        </w:rPr>
      </w:pPr>
      <w:r w:rsidRPr="0050483F">
        <w:rPr>
          <w:rFonts w:ascii="仿宋_GB2312" w:eastAsia="仿宋_GB2312" w:hint="eastAsia"/>
          <w:bCs/>
          <w:kern w:val="0"/>
          <w:sz w:val="32"/>
          <w:szCs w:val="32"/>
        </w:rPr>
        <w:t>招标代理机构考核加分扣分依据：</w:t>
      </w:r>
    </w:p>
    <w:p w:rsidR="00EF11E4" w:rsidRPr="0050483F" w:rsidRDefault="00EF11E4" w:rsidP="00EF11E4">
      <w:pPr>
        <w:snapToGrid w:val="0"/>
        <w:spacing w:line="560" w:lineRule="exact"/>
        <w:ind w:firstLineChars="200" w:firstLine="640"/>
        <w:rPr>
          <w:rFonts w:ascii="仿宋_GB2312" w:eastAsia="仿宋_GB2312"/>
          <w:bCs/>
          <w:kern w:val="0"/>
          <w:sz w:val="32"/>
          <w:szCs w:val="32"/>
        </w:rPr>
      </w:pPr>
      <w:r w:rsidRPr="0050483F">
        <w:rPr>
          <w:rFonts w:ascii="仿宋_GB2312" w:eastAsia="仿宋_GB2312" w:hint="eastAsia"/>
          <w:bCs/>
          <w:kern w:val="0"/>
          <w:sz w:val="32"/>
          <w:szCs w:val="32"/>
        </w:rPr>
        <w:t>加分依据与温岭</w:t>
      </w:r>
      <w:proofErr w:type="gramStart"/>
      <w:r w:rsidRPr="0050483F">
        <w:rPr>
          <w:rFonts w:ascii="仿宋_GB2312" w:eastAsia="仿宋_GB2312" w:hint="eastAsia"/>
          <w:bCs/>
          <w:kern w:val="0"/>
          <w:sz w:val="32"/>
          <w:szCs w:val="32"/>
        </w:rPr>
        <w:t>市区域</w:t>
      </w:r>
      <w:proofErr w:type="gramEnd"/>
      <w:r w:rsidRPr="0050483F">
        <w:rPr>
          <w:rFonts w:ascii="仿宋_GB2312" w:eastAsia="仿宋_GB2312" w:hint="eastAsia"/>
          <w:bCs/>
          <w:kern w:val="0"/>
          <w:sz w:val="32"/>
          <w:szCs w:val="32"/>
        </w:rPr>
        <w:t>范围内代理的项目个数挂钩。</w:t>
      </w:r>
    </w:p>
    <w:p w:rsidR="00EF11E4" w:rsidRPr="0050483F" w:rsidRDefault="00EF11E4" w:rsidP="00EF11E4">
      <w:pPr>
        <w:snapToGrid w:val="0"/>
        <w:spacing w:line="560" w:lineRule="exact"/>
        <w:ind w:firstLineChars="200" w:firstLine="640"/>
        <w:rPr>
          <w:rFonts w:ascii="仿宋_GB2312" w:eastAsia="仿宋_GB2312"/>
          <w:bCs/>
          <w:kern w:val="0"/>
          <w:sz w:val="32"/>
          <w:szCs w:val="32"/>
        </w:rPr>
      </w:pPr>
      <w:r w:rsidRPr="0050483F">
        <w:rPr>
          <w:rFonts w:ascii="仿宋_GB2312" w:eastAsia="仿宋_GB2312" w:hint="eastAsia"/>
          <w:bCs/>
          <w:kern w:val="0"/>
          <w:sz w:val="32"/>
          <w:szCs w:val="32"/>
        </w:rPr>
        <w:t>（一）全年平均每季度承接工程项目个数超过10个（含10个）的，加10分；</w:t>
      </w:r>
    </w:p>
    <w:p w:rsidR="00EF11E4" w:rsidRPr="0050483F" w:rsidRDefault="00EF11E4" w:rsidP="00EF11E4">
      <w:pPr>
        <w:snapToGrid w:val="0"/>
        <w:spacing w:line="560" w:lineRule="exact"/>
        <w:ind w:firstLineChars="200" w:firstLine="640"/>
        <w:rPr>
          <w:rFonts w:ascii="仿宋_GB2312" w:eastAsia="仿宋_GB2312"/>
          <w:bCs/>
          <w:kern w:val="0"/>
          <w:sz w:val="32"/>
          <w:szCs w:val="32"/>
        </w:rPr>
      </w:pPr>
      <w:r w:rsidRPr="0050483F">
        <w:rPr>
          <w:rFonts w:ascii="仿宋_GB2312" w:eastAsia="仿宋_GB2312" w:hint="eastAsia"/>
          <w:bCs/>
          <w:kern w:val="0"/>
          <w:sz w:val="32"/>
          <w:szCs w:val="32"/>
        </w:rPr>
        <w:t>（二）全年平均每季度承接工程项目个数5—9个的，加6分；</w:t>
      </w:r>
    </w:p>
    <w:p w:rsidR="00EF11E4" w:rsidRPr="0050483F" w:rsidRDefault="00EF11E4" w:rsidP="00EF11E4">
      <w:pPr>
        <w:snapToGrid w:val="0"/>
        <w:spacing w:line="560" w:lineRule="exact"/>
        <w:ind w:firstLineChars="200" w:firstLine="640"/>
        <w:rPr>
          <w:rFonts w:ascii="仿宋_GB2312" w:eastAsia="仿宋_GB2312"/>
          <w:bCs/>
          <w:kern w:val="0"/>
          <w:sz w:val="32"/>
          <w:szCs w:val="32"/>
        </w:rPr>
      </w:pPr>
      <w:r w:rsidRPr="0050483F">
        <w:rPr>
          <w:rFonts w:ascii="仿宋_GB2312" w:eastAsia="仿宋_GB2312" w:hint="eastAsia"/>
          <w:bCs/>
          <w:kern w:val="0"/>
          <w:sz w:val="32"/>
          <w:szCs w:val="32"/>
        </w:rPr>
        <w:t>（三）全年平均每季度承接工程项目个数3—4个的，加3分；</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bCs/>
          <w:kern w:val="0"/>
          <w:sz w:val="32"/>
          <w:szCs w:val="32"/>
        </w:rPr>
        <w:t>（四）全年平均每季度承接工程项目个数小于2（含2个）的，不加分。</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八、招标代理人员在从事工程招标代理时，有附表3情形行为的，市公管委将其记录在管理手册上，对该项目组所有人员扣除相应分值；对其所属的代理机构减半扣分处理,将其记录</w:t>
      </w:r>
      <w:r w:rsidRPr="0050483F">
        <w:rPr>
          <w:rFonts w:ascii="仿宋_GB2312" w:eastAsia="仿宋_GB2312" w:hint="eastAsia"/>
          <w:kern w:val="0"/>
          <w:sz w:val="32"/>
          <w:szCs w:val="32"/>
        </w:rPr>
        <w:lastRenderedPageBreak/>
        <w:t>在管理手册上。招标代理机构或招标代理人员一次有两种以上或重复发生违法违规行为的，应当分别计算、累加扣分分值。</w:t>
      </w:r>
    </w:p>
    <w:p w:rsidR="00EF11E4" w:rsidRPr="0050483F" w:rsidRDefault="00EF11E4" w:rsidP="00EF11E4">
      <w:pPr>
        <w:snapToGrid w:val="0"/>
        <w:spacing w:line="560" w:lineRule="exact"/>
        <w:ind w:firstLine="640"/>
        <w:rPr>
          <w:rFonts w:ascii="仿宋_GB2312" w:eastAsia="仿宋_GB2312" w:hAnsi="仿宋_GB2312"/>
          <w:kern w:val="0"/>
          <w:sz w:val="32"/>
          <w:szCs w:val="32"/>
        </w:rPr>
      </w:pPr>
      <w:r w:rsidRPr="0050483F">
        <w:rPr>
          <w:rFonts w:ascii="仿宋_GB2312" w:eastAsia="仿宋_GB2312" w:hAnsi="仿宋_GB2312" w:hint="eastAsia"/>
          <w:kern w:val="0"/>
          <w:sz w:val="32"/>
          <w:szCs w:val="32"/>
        </w:rPr>
        <w:t>分值低于12分的招标代理人员，市公管委将滞留其管理手册。招标代理人员的分值按每人每年累计，若代理人员调离原单位，其调离前的扣分仍然有效。</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bCs/>
          <w:kern w:val="0"/>
          <w:sz w:val="32"/>
          <w:szCs w:val="32"/>
        </w:rPr>
        <w:t>在代理过程中发生程序性错误或其他重大失误的，监管部门有权视情责令该代理机构或项目组自行组织招投标业务学习或培训，并滞留</w:t>
      </w:r>
      <w:r w:rsidRPr="0050483F">
        <w:rPr>
          <w:rFonts w:ascii="仿宋_GB2312" w:eastAsia="仿宋_GB2312" w:hint="eastAsia"/>
          <w:kern w:val="0"/>
          <w:sz w:val="32"/>
          <w:szCs w:val="32"/>
        </w:rPr>
        <w:t>其管理手册一个季度及以上</w:t>
      </w:r>
      <w:r w:rsidRPr="0050483F">
        <w:rPr>
          <w:rFonts w:ascii="仿宋_GB2312" w:eastAsia="仿宋_GB2312" w:hint="eastAsia"/>
          <w:bCs/>
          <w:kern w:val="0"/>
          <w:sz w:val="32"/>
          <w:szCs w:val="32"/>
        </w:rPr>
        <w:t>。</w:t>
      </w:r>
      <w:r w:rsidRPr="0050483F">
        <w:rPr>
          <w:rFonts w:ascii="仿宋_GB2312" w:eastAsia="仿宋_GB2312" w:hint="eastAsia"/>
          <w:kern w:val="0"/>
          <w:sz w:val="32"/>
          <w:szCs w:val="32"/>
        </w:rPr>
        <w:t>同时每个项目组成员扣3分，该项目组所在的代理机构扣1.5分。</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各招标代理机构、招标代理人员的扣分每季度汇总一次，在温岭市公共资源交易中心网站上公示。</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九、招标代理机构泄露应当保密的与招标投标活动有关的情况和资料，或者与招标人、投标人串通损害国家利益、社会公共利益及他人合法权益等，造成异议、投诉或不良社会影响情节严重的，应当予以清退。</w:t>
      </w:r>
    </w:p>
    <w:p w:rsidR="00EF11E4" w:rsidRPr="0050483F" w:rsidRDefault="00EF11E4" w:rsidP="00EF11E4">
      <w:pPr>
        <w:snapToGrid w:val="0"/>
        <w:spacing w:line="560" w:lineRule="exact"/>
        <w:ind w:firstLine="640"/>
        <w:rPr>
          <w:rFonts w:ascii="仿宋_GB2312" w:eastAsia="仿宋_GB2312"/>
          <w:kern w:val="0"/>
          <w:sz w:val="32"/>
          <w:szCs w:val="32"/>
        </w:rPr>
      </w:pPr>
      <w:r w:rsidRPr="0050483F">
        <w:rPr>
          <w:rFonts w:ascii="仿宋_GB2312" w:eastAsia="仿宋_GB2312" w:hint="eastAsia"/>
          <w:kern w:val="0"/>
          <w:sz w:val="32"/>
          <w:szCs w:val="32"/>
        </w:rPr>
        <w:t>十、招标代理机构的管理纳入温岭市中介机构信用评价体系。</w:t>
      </w:r>
    </w:p>
    <w:p w:rsidR="00EF11E4" w:rsidRPr="0050483F" w:rsidRDefault="00EF11E4" w:rsidP="00EF11E4">
      <w:pPr>
        <w:snapToGrid w:val="0"/>
        <w:spacing w:line="560" w:lineRule="exact"/>
        <w:rPr>
          <w:rFonts w:ascii="仿宋_GB2312" w:eastAsia="仿宋_GB2312"/>
          <w:kern w:val="0"/>
          <w:sz w:val="32"/>
          <w:szCs w:val="32"/>
        </w:rPr>
      </w:pPr>
      <w:r w:rsidRPr="0050483F">
        <w:rPr>
          <w:rFonts w:ascii="仿宋_GB2312" w:eastAsia="仿宋_GB2312" w:hint="eastAsia"/>
          <w:kern w:val="0"/>
          <w:sz w:val="32"/>
          <w:szCs w:val="32"/>
        </w:rPr>
        <w:t xml:space="preserve">    </w:t>
      </w:r>
    </w:p>
    <w:p w:rsidR="00EF11E4" w:rsidRPr="0050483F" w:rsidRDefault="00EF11E4" w:rsidP="00EF11E4">
      <w:pPr>
        <w:snapToGrid w:val="0"/>
        <w:spacing w:line="560" w:lineRule="exact"/>
        <w:ind w:firstLineChars="200" w:firstLine="640"/>
        <w:rPr>
          <w:rFonts w:ascii="仿宋_GB2312" w:eastAsia="仿宋_GB2312"/>
          <w:kern w:val="0"/>
          <w:sz w:val="32"/>
          <w:szCs w:val="32"/>
        </w:rPr>
      </w:pPr>
      <w:r w:rsidRPr="0050483F">
        <w:rPr>
          <w:rFonts w:ascii="仿宋_GB2312" w:eastAsia="仿宋_GB2312" w:hint="eastAsia"/>
          <w:kern w:val="0"/>
          <w:sz w:val="32"/>
          <w:szCs w:val="32"/>
        </w:rPr>
        <w:t>附表：1.温岭市招标代理机构资料汇总表</w:t>
      </w:r>
    </w:p>
    <w:p w:rsidR="00EF11E4" w:rsidRPr="0050483F" w:rsidRDefault="00EF11E4" w:rsidP="00EF11E4">
      <w:pPr>
        <w:snapToGrid w:val="0"/>
        <w:spacing w:line="560" w:lineRule="exact"/>
        <w:ind w:firstLineChars="500" w:firstLine="1600"/>
        <w:rPr>
          <w:rFonts w:ascii="仿宋_GB2312" w:eastAsia="仿宋_GB2312"/>
          <w:kern w:val="0"/>
          <w:sz w:val="32"/>
          <w:szCs w:val="32"/>
        </w:rPr>
      </w:pPr>
      <w:r w:rsidRPr="0050483F">
        <w:rPr>
          <w:rFonts w:ascii="仿宋_GB2312" w:eastAsia="仿宋_GB2312" w:hint="eastAsia"/>
          <w:kern w:val="0"/>
          <w:sz w:val="32"/>
          <w:szCs w:val="32"/>
        </w:rPr>
        <w:t>2.温岭市招标代理人员资料汇总表</w:t>
      </w:r>
    </w:p>
    <w:p w:rsidR="00EF11E4" w:rsidRPr="0050483F" w:rsidRDefault="00EF11E4" w:rsidP="00EF11E4">
      <w:pPr>
        <w:snapToGrid w:val="0"/>
        <w:spacing w:line="560" w:lineRule="exact"/>
        <w:ind w:firstLineChars="500" w:firstLine="1600"/>
        <w:rPr>
          <w:rFonts w:ascii="仿宋_GB2312" w:eastAsia="仿宋_GB2312"/>
          <w:kern w:val="0"/>
          <w:sz w:val="32"/>
          <w:szCs w:val="32"/>
        </w:rPr>
      </w:pPr>
      <w:r w:rsidRPr="0050483F">
        <w:rPr>
          <w:rFonts w:ascii="仿宋_GB2312" w:eastAsia="仿宋_GB2312" w:hint="eastAsia"/>
          <w:kern w:val="0"/>
          <w:sz w:val="32"/>
          <w:szCs w:val="32"/>
        </w:rPr>
        <w:t>3.温岭市招标代理人员扣分对照表</w:t>
      </w:r>
    </w:p>
    <w:p w:rsidR="00EF11E4" w:rsidRDefault="00EF11E4" w:rsidP="00EF11E4">
      <w:pPr>
        <w:snapToGrid w:val="0"/>
        <w:spacing w:line="600" w:lineRule="exact"/>
        <w:rPr>
          <w:rFonts w:ascii="仿宋_GB2312" w:eastAsia="仿宋_GB2312" w:hint="eastAsia"/>
          <w:kern w:val="0"/>
          <w:sz w:val="32"/>
          <w:szCs w:val="32"/>
        </w:rPr>
      </w:pPr>
    </w:p>
    <w:p w:rsidR="00EF11E4" w:rsidRDefault="00EF11E4" w:rsidP="00EF11E4">
      <w:pPr>
        <w:snapToGrid w:val="0"/>
        <w:spacing w:line="600" w:lineRule="exact"/>
        <w:rPr>
          <w:rFonts w:ascii="仿宋_GB2312" w:eastAsia="仿宋_GB2312"/>
          <w:kern w:val="0"/>
          <w:sz w:val="32"/>
          <w:szCs w:val="32"/>
        </w:rPr>
      </w:pPr>
      <w:r>
        <w:rPr>
          <w:rFonts w:ascii="仿宋_GB2312" w:eastAsia="仿宋_GB2312" w:hint="eastAsia"/>
          <w:kern w:val="0"/>
          <w:sz w:val="32"/>
          <w:szCs w:val="32"/>
        </w:rPr>
        <w:lastRenderedPageBreak/>
        <w:t>附表</w:t>
      </w:r>
      <w:r>
        <w:rPr>
          <w:rFonts w:ascii="仿宋_GB2312" w:eastAsia="仿宋_GB2312"/>
          <w:kern w:val="0"/>
          <w:sz w:val="32"/>
          <w:szCs w:val="32"/>
        </w:rPr>
        <w:t>1</w:t>
      </w:r>
      <w:r>
        <w:rPr>
          <w:rFonts w:ascii="仿宋_GB2312" w:eastAsia="仿宋_GB2312" w:hint="eastAsia"/>
          <w:kern w:val="0"/>
          <w:sz w:val="32"/>
          <w:szCs w:val="32"/>
        </w:rPr>
        <w:t>：</w:t>
      </w:r>
    </w:p>
    <w:p w:rsidR="00EF11E4" w:rsidRDefault="00EF11E4" w:rsidP="00EF11E4">
      <w:pPr>
        <w:snapToGrid w:val="0"/>
        <w:spacing w:line="600" w:lineRule="exact"/>
        <w:jc w:val="center"/>
        <w:rPr>
          <w:rFonts w:ascii="华文中宋" w:eastAsia="华文中宋" w:hAnsi="华文中宋" w:cs="华文中宋"/>
          <w:bCs/>
          <w:kern w:val="0"/>
          <w:sz w:val="40"/>
          <w:szCs w:val="40"/>
        </w:rPr>
      </w:pPr>
      <w:r>
        <w:rPr>
          <w:rFonts w:ascii="华文中宋" w:eastAsia="华文中宋" w:hAnsi="华文中宋" w:cs="华文中宋" w:hint="eastAsia"/>
          <w:bCs/>
          <w:kern w:val="0"/>
          <w:sz w:val="40"/>
          <w:szCs w:val="40"/>
        </w:rPr>
        <w:t>温岭市招标代理机构资料汇总表</w:t>
      </w:r>
    </w:p>
    <w:p w:rsidR="00EF11E4" w:rsidRDefault="00EF11E4" w:rsidP="00EF11E4">
      <w:pPr>
        <w:snapToGrid w:val="0"/>
        <w:spacing w:line="600" w:lineRule="exact"/>
        <w:jc w:val="center"/>
        <w:rPr>
          <w:rFonts w:ascii="仿宋_GB2312" w:eastAsia="仿宋_GB2312"/>
          <w:kern w:val="0"/>
          <w:sz w:val="10"/>
          <w:szCs w:val="10"/>
        </w:rPr>
      </w:pPr>
    </w:p>
    <w:tbl>
      <w:tblPr>
        <w:tblW w:w="8944" w:type="dxa"/>
        <w:jc w:val="center"/>
        <w:tblLayout w:type="fixed"/>
        <w:tblLook w:val="0000"/>
      </w:tblPr>
      <w:tblGrid>
        <w:gridCol w:w="679"/>
        <w:gridCol w:w="1894"/>
        <w:gridCol w:w="1559"/>
        <w:gridCol w:w="993"/>
        <w:gridCol w:w="1618"/>
        <w:gridCol w:w="987"/>
        <w:gridCol w:w="1214"/>
      </w:tblGrid>
      <w:tr w:rsidR="00EF11E4" w:rsidTr="00456233">
        <w:trPr>
          <w:trHeight w:val="736"/>
          <w:jc w:val="center"/>
        </w:trPr>
        <w:tc>
          <w:tcPr>
            <w:tcW w:w="2573"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代理机构名称</w:t>
            </w:r>
          </w:p>
        </w:tc>
        <w:tc>
          <w:tcPr>
            <w:tcW w:w="6371" w:type="dxa"/>
            <w:gridSpan w:val="5"/>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691"/>
          <w:jc w:val="center"/>
        </w:trPr>
        <w:tc>
          <w:tcPr>
            <w:tcW w:w="2573"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注册地址</w:t>
            </w:r>
          </w:p>
        </w:tc>
        <w:tc>
          <w:tcPr>
            <w:tcW w:w="6371" w:type="dxa"/>
            <w:gridSpan w:val="5"/>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768"/>
          <w:jc w:val="center"/>
        </w:trPr>
        <w:tc>
          <w:tcPr>
            <w:tcW w:w="2573"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建立时间</w:t>
            </w:r>
          </w:p>
        </w:tc>
        <w:tc>
          <w:tcPr>
            <w:tcW w:w="1559"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注册资本金</w:t>
            </w: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836"/>
          <w:jc w:val="center"/>
        </w:trPr>
        <w:tc>
          <w:tcPr>
            <w:tcW w:w="2573"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营业执照注册号</w:t>
            </w:r>
          </w:p>
        </w:tc>
        <w:tc>
          <w:tcPr>
            <w:tcW w:w="1559"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注册经济类型</w:t>
            </w: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834"/>
          <w:jc w:val="center"/>
        </w:trPr>
        <w:tc>
          <w:tcPr>
            <w:tcW w:w="2573"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法定代表人</w:t>
            </w:r>
          </w:p>
        </w:tc>
        <w:tc>
          <w:tcPr>
            <w:tcW w:w="1559"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993"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职务</w:t>
            </w:r>
          </w:p>
        </w:tc>
        <w:tc>
          <w:tcPr>
            <w:tcW w:w="1618"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987"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职称</w:t>
            </w:r>
          </w:p>
        </w:tc>
        <w:tc>
          <w:tcPr>
            <w:tcW w:w="1214"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676"/>
          <w:jc w:val="center"/>
        </w:trPr>
        <w:tc>
          <w:tcPr>
            <w:tcW w:w="2573"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驻温地址</w:t>
            </w:r>
          </w:p>
        </w:tc>
        <w:tc>
          <w:tcPr>
            <w:tcW w:w="6371" w:type="dxa"/>
            <w:gridSpan w:val="5"/>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686"/>
          <w:jc w:val="center"/>
        </w:trPr>
        <w:tc>
          <w:tcPr>
            <w:tcW w:w="2573"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驻温负责人</w:t>
            </w:r>
          </w:p>
        </w:tc>
        <w:tc>
          <w:tcPr>
            <w:tcW w:w="1559" w:type="dxa"/>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联系电话</w:t>
            </w: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477"/>
          <w:jc w:val="center"/>
        </w:trPr>
        <w:tc>
          <w:tcPr>
            <w:tcW w:w="679" w:type="dxa"/>
            <w:vMerge w:val="restart"/>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主</w:t>
            </w:r>
          </w:p>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要</w:t>
            </w:r>
          </w:p>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业</w:t>
            </w:r>
          </w:p>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绩</w:t>
            </w:r>
          </w:p>
        </w:tc>
        <w:tc>
          <w:tcPr>
            <w:tcW w:w="3453"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项目名称</w:t>
            </w: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建设单位</w:t>
            </w: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合同价</w:t>
            </w:r>
          </w:p>
        </w:tc>
      </w:tr>
      <w:tr w:rsidR="00EF11E4" w:rsidTr="00456233">
        <w:trPr>
          <w:trHeight w:val="477"/>
          <w:jc w:val="center"/>
        </w:trPr>
        <w:tc>
          <w:tcPr>
            <w:tcW w:w="679"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3453"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477"/>
          <w:jc w:val="center"/>
        </w:trPr>
        <w:tc>
          <w:tcPr>
            <w:tcW w:w="679"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3453"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477"/>
          <w:jc w:val="center"/>
        </w:trPr>
        <w:tc>
          <w:tcPr>
            <w:tcW w:w="679"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3453"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477"/>
          <w:jc w:val="center"/>
        </w:trPr>
        <w:tc>
          <w:tcPr>
            <w:tcW w:w="679"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3453"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67"/>
          <w:jc w:val="center"/>
        </w:trPr>
        <w:tc>
          <w:tcPr>
            <w:tcW w:w="679"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3453"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61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201"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48"/>
          <w:jc w:val="center"/>
        </w:trPr>
        <w:tc>
          <w:tcPr>
            <w:tcW w:w="8944" w:type="dxa"/>
            <w:gridSpan w:val="7"/>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left"/>
              <w:rPr>
                <w:rFonts w:ascii="仿宋_GB2312" w:eastAsia="仿宋_GB2312"/>
                <w:kern w:val="0"/>
                <w:sz w:val="28"/>
                <w:szCs w:val="28"/>
              </w:rPr>
            </w:pPr>
            <w:r>
              <w:rPr>
                <w:rFonts w:ascii="仿宋_GB2312" w:eastAsia="仿宋_GB2312" w:hint="eastAsia"/>
                <w:kern w:val="0"/>
                <w:sz w:val="28"/>
                <w:szCs w:val="28"/>
              </w:rPr>
              <w:t>备注：最多填写温岭市内</w:t>
            </w:r>
            <w:r>
              <w:rPr>
                <w:rFonts w:ascii="仿宋_GB2312" w:eastAsia="仿宋_GB2312"/>
                <w:kern w:val="0"/>
                <w:sz w:val="28"/>
                <w:szCs w:val="28"/>
              </w:rPr>
              <w:t>5</w:t>
            </w:r>
            <w:r>
              <w:rPr>
                <w:rFonts w:ascii="仿宋_GB2312" w:eastAsia="仿宋_GB2312" w:hint="eastAsia"/>
                <w:kern w:val="0"/>
                <w:sz w:val="28"/>
                <w:szCs w:val="28"/>
              </w:rPr>
              <w:t>个项目</w:t>
            </w:r>
          </w:p>
        </w:tc>
      </w:tr>
    </w:tbl>
    <w:p w:rsidR="00EF11E4" w:rsidRPr="00D77E17" w:rsidRDefault="00EF11E4" w:rsidP="00EF11E4">
      <w:pPr>
        <w:snapToGrid w:val="0"/>
        <w:spacing w:line="400" w:lineRule="exact"/>
        <w:rPr>
          <w:rFonts w:ascii="仿宋_GB2312" w:eastAsia="仿宋_GB2312"/>
          <w:kern w:val="0"/>
          <w:sz w:val="24"/>
        </w:rPr>
      </w:pPr>
      <w:r>
        <w:rPr>
          <w:rFonts w:ascii="仿宋_GB2312" w:eastAsia="仿宋_GB2312" w:hint="eastAsia"/>
          <w:kern w:val="0"/>
          <w:sz w:val="24"/>
        </w:rPr>
        <w:t>须附营业执照副本、法人委托书；代理业务专用章印模；办公场所的房屋租赁合同或房屋产权证明。</w:t>
      </w:r>
    </w:p>
    <w:p w:rsidR="00EF11E4" w:rsidRDefault="00EF11E4" w:rsidP="00EF11E4">
      <w:pPr>
        <w:snapToGrid w:val="0"/>
        <w:spacing w:line="600" w:lineRule="exact"/>
        <w:rPr>
          <w:rFonts w:ascii="仿宋_GB2312" w:eastAsia="仿宋_GB2312"/>
          <w:kern w:val="0"/>
          <w:sz w:val="32"/>
          <w:szCs w:val="32"/>
        </w:rPr>
      </w:pPr>
      <w:r>
        <w:rPr>
          <w:rFonts w:ascii="仿宋_GB2312" w:eastAsia="仿宋_GB2312" w:hint="eastAsia"/>
          <w:kern w:val="0"/>
          <w:sz w:val="32"/>
          <w:szCs w:val="32"/>
        </w:rPr>
        <w:lastRenderedPageBreak/>
        <w:t>附表</w:t>
      </w:r>
      <w:r>
        <w:rPr>
          <w:rFonts w:ascii="仿宋_GB2312" w:eastAsia="仿宋_GB2312"/>
          <w:kern w:val="0"/>
          <w:sz w:val="32"/>
          <w:szCs w:val="32"/>
        </w:rPr>
        <w:t>2</w:t>
      </w:r>
      <w:r>
        <w:rPr>
          <w:rFonts w:ascii="仿宋_GB2312" w:eastAsia="仿宋_GB2312" w:hint="eastAsia"/>
          <w:kern w:val="0"/>
          <w:sz w:val="32"/>
          <w:szCs w:val="32"/>
        </w:rPr>
        <w:t>：</w:t>
      </w:r>
    </w:p>
    <w:p w:rsidR="00EF11E4" w:rsidRDefault="00EF11E4" w:rsidP="00EF11E4">
      <w:pPr>
        <w:snapToGrid w:val="0"/>
        <w:spacing w:line="600" w:lineRule="exact"/>
        <w:jc w:val="center"/>
        <w:rPr>
          <w:rFonts w:ascii="华文中宋" w:eastAsia="华文中宋" w:hAnsi="华文中宋" w:cs="华文中宋"/>
          <w:bCs/>
          <w:kern w:val="0"/>
          <w:sz w:val="40"/>
          <w:szCs w:val="40"/>
        </w:rPr>
      </w:pPr>
      <w:r>
        <w:rPr>
          <w:rFonts w:ascii="华文中宋" w:eastAsia="华文中宋" w:hAnsi="华文中宋" w:cs="华文中宋" w:hint="eastAsia"/>
          <w:bCs/>
          <w:kern w:val="0"/>
          <w:sz w:val="40"/>
          <w:szCs w:val="40"/>
        </w:rPr>
        <w:t>温岭市招标代理人员资料汇总表</w:t>
      </w:r>
    </w:p>
    <w:p w:rsidR="00EF11E4" w:rsidRDefault="00EF11E4" w:rsidP="00EF11E4">
      <w:pPr>
        <w:snapToGrid w:val="0"/>
        <w:spacing w:line="600" w:lineRule="exact"/>
        <w:rPr>
          <w:rFonts w:ascii="仿宋_GB2312" w:eastAsia="仿宋_GB2312"/>
          <w:kern w:val="0"/>
          <w:sz w:val="28"/>
          <w:szCs w:val="28"/>
        </w:rPr>
      </w:pPr>
      <w:r>
        <w:rPr>
          <w:rFonts w:ascii="仿宋_GB2312" w:eastAsia="仿宋_GB2312"/>
          <w:kern w:val="0"/>
          <w:sz w:val="28"/>
          <w:szCs w:val="28"/>
          <w:u w:val="single"/>
        </w:rPr>
        <w:t xml:space="preserve">                  </w:t>
      </w:r>
      <w:r>
        <w:rPr>
          <w:rFonts w:ascii="仿宋_GB2312" w:eastAsia="仿宋_GB2312" w:hint="eastAsia"/>
          <w:kern w:val="0"/>
          <w:sz w:val="28"/>
          <w:szCs w:val="28"/>
        </w:rPr>
        <w:t>代理单位（盖章）</w:t>
      </w:r>
    </w:p>
    <w:tbl>
      <w:tblPr>
        <w:tblW w:w="0" w:type="auto"/>
        <w:jc w:val="center"/>
        <w:tblLayout w:type="fixed"/>
        <w:tblLook w:val="0000"/>
      </w:tblPr>
      <w:tblGrid>
        <w:gridCol w:w="647"/>
        <w:gridCol w:w="825"/>
        <w:gridCol w:w="216"/>
        <w:gridCol w:w="1376"/>
        <w:gridCol w:w="596"/>
        <w:gridCol w:w="1270"/>
        <w:gridCol w:w="115"/>
        <w:gridCol w:w="1142"/>
        <w:gridCol w:w="144"/>
        <w:gridCol w:w="969"/>
        <w:gridCol w:w="1746"/>
      </w:tblGrid>
      <w:tr w:rsidR="00EF11E4" w:rsidTr="00456233">
        <w:trPr>
          <w:trHeight w:val="587"/>
          <w:jc w:val="center"/>
        </w:trPr>
        <w:tc>
          <w:tcPr>
            <w:tcW w:w="1472"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姓名</w:t>
            </w:r>
          </w:p>
        </w:tc>
        <w:tc>
          <w:tcPr>
            <w:tcW w:w="2188"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38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性别</w:t>
            </w:r>
          </w:p>
        </w:tc>
        <w:tc>
          <w:tcPr>
            <w:tcW w:w="2255"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746" w:type="dxa"/>
            <w:vMerge w:val="restart"/>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近期免冠</w:t>
            </w:r>
          </w:p>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kern w:val="0"/>
                <w:sz w:val="28"/>
                <w:szCs w:val="28"/>
              </w:rPr>
              <w:t>2</w:t>
            </w:r>
            <w:r>
              <w:rPr>
                <w:rFonts w:ascii="仿宋_GB2312" w:eastAsia="仿宋_GB2312" w:hint="eastAsia"/>
                <w:kern w:val="0"/>
                <w:sz w:val="28"/>
                <w:szCs w:val="28"/>
              </w:rPr>
              <w:t>寸彩照</w:t>
            </w:r>
          </w:p>
        </w:tc>
      </w:tr>
      <w:tr w:rsidR="00EF11E4" w:rsidTr="00456233">
        <w:trPr>
          <w:trHeight w:val="587"/>
          <w:jc w:val="center"/>
        </w:trPr>
        <w:tc>
          <w:tcPr>
            <w:tcW w:w="1472"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民族</w:t>
            </w:r>
          </w:p>
        </w:tc>
        <w:tc>
          <w:tcPr>
            <w:tcW w:w="2188"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38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政治面貌</w:t>
            </w:r>
          </w:p>
        </w:tc>
        <w:tc>
          <w:tcPr>
            <w:tcW w:w="2255"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746" w:type="dxa"/>
            <w:vMerge/>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1472"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从事年限</w:t>
            </w:r>
          </w:p>
        </w:tc>
        <w:tc>
          <w:tcPr>
            <w:tcW w:w="2188"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38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专业</w:t>
            </w:r>
          </w:p>
        </w:tc>
        <w:tc>
          <w:tcPr>
            <w:tcW w:w="2255"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746" w:type="dxa"/>
            <w:vMerge/>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1472"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职称</w:t>
            </w:r>
          </w:p>
        </w:tc>
        <w:tc>
          <w:tcPr>
            <w:tcW w:w="2188"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527"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注册（执业）资格</w:t>
            </w:r>
          </w:p>
        </w:tc>
        <w:tc>
          <w:tcPr>
            <w:tcW w:w="2859"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2308"/>
          <w:jc w:val="center"/>
        </w:trPr>
        <w:tc>
          <w:tcPr>
            <w:tcW w:w="1472" w:type="dxa"/>
            <w:gridSpan w:val="2"/>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上年度学习培训情况</w:t>
            </w:r>
          </w:p>
        </w:tc>
        <w:tc>
          <w:tcPr>
            <w:tcW w:w="7574" w:type="dxa"/>
            <w:gridSpan w:val="9"/>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647" w:type="dxa"/>
            <w:vMerge w:val="restart"/>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主</w:t>
            </w:r>
          </w:p>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要</w:t>
            </w:r>
          </w:p>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业</w:t>
            </w:r>
          </w:p>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绩</w:t>
            </w:r>
          </w:p>
        </w:tc>
        <w:tc>
          <w:tcPr>
            <w:tcW w:w="2417"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项目名称</w:t>
            </w:r>
          </w:p>
        </w:tc>
        <w:tc>
          <w:tcPr>
            <w:tcW w:w="1866"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项目单位</w:t>
            </w:r>
          </w:p>
        </w:tc>
        <w:tc>
          <w:tcPr>
            <w:tcW w:w="1401"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时间</w:t>
            </w:r>
          </w:p>
        </w:tc>
        <w:tc>
          <w:tcPr>
            <w:tcW w:w="271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规模</w:t>
            </w:r>
          </w:p>
        </w:tc>
      </w:tr>
      <w:tr w:rsidR="00EF11E4" w:rsidTr="00456233">
        <w:trPr>
          <w:trHeight w:val="587"/>
          <w:jc w:val="center"/>
        </w:trPr>
        <w:tc>
          <w:tcPr>
            <w:tcW w:w="647"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417"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866"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401"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71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647"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417"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866"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401"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71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647"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417"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866"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401"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71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647"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417"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866"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401"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71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647" w:type="dxa"/>
            <w:vMerge/>
            <w:tcBorders>
              <w:top w:val="nil"/>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417"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866"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401"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271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1688" w:type="dxa"/>
            <w:gridSpan w:val="3"/>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办公电话</w:t>
            </w:r>
          </w:p>
        </w:tc>
        <w:tc>
          <w:tcPr>
            <w:tcW w:w="3242"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c>
          <w:tcPr>
            <w:tcW w:w="1401" w:type="dxa"/>
            <w:gridSpan w:val="3"/>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r>
              <w:rPr>
                <w:rFonts w:ascii="仿宋_GB2312" w:eastAsia="仿宋_GB2312" w:hint="eastAsia"/>
                <w:kern w:val="0"/>
                <w:sz w:val="28"/>
                <w:szCs w:val="28"/>
              </w:rPr>
              <w:t>手机</w:t>
            </w:r>
          </w:p>
        </w:tc>
        <w:tc>
          <w:tcPr>
            <w:tcW w:w="2715" w:type="dxa"/>
            <w:gridSpan w:val="2"/>
            <w:tcBorders>
              <w:top w:val="single" w:sz="8" w:space="0" w:color="000000"/>
              <w:left w:val="nil"/>
              <w:bottom w:val="single" w:sz="8" w:space="0" w:color="000000"/>
              <w:right w:val="single" w:sz="8" w:space="0" w:color="000000"/>
            </w:tcBorders>
            <w:vAlign w:val="center"/>
          </w:tcPr>
          <w:p w:rsidR="00EF11E4" w:rsidRDefault="00EF11E4" w:rsidP="00456233">
            <w:pPr>
              <w:snapToGrid w:val="0"/>
              <w:spacing w:line="600" w:lineRule="exact"/>
              <w:jc w:val="center"/>
              <w:rPr>
                <w:rFonts w:ascii="仿宋_GB2312" w:eastAsia="仿宋_GB2312"/>
                <w:kern w:val="0"/>
                <w:sz w:val="28"/>
                <w:szCs w:val="28"/>
              </w:rPr>
            </w:pPr>
          </w:p>
        </w:tc>
      </w:tr>
      <w:tr w:rsidR="00EF11E4" w:rsidTr="00456233">
        <w:trPr>
          <w:trHeight w:val="587"/>
          <w:jc w:val="center"/>
        </w:trPr>
        <w:tc>
          <w:tcPr>
            <w:tcW w:w="9046" w:type="dxa"/>
            <w:gridSpan w:val="11"/>
            <w:tcBorders>
              <w:top w:val="single" w:sz="8" w:space="0" w:color="000000"/>
              <w:left w:val="single" w:sz="8" w:space="0" w:color="000000"/>
              <w:bottom w:val="single" w:sz="8" w:space="0" w:color="000000"/>
              <w:right w:val="single" w:sz="8" w:space="0" w:color="000000"/>
            </w:tcBorders>
            <w:vAlign w:val="center"/>
          </w:tcPr>
          <w:p w:rsidR="00EF11E4" w:rsidRDefault="00EF11E4" w:rsidP="00456233">
            <w:pPr>
              <w:snapToGrid w:val="0"/>
              <w:spacing w:line="600" w:lineRule="exact"/>
              <w:jc w:val="left"/>
              <w:rPr>
                <w:rFonts w:ascii="仿宋_GB2312" w:eastAsia="仿宋_GB2312"/>
                <w:kern w:val="0"/>
                <w:sz w:val="28"/>
                <w:szCs w:val="28"/>
              </w:rPr>
            </w:pPr>
            <w:r>
              <w:rPr>
                <w:rFonts w:ascii="仿宋_GB2312" w:eastAsia="仿宋_GB2312" w:hint="eastAsia"/>
                <w:kern w:val="0"/>
                <w:sz w:val="28"/>
                <w:szCs w:val="28"/>
              </w:rPr>
              <w:t>备注：</w:t>
            </w:r>
          </w:p>
        </w:tc>
      </w:tr>
    </w:tbl>
    <w:p w:rsidR="00EF11E4" w:rsidRPr="00D77E17" w:rsidRDefault="00EF11E4" w:rsidP="00EF11E4">
      <w:pPr>
        <w:snapToGrid w:val="0"/>
        <w:spacing w:line="400" w:lineRule="exact"/>
        <w:rPr>
          <w:rFonts w:ascii="仿宋_GB2312" w:eastAsia="仿宋_GB2312"/>
          <w:kern w:val="0"/>
          <w:sz w:val="24"/>
        </w:rPr>
      </w:pPr>
      <w:r>
        <w:rPr>
          <w:rFonts w:ascii="仿宋_GB2312" w:eastAsia="仿宋_GB2312" w:hint="eastAsia"/>
          <w:kern w:val="0"/>
          <w:sz w:val="24"/>
        </w:rPr>
        <w:t>须附身份证、职称证书、资格证书、执业注册证书及其他证明材料（包括劳动合同、缴纳社会保险的凭证等）</w:t>
      </w:r>
    </w:p>
    <w:p w:rsidR="00EF11E4" w:rsidRDefault="00EF11E4" w:rsidP="00EF11E4">
      <w:pPr>
        <w:snapToGrid w:val="0"/>
        <w:spacing w:line="600" w:lineRule="exact"/>
        <w:rPr>
          <w:rFonts w:ascii="仿宋_GB2312" w:eastAsia="仿宋_GB2312"/>
          <w:kern w:val="0"/>
          <w:sz w:val="32"/>
          <w:szCs w:val="32"/>
        </w:rPr>
      </w:pPr>
      <w:r>
        <w:rPr>
          <w:rFonts w:ascii="仿宋_GB2312" w:eastAsia="仿宋_GB2312" w:hint="eastAsia"/>
          <w:kern w:val="0"/>
          <w:sz w:val="32"/>
          <w:szCs w:val="32"/>
        </w:rPr>
        <w:lastRenderedPageBreak/>
        <w:t>附表</w:t>
      </w:r>
      <w:r>
        <w:rPr>
          <w:rFonts w:ascii="仿宋_GB2312" w:eastAsia="仿宋_GB2312"/>
          <w:kern w:val="0"/>
          <w:sz w:val="32"/>
          <w:szCs w:val="32"/>
        </w:rPr>
        <w:t>3</w:t>
      </w:r>
      <w:r>
        <w:rPr>
          <w:rFonts w:ascii="仿宋_GB2312" w:eastAsia="仿宋_GB2312" w:hint="eastAsia"/>
          <w:kern w:val="0"/>
          <w:sz w:val="32"/>
          <w:szCs w:val="32"/>
        </w:rPr>
        <w:t>：</w:t>
      </w:r>
      <w:r>
        <w:rPr>
          <w:rFonts w:ascii="仿宋_GB2312" w:eastAsia="仿宋_GB2312"/>
          <w:kern w:val="0"/>
          <w:sz w:val="32"/>
          <w:szCs w:val="32"/>
        </w:rPr>
        <w:t xml:space="preserve"> </w:t>
      </w:r>
    </w:p>
    <w:p w:rsidR="00EF11E4" w:rsidRDefault="00EF11E4" w:rsidP="00EF11E4">
      <w:pPr>
        <w:snapToGrid w:val="0"/>
        <w:spacing w:line="600" w:lineRule="exact"/>
        <w:jc w:val="center"/>
        <w:rPr>
          <w:rFonts w:ascii="华文中宋" w:eastAsia="华文中宋" w:hAnsi="华文中宋" w:cs="华文中宋"/>
          <w:bCs/>
          <w:kern w:val="0"/>
          <w:sz w:val="40"/>
          <w:szCs w:val="40"/>
        </w:rPr>
      </w:pPr>
      <w:r>
        <w:rPr>
          <w:rFonts w:ascii="华文中宋" w:eastAsia="华文中宋" w:hAnsi="华文中宋" w:cs="华文中宋" w:hint="eastAsia"/>
          <w:bCs/>
          <w:kern w:val="0"/>
          <w:sz w:val="40"/>
          <w:szCs w:val="40"/>
        </w:rPr>
        <w:t>温岭市招标代理人员扣分对照表</w:t>
      </w:r>
    </w:p>
    <w:tbl>
      <w:tblPr>
        <w:tblpPr w:leftFromText="180" w:rightFromText="180" w:vertAnchor="text" w:horzAnchor="page" w:tblpX="1841"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6641"/>
        <w:gridCol w:w="1151"/>
      </w:tblGrid>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hint="eastAsia"/>
                <w:kern w:val="0"/>
                <w:sz w:val="24"/>
              </w:rPr>
              <w:t>序号</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hint="eastAsia"/>
                <w:kern w:val="0"/>
                <w:sz w:val="24"/>
              </w:rPr>
              <w:t>经</w:t>
            </w:r>
            <w:r>
              <w:rPr>
                <w:rFonts w:ascii="仿宋_GB2312" w:eastAsia="仿宋_GB2312"/>
                <w:kern w:val="0"/>
                <w:sz w:val="24"/>
              </w:rPr>
              <w:t xml:space="preserve"> </w:t>
            </w:r>
            <w:r>
              <w:rPr>
                <w:rFonts w:ascii="仿宋_GB2312" w:eastAsia="仿宋_GB2312" w:hint="eastAsia"/>
                <w:kern w:val="0"/>
                <w:sz w:val="24"/>
              </w:rPr>
              <w:t>核</w:t>
            </w:r>
            <w:r>
              <w:rPr>
                <w:rFonts w:ascii="仿宋_GB2312" w:eastAsia="仿宋_GB2312"/>
                <w:kern w:val="0"/>
                <w:sz w:val="24"/>
              </w:rPr>
              <w:t xml:space="preserve"> </w:t>
            </w:r>
            <w:r>
              <w:rPr>
                <w:rFonts w:ascii="仿宋_GB2312" w:eastAsia="仿宋_GB2312" w:hint="eastAsia"/>
                <w:kern w:val="0"/>
                <w:sz w:val="24"/>
              </w:rPr>
              <w:t>实</w:t>
            </w:r>
            <w:r>
              <w:rPr>
                <w:rFonts w:ascii="仿宋_GB2312" w:eastAsia="仿宋_GB2312"/>
                <w:kern w:val="0"/>
                <w:sz w:val="24"/>
              </w:rPr>
              <w:t xml:space="preserve"> </w:t>
            </w:r>
            <w:r>
              <w:rPr>
                <w:rFonts w:ascii="仿宋_GB2312" w:eastAsia="仿宋_GB2312" w:hint="eastAsia"/>
                <w:kern w:val="0"/>
                <w:sz w:val="24"/>
              </w:rPr>
              <w:t>的</w:t>
            </w:r>
            <w:r>
              <w:rPr>
                <w:rFonts w:ascii="仿宋_GB2312" w:eastAsia="仿宋_GB2312"/>
                <w:kern w:val="0"/>
                <w:sz w:val="24"/>
              </w:rPr>
              <w:t xml:space="preserve"> </w:t>
            </w:r>
            <w:r>
              <w:rPr>
                <w:rFonts w:ascii="仿宋_GB2312" w:eastAsia="仿宋_GB2312" w:hint="eastAsia"/>
                <w:kern w:val="0"/>
                <w:sz w:val="24"/>
              </w:rPr>
              <w:t>情</w:t>
            </w:r>
            <w:r>
              <w:rPr>
                <w:rFonts w:ascii="仿宋_GB2312" w:eastAsia="仿宋_GB2312"/>
                <w:kern w:val="0"/>
                <w:sz w:val="24"/>
              </w:rPr>
              <w:t xml:space="preserve"> </w:t>
            </w:r>
            <w:r>
              <w:rPr>
                <w:rFonts w:ascii="仿宋_GB2312" w:eastAsia="仿宋_GB2312" w:hint="eastAsia"/>
                <w:kern w:val="0"/>
                <w:sz w:val="24"/>
              </w:rPr>
              <w:t>形</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hint="eastAsia"/>
                <w:kern w:val="0"/>
                <w:sz w:val="24"/>
              </w:rPr>
              <w:t>扣分值</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未在指定的媒介发布招标公告的；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2-5</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2</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编制、上传招标公告、资格预审文件、招标文件、补充通知、中标通知书、合同文稿、招投标情况书面报告时出现差错的；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1-4</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3</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招标项目进入程序或公告后，因代理机构原因出现变更条件或取消公告的；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4</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在提交投标文件（资格预审申请文件）截止时间后接收投标文件（资格预审申请文件）或擅自拒绝接收投标文件（资格预审申请文件）的；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2-5</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5</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因开标准备不充分、业务不熟悉，不遵守场内交易操作要求或未认真履行代理工作职责等，造成招投标工作失误的；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6</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开标、评标时更换项目组人员或人员不到岗的；（每人次）</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7</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开标、评标时未按规定程序进行，出现明显差错的；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8</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未按规定处理投标人在开标现场提出的异议或无故拒绝投标人异议的；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2-4</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9</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未经许可进入评标室或进入评标室不遵守规定或影响评标委员会独立评审的；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2-5</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10</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未核对评标报告或评标结果而出现差错的；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11</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未按规定格式及要求进行中标候选人公示的</w:t>
            </w:r>
            <w:r>
              <w:rPr>
                <w:rFonts w:ascii="仿宋_GB2312" w:eastAsia="仿宋_GB2312"/>
                <w:kern w:val="0"/>
                <w:sz w:val="24"/>
              </w:rPr>
              <w:t xml:space="preserve"> </w:t>
            </w:r>
            <w:r>
              <w:rPr>
                <w:rFonts w:ascii="仿宋_GB2312" w:eastAsia="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12</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签订的合同条款与招标文件条款内容不一致的</w:t>
            </w:r>
            <w:r>
              <w:rPr>
                <w:rFonts w:ascii="仿宋_GB2312" w:eastAsia="仿宋_GB2312"/>
                <w:kern w:val="0"/>
                <w:sz w:val="24"/>
              </w:rPr>
              <w:t xml:space="preserve"> </w:t>
            </w:r>
            <w:r>
              <w:rPr>
                <w:rFonts w:ascii="仿宋_GB2312" w:eastAsia="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2-5</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与招标人、投标人串通损害国家利益、社会公共利益或他人合法权益的；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4-10</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14</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泄露应当保密的与招标投标活动有关情况或资料的</w:t>
            </w:r>
            <w:r>
              <w:rPr>
                <w:rFonts w:ascii="仿宋_GB2312" w:eastAsia="仿宋_GB2312"/>
                <w:kern w:val="0"/>
                <w:sz w:val="24"/>
              </w:rPr>
              <w:t xml:space="preserve"> </w:t>
            </w:r>
            <w:r>
              <w:rPr>
                <w:rFonts w:ascii="仿宋_GB2312" w:eastAsia="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2-5</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15</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在代理过程中对招标人、评标委员会、投标人的违法违规行为，不及时阻止或不主动报告的；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16</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从事代理业务时，受到招投标相关当事人投诉举报，经核实确属代理人员工作不当引起的</w:t>
            </w:r>
            <w:r>
              <w:rPr>
                <w:rFonts w:ascii="仿宋_GB2312" w:eastAsia="仿宋_GB2312"/>
                <w:kern w:val="0"/>
                <w:sz w:val="24"/>
              </w:rPr>
              <w:t xml:space="preserve"> </w:t>
            </w:r>
            <w:r>
              <w:rPr>
                <w:rFonts w:ascii="仿宋_GB2312" w:eastAsia="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17</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pPr>
            <w:r>
              <w:rPr>
                <w:rFonts w:ascii="仿宋_GB2312" w:eastAsia="仿宋_GB2312" w:hint="eastAsia"/>
                <w:kern w:val="0"/>
                <w:sz w:val="24"/>
              </w:rPr>
              <w:t>服务态度差，与服务对象发生争吵的；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Default="00EF11E4" w:rsidP="00456233">
            <w:pPr>
              <w:snapToGrid w:val="0"/>
              <w:spacing w:line="300" w:lineRule="exact"/>
              <w:jc w:val="center"/>
            </w:pPr>
            <w:r>
              <w:rPr>
                <w:rFonts w:ascii="仿宋_GB2312" w:eastAsia="仿宋_GB2312"/>
                <w:kern w:val="0"/>
                <w:sz w:val="24"/>
              </w:rPr>
              <w:t>1-2</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18</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pPr>
            <w:r w:rsidRPr="00550471">
              <w:rPr>
                <w:rFonts w:ascii="仿宋_GB2312" w:eastAsia="仿宋_GB2312" w:hint="eastAsia"/>
                <w:kern w:val="0"/>
                <w:sz w:val="24"/>
              </w:rPr>
              <w:t>阻碍或不配合有关部门的检查或者</w:t>
            </w:r>
            <w:proofErr w:type="gramStart"/>
            <w:r w:rsidRPr="00550471">
              <w:rPr>
                <w:rFonts w:ascii="仿宋_GB2312" w:eastAsia="仿宋_GB2312" w:hint="eastAsia"/>
                <w:kern w:val="0"/>
                <w:sz w:val="24"/>
              </w:rPr>
              <w:t>不</w:t>
            </w:r>
            <w:proofErr w:type="gramEnd"/>
            <w:r w:rsidRPr="00550471">
              <w:rPr>
                <w:rFonts w:ascii="仿宋_GB2312" w:eastAsia="仿宋_GB2312" w:hint="eastAsia"/>
                <w:kern w:val="0"/>
                <w:sz w:val="24"/>
              </w:rPr>
              <w:t>如实反映情况、提供材料；不配合有关部门处理招标投诉的；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2-5</w:t>
            </w:r>
          </w:p>
        </w:tc>
      </w:tr>
      <w:tr w:rsidR="00EF11E4" w:rsidTr="00456233">
        <w:trPr>
          <w:trHeight w:val="660"/>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rPr>
                <w:rFonts w:ascii="仿宋_GB2312" w:eastAsia="仿宋_GB2312"/>
                <w:kern w:val="0"/>
                <w:sz w:val="24"/>
              </w:rPr>
            </w:pPr>
            <w:r w:rsidRPr="00550471">
              <w:rPr>
                <w:rFonts w:ascii="仿宋_GB2312" w:eastAsia="仿宋_GB2312"/>
                <w:kern w:val="0"/>
                <w:sz w:val="24"/>
              </w:rPr>
              <w:t>19</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rPr>
                <w:rFonts w:ascii="仿宋_GB2312" w:eastAsia="仿宋_GB2312"/>
                <w:kern w:val="0"/>
                <w:sz w:val="24"/>
              </w:rPr>
            </w:pPr>
            <w:r w:rsidRPr="00550471">
              <w:rPr>
                <w:rFonts w:ascii="仿宋_GB2312" w:eastAsia="仿宋_GB2312" w:hint="eastAsia"/>
                <w:kern w:val="0"/>
                <w:sz w:val="24"/>
              </w:rPr>
              <w:t>代理机构未及时将代理人员离职情况报</w:t>
            </w:r>
            <w:r>
              <w:rPr>
                <w:rFonts w:ascii="仿宋_GB2312" w:eastAsia="仿宋_GB2312" w:hint="eastAsia"/>
                <w:kern w:val="0"/>
                <w:sz w:val="24"/>
              </w:rPr>
              <w:t>市</w:t>
            </w:r>
            <w:r w:rsidRPr="00550471">
              <w:rPr>
                <w:rFonts w:ascii="仿宋_GB2312" w:eastAsia="仿宋_GB2312" w:hint="eastAsia"/>
                <w:kern w:val="0"/>
                <w:sz w:val="24"/>
              </w:rPr>
              <w:t>公管委</w:t>
            </w:r>
            <w:r w:rsidRPr="00550471">
              <w:rPr>
                <w:rFonts w:ascii="仿宋_GB2312" w:eastAsia="仿宋_GB2312"/>
                <w:kern w:val="0"/>
                <w:sz w:val="24"/>
              </w:rPr>
              <w:t>;</w:t>
            </w:r>
            <w:r w:rsidRPr="00550471">
              <w:rPr>
                <w:rFonts w:ascii="仿宋_GB2312" w:eastAsia="仿宋_GB2312" w:hint="eastAsia"/>
                <w:kern w:val="0"/>
                <w:sz w:val="24"/>
              </w:rPr>
              <w:t>代理人员登记时未如实附</w:t>
            </w:r>
            <w:r>
              <w:rPr>
                <w:rFonts w:ascii="仿宋_GB2312" w:eastAsia="仿宋_GB2312" w:hint="eastAsia"/>
                <w:kern w:val="0"/>
                <w:sz w:val="24"/>
              </w:rPr>
              <w:t>上</w:t>
            </w:r>
            <w:r w:rsidRPr="00550471">
              <w:rPr>
                <w:rFonts w:ascii="仿宋_GB2312" w:eastAsia="仿宋_GB2312" w:hint="eastAsia"/>
                <w:kern w:val="0"/>
                <w:sz w:val="24"/>
              </w:rPr>
              <w:t>前公司的离职证明；</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rPr>
                <w:rFonts w:ascii="仿宋_GB2312" w:eastAsia="仿宋_GB2312"/>
                <w:kern w:val="0"/>
                <w:sz w:val="24"/>
              </w:rPr>
            </w:pPr>
            <w:r w:rsidRPr="00550471">
              <w:rPr>
                <w:rFonts w:ascii="仿宋_GB2312" w:eastAsia="仿宋_GB2312"/>
                <w:kern w:val="0"/>
                <w:sz w:val="24"/>
              </w:rPr>
              <w:t>1-2</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20</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pPr>
            <w:r w:rsidRPr="00550471">
              <w:rPr>
                <w:rFonts w:ascii="仿宋_GB2312" w:eastAsia="仿宋_GB2312" w:hint="eastAsia"/>
                <w:kern w:val="0"/>
                <w:sz w:val="24"/>
              </w:rPr>
              <w:t>不按要求参加会议、学习和培训的；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1-2</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21</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pPr>
            <w:r w:rsidRPr="00550471">
              <w:rPr>
                <w:rFonts w:ascii="仿宋_GB2312" w:eastAsia="仿宋_GB2312" w:hint="eastAsia"/>
                <w:kern w:val="0"/>
                <w:sz w:val="24"/>
              </w:rPr>
              <w:t>有违反温岭市工程建设项目招标代理管理办法规定行为的；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1-3</w:t>
            </w:r>
          </w:p>
        </w:tc>
      </w:tr>
      <w:tr w:rsidR="00EF11E4"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22</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pPr>
            <w:r w:rsidRPr="00550471">
              <w:rPr>
                <w:rFonts w:ascii="仿宋_GB2312" w:eastAsia="仿宋_GB2312" w:hint="eastAsia"/>
                <w:kern w:val="0"/>
                <w:sz w:val="24"/>
              </w:rPr>
              <w:t>其他招标代理过程中的违规行为</w:t>
            </w:r>
            <w:r w:rsidRPr="00550471">
              <w:rPr>
                <w:rFonts w:ascii="仿宋_GB2312" w:eastAsia="仿宋_GB2312"/>
                <w:kern w:val="0"/>
                <w:sz w:val="24"/>
              </w:rPr>
              <w:t xml:space="preserve"> </w:t>
            </w:r>
            <w:r w:rsidRPr="00550471">
              <w:rPr>
                <w:rFonts w:ascii="仿宋_GB2312" w:eastAsia="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EF11E4" w:rsidRPr="00550471" w:rsidRDefault="00EF11E4" w:rsidP="00456233">
            <w:pPr>
              <w:snapToGrid w:val="0"/>
              <w:spacing w:line="300" w:lineRule="exact"/>
              <w:jc w:val="center"/>
            </w:pPr>
            <w:r w:rsidRPr="00550471">
              <w:rPr>
                <w:rFonts w:ascii="仿宋_GB2312" w:eastAsia="仿宋_GB2312"/>
                <w:kern w:val="0"/>
                <w:sz w:val="24"/>
              </w:rPr>
              <w:t>1-3</w:t>
            </w:r>
          </w:p>
        </w:tc>
      </w:tr>
    </w:tbl>
    <w:p w:rsidR="00EF11E4" w:rsidRDefault="00EF11E4" w:rsidP="00EF11E4">
      <w:pPr>
        <w:snapToGrid w:val="0"/>
        <w:spacing w:line="600" w:lineRule="exact"/>
        <w:rPr>
          <w:rFonts w:ascii="黑体" w:eastAsia="黑体" w:hAnsi="黑体" w:cs="黑体"/>
          <w:kern w:val="0"/>
          <w:sz w:val="32"/>
          <w:szCs w:val="32"/>
        </w:rPr>
      </w:pPr>
    </w:p>
    <w:sectPr w:rsidR="00EF11E4" w:rsidSect="00EF11E4">
      <w:pgSz w:w="11906" w:h="16838"/>
      <w:pgMar w:top="2098" w:right="1588" w:bottom="2098" w:left="1588" w:header="851" w:footer="1588" w:gutter="0"/>
      <w:pgNumType w:fmt="numberInDash" w:start="1"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0D" w:rsidRDefault="00422A0D" w:rsidP="00EF11E4">
      <w:r>
        <w:separator/>
      </w:r>
    </w:p>
  </w:endnote>
  <w:endnote w:type="continuationSeparator" w:id="0">
    <w:p w:rsidR="00422A0D" w:rsidRDefault="00422A0D" w:rsidP="00EF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0D" w:rsidRDefault="00422A0D" w:rsidP="00EF11E4">
      <w:r>
        <w:separator/>
      </w:r>
    </w:p>
  </w:footnote>
  <w:footnote w:type="continuationSeparator" w:id="0">
    <w:p w:rsidR="00422A0D" w:rsidRDefault="00422A0D" w:rsidP="00EF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1E4"/>
    <w:rsid w:val="00422A0D"/>
    <w:rsid w:val="00A17D10"/>
    <w:rsid w:val="00EF1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11E4"/>
    <w:rPr>
      <w:sz w:val="18"/>
      <w:szCs w:val="18"/>
    </w:rPr>
  </w:style>
  <w:style w:type="paragraph" w:styleId="a4">
    <w:name w:val="footer"/>
    <w:basedOn w:val="a"/>
    <w:link w:val="Char0"/>
    <w:unhideWhenUsed/>
    <w:rsid w:val="00EF1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F11E4"/>
    <w:rPr>
      <w:sz w:val="18"/>
      <w:szCs w:val="18"/>
    </w:rPr>
  </w:style>
  <w:style w:type="character" w:styleId="a5">
    <w:name w:val="page number"/>
    <w:basedOn w:val="a0"/>
    <w:rsid w:val="00EF11E4"/>
  </w:style>
  <w:style w:type="paragraph" w:styleId="a6">
    <w:name w:val="Plain Text"/>
    <w:basedOn w:val="a"/>
    <w:link w:val="Char1"/>
    <w:rsid w:val="00EF11E4"/>
    <w:rPr>
      <w:rFonts w:ascii="宋体" w:hAnsi="Courier New" w:cs="Courier New"/>
      <w:szCs w:val="21"/>
    </w:rPr>
  </w:style>
  <w:style w:type="character" w:customStyle="1" w:styleId="Char1">
    <w:name w:val="纯文本 Char"/>
    <w:basedOn w:val="a0"/>
    <w:link w:val="a6"/>
    <w:rsid w:val="00EF11E4"/>
    <w:rPr>
      <w:rFonts w:ascii="宋体" w:eastAsia="宋体" w:hAnsi="Courier New" w:cs="Courier New"/>
      <w:szCs w:val="21"/>
    </w:rPr>
  </w:style>
  <w:style w:type="paragraph" w:styleId="7">
    <w:name w:val="toc 7"/>
    <w:basedOn w:val="a"/>
    <w:next w:val="a"/>
    <w:autoRedefine/>
    <w:semiHidden/>
    <w:rsid w:val="00EF11E4"/>
    <w:pPr>
      <w:ind w:left="126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kzsdvd</dc:creator>
  <cp:lastModifiedBy>kzsdvd</cp:lastModifiedBy>
  <cp:revision>2</cp:revision>
  <dcterms:created xsi:type="dcterms:W3CDTF">2020-07-07T01:31:00Z</dcterms:created>
  <dcterms:modified xsi:type="dcterms:W3CDTF">2020-07-07T01:31:00Z</dcterms:modified>
</cp:coreProperties>
</file>