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ascii="黑体" w:hAnsi="黑体" w:eastAsia="黑体"/>
          <w:kern w:val="0"/>
          <w:sz w:val="32"/>
          <w:szCs w:val="32"/>
        </w:rPr>
      </w:pPr>
      <w:r>
        <w:rPr>
          <w:rFonts w:hint="eastAsia" w:ascii="黑体" w:hAnsi="黑体" w:eastAsia="黑体"/>
          <w:kern w:val="0"/>
          <w:sz w:val="32"/>
          <w:szCs w:val="32"/>
        </w:rPr>
        <w:t>附件1：</w:t>
      </w:r>
    </w:p>
    <w:p>
      <w:pPr>
        <w:spacing w:before="312" w:beforeLines="100" w:after="624" w:afterLines="200"/>
        <w:jc w:val="center"/>
        <w:rPr>
          <w:rFonts w:hint="eastAsia" w:ascii="方正小标宋简体" w:hAnsi="仿宋" w:eastAsia="方正小标宋简体"/>
          <w:sz w:val="40"/>
          <w:szCs w:val="40"/>
        </w:rPr>
      </w:pPr>
      <w:r>
        <w:rPr>
          <w:rFonts w:hint="eastAsia" w:ascii="方正小标宋简体" w:hAnsi="仿宋" w:eastAsia="方正小标宋简体"/>
          <w:sz w:val="40"/>
          <w:szCs w:val="40"/>
        </w:rPr>
        <w:t>温岭市工程建设项目招标代理管理办法</w:t>
      </w:r>
    </w:p>
    <w:p>
      <w:pPr>
        <w:keepNext w:val="0"/>
        <w:keepLines w:val="0"/>
        <w:pageBreakBefore w:val="0"/>
        <w:widowControl w:val="0"/>
        <w:kinsoku/>
        <w:wordWrap/>
        <w:overflowPunct/>
        <w:topLinePunct w:val="0"/>
        <w:autoSpaceDE/>
        <w:autoSpaceDN/>
        <w:bidi w:val="0"/>
        <w:adjustRightInd/>
        <w:snapToGrid w:val="0"/>
        <w:spacing w:line="360" w:lineRule="auto"/>
        <w:ind w:firstLine="656"/>
        <w:textAlignment w:val="auto"/>
        <w:rPr>
          <w:rFonts w:hint="eastAsia" w:ascii="仿宋_GB2312" w:eastAsia="仿宋_GB2312"/>
          <w:kern w:val="0"/>
          <w:sz w:val="32"/>
          <w:szCs w:val="32"/>
        </w:rPr>
      </w:pPr>
      <w:r>
        <w:rPr>
          <w:rFonts w:hint="eastAsia" w:ascii="仿宋_GB2312" w:eastAsia="仿宋_GB2312"/>
          <w:kern w:val="0"/>
          <w:sz w:val="32"/>
          <w:szCs w:val="32"/>
        </w:rPr>
        <w:t>一、温岭市公共资源交易管理委员会（以下简称“市公管委”）会同市发展和改革局、市财政局、市住房和城乡建设局、市自然资源和规划局、市交通运输局、市农业农村和水利局、市港航口岸和渔业管理局等行政监督部门负责本市范围内工程招标代理的监督管理工作。</w:t>
      </w:r>
    </w:p>
    <w:p>
      <w:pPr>
        <w:keepNext w:val="0"/>
        <w:keepLines w:val="0"/>
        <w:pageBreakBefore w:val="0"/>
        <w:widowControl w:val="0"/>
        <w:kinsoku/>
        <w:wordWrap/>
        <w:overflowPunct/>
        <w:topLinePunct w:val="0"/>
        <w:autoSpaceDE/>
        <w:autoSpaceDN/>
        <w:bidi w:val="0"/>
        <w:adjustRightInd/>
        <w:snapToGrid w:val="0"/>
        <w:spacing w:line="360" w:lineRule="auto"/>
        <w:ind w:firstLine="656"/>
        <w:textAlignment w:val="auto"/>
        <w:rPr>
          <w:rFonts w:hint="eastAsia" w:ascii="仿宋_GB2312" w:eastAsia="仿宋_GB2312"/>
          <w:kern w:val="0"/>
          <w:sz w:val="32"/>
          <w:szCs w:val="32"/>
        </w:rPr>
      </w:pPr>
      <w:r>
        <w:rPr>
          <w:rFonts w:hint="eastAsia" w:ascii="仿宋_GB2312" w:eastAsia="仿宋_GB2312"/>
          <w:kern w:val="0"/>
          <w:sz w:val="32"/>
          <w:szCs w:val="32"/>
        </w:rPr>
        <w:t>在本市承接业务的招标代理机构，应当接受相关部门的监督管理。在承接业务前，应向市公管委提供附表1、2规定的相关资料，并取得《温岭市工程招标代理机构管理手册》和《温岭市工程招标代理人员管理手册》（以下统称管理手册）。</w:t>
      </w:r>
    </w:p>
    <w:p>
      <w:pPr>
        <w:keepNext w:val="0"/>
        <w:keepLines w:val="0"/>
        <w:pageBreakBefore w:val="0"/>
        <w:widowControl w:val="0"/>
        <w:kinsoku/>
        <w:wordWrap/>
        <w:overflowPunct/>
        <w:topLinePunct w:val="0"/>
        <w:autoSpaceDE/>
        <w:autoSpaceDN/>
        <w:bidi w:val="0"/>
        <w:adjustRightInd/>
        <w:snapToGrid w:val="0"/>
        <w:spacing w:line="360" w:lineRule="auto"/>
        <w:ind w:firstLine="640"/>
        <w:textAlignment w:val="auto"/>
        <w:rPr>
          <w:rFonts w:hint="eastAsia" w:ascii="仿宋_GB2312" w:eastAsia="仿宋_GB2312"/>
          <w:kern w:val="0"/>
          <w:sz w:val="32"/>
          <w:szCs w:val="32"/>
          <w:lang w:eastAsia="zh-CN"/>
        </w:rPr>
      </w:pPr>
      <w:r>
        <w:rPr>
          <w:rFonts w:hint="eastAsia" w:ascii="仿宋_GB2312" w:eastAsia="仿宋_GB2312"/>
          <w:b/>
          <w:bCs/>
          <w:kern w:val="0"/>
          <w:sz w:val="32"/>
          <w:szCs w:val="32"/>
        </w:rPr>
        <w:t>二、</w:t>
      </w:r>
      <w:r>
        <w:rPr>
          <w:rFonts w:hint="eastAsia" w:ascii="仿宋_GB2312" w:eastAsia="仿宋_GB2312"/>
          <w:kern w:val="0"/>
          <w:sz w:val="32"/>
          <w:szCs w:val="32"/>
        </w:rPr>
        <w:t>招标代理机构应当组建能够满足代理招标项目需要的项目组。项目组由本机构专职人员组成，每组设项目负责人1名，组员2名</w:t>
      </w:r>
      <w:r>
        <w:rPr>
          <w:rFonts w:hint="eastAsia" w:ascii="仿宋_GB2312" w:eastAsia="仿宋_GB2312"/>
          <w:kern w:val="0"/>
          <w:sz w:val="32"/>
          <w:szCs w:val="32"/>
          <w:lang w:eastAsia="zh-CN"/>
        </w:rPr>
        <w:t>，并于每年一月十五日前完成年度登记。</w:t>
      </w:r>
    </w:p>
    <w:p>
      <w:pPr>
        <w:keepNext w:val="0"/>
        <w:keepLines w:val="0"/>
        <w:pageBreakBefore w:val="0"/>
        <w:widowControl w:val="0"/>
        <w:kinsoku/>
        <w:wordWrap/>
        <w:overflowPunct/>
        <w:topLinePunct w:val="0"/>
        <w:autoSpaceDE/>
        <w:autoSpaceDN/>
        <w:bidi w:val="0"/>
        <w:adjustRightInd/>
        <w:snapToGrid w:val="0"/>
        <w:spacing w:line="360" w:lineRule="auto"/>
        <w:ind w:firstLine="640"/>
        <w:textAlignment w:val="auto"/>
        <w:rPr>
          <w:rFonts w:hint="eastAsia" w:ascii="仿宋_GB2312" w:eastAsia="仿宋_GB2312"/>
          <w:kern w:val="0"/>
          <w:sz w:val="32"/>
          <w:szCs w:val="32"/>
          <w:lang w:eastAsia="zh-CN"/>
        </w:rPr>
      </w:pPr>
      <w:r>
        <w:rPr>
          <w:rFonts w:hint="eastAsia" w:ascii="仿宋_GB2312" w:eastAsia="仿宋_GB2312"/>
          <w:kern w:val="0"/>
          <w:sz w:val="32"/>
          <w:szCs w:val="32"/>
        </w:rPr>
        <w:t>代理</w:t>
      </w:r>
      <w:r>
        <w:rPr>
          <w:rFonts w:ascii="仿宋_GB2312" w:eastAsia="仿宋_GB2312"/>
          <w:kern w:val="0"/>
          <w:sz w:val="32"/>
          <w:szCs w:val="32"/>
        </w:rPr>
        <w:t>项目从招标文件备案开始至完成招投标归档资料为止</w:t>
      </w:r>
      <w:r>
        <w:rPr>
          <w:rFonts w:hint="eastAsia" w:ascii="仿宋_GB2312" w:eastAsia="仿宋_GB2312"/>
          <w:kern w:val="0"/>
          <w:sz w:val="32"/>
          <w:szCs w:val="32"/>
        </w:rPr>
        <w:t>；专职人员不得同时从事3个以上代理项目，</w:t>
      </w:r>
      <w:r>
        <w:rPr>
          <w:rFonts w:ascii="仿宋_GB2312" w:eastAsia="仿宋_GB2312"/>
          <w:kern w:val="0"/>
          <w:sz w:val="32"/>
          <w:szCs w:val="32"/>
        </w:rPr>
        <w:t>符合本办法奖惩规定的除外</w:t>
      </w:r>
      <w:r>
        <w:rPr>
          <w:rFonts w:hint="eastAsia" w:ascii="仿宋_GB2312" w:eastAsia="仿宋_GB2312"/>
          <w:kern w:val="0"/>
          <w:sz w:val="32"/>
          <w:szCs w:val="32"/>
        </w:rPr>
        <w:t>。</w:t>
      </w:r>
    </w:p>
    <w:p>
      <w:pPr>
        <w:keepNext w:val="0"/>
        <w:keepLines w:val="0"/>
        <w:pageBreakBefore w:val="0"/>
        <w:widowControl w:val="0"/>
        <w:kinsoku/>
        <w:wordWrap/>
        <w:overflowPunct/>
        <w:topLinePunct w:val="0"/>
        <w:autoSpaceDE/>
        <w:autoSpaceDN/>
        <w:bidi w:val="0"/>
        <w:adjustRightInd/>
        <w:snapToGrid w:val="0"/>
        <w:spacing w:line="360" w:lineRule="auto"/>
        <w:ind w:firstLine="640"/>
        <w:textAlignment w:val="auto"/>
        <w:rPr>
          <w:rFonts w:hint="eastAsia" w:ascii="仿宋_GB2312" w:eastAsia="仿宋_GB2312"/>
          <w:kern w:val="0"/>
          <w:sz w:val="32"/>
          <w:szCs w:val="32"/>
        </w:rPr>
      </w:pPr>
      <w:r>
        <w:rPr>
          <w:rFonts w:hint="eastAsia" w:ascii="仿宋_GB2312" w:eastAsia="仿宋_GB2312"/>
          <w:kern w:val="0"/>
          <w:sz w:val="32"/>
          <w:szCs w:val="32"/>
        </w:rPr>
        <w:t>项目负责人应为注册在本机构的工程类注册执业人员或具有中级以上专业技术职称或取得招标职业资格的专职人员，且熟悉招标投标法律法规和有关政策规定。组员</w:t>
      </w:r>
      <w:r>
        <w:rPr>
          <w:rFonts w:ascii="仿宋_GB2312" w:eastAsia="仿宋_GB2312"/>
          <w:kern w:val="0"/>
          <w:sz w:val="32"/>
          <w:szCs w:val="32"/>
        </w:rPr>
        <w:t>应</w:t>
      </w:r>
      <w:r>
        <w:rPr>
          <w:rFonts w:hint="eastAsia" w:ascii="仿宋_GB2312" w:eastAsia="仿宋_GB2312"/>
          <w:kern w:val="0"/>
          <w:sz w:val="32"/>
          <w:szCs w:val="32"/>
          <w:lang w:eastAsia="zh-CN"/>
        </w:rPr>
        <w:t>为本机构</w:t>
      </w:r>
      <w:r>
        <w:rPr>
          <w:rFonts w:ascii="仿宋_GB2312" w:eastAsia="仿宋_GB2312"/>
          <w:kern w:val="0"/>
          <w:sz w:val="32"/>
          <w:szCs w:val="32"/>
        </w:rPr>
        <w:t>具有工程类初级职称</w:t>
      </w:r>
      <w:r>
        <w:rPr>
          <w:rFonts w:hint="eastAsia" w:ascii="仿宋_GB2312" w:eastAsia="仿宋_GB2312"/>
          <w:kern w:val="0"/>
          <w:sz w:val="32"/>
          <w:szCs w:val="32"/>
          <w:lang w:eastAsia="zh-CN"/>
        </w:rPr>
        <w:t>及以上资格</w:t>
      </w:r>
      <w:r>
        <w:rPr>
          <w:rFonts w:ascii="仿宋_GB2312" w:eastAsia="仿宋_GB2312"/>
          <w:kern w:val="0"/>
          <w:sz w:val="32"/>
          <w:szCs w:val="32"/>
        </w:rPr>
        <w:t>或工程类专业学历证书</w:t>
      </w:r>
      <w:r>
        <w:rPr>
          <w:rFonts w:hint="eastAsia" w:ascii="仿宋_GB2312" w:eastAsia="仿宋_GB2312"/>
          <w:kern w:val="0"/>
          <w:sz w:val="32"/>
          <w:szCs w:val="32"/>
          <w:lang w:eastAsia="zh-CN"/>
        </w:rPr>
        <w:t>的专业人员</w:t>
      </w:r>
      <w:r>
        <w:rPr>
          <w:rFonts w:ascii="仿宋_GB2312" w:eastAsia="仿宋_GB2312"/>
          <w:kern w:val="0"/>
          <w:sz w:val="32"/>
          <w:szCs w:val="32"/>
        </w:rPr>
        <w:t>。</w:t>
      </w:r>
    </w:p>
    <w:p>
      <w:pPr>
        <w:keepNext w:val="0"/>
        <w:keepLines w:val="0"/>
        <w:pageBreakBefore w:val="0"/>
        <w:widowControl w:val="0"/>
        <w:kinsoku/>
        <w:wordWrap/>
        <w:overflowPunct/>
        <w:topLinePunct w:val="0"/>
        <w:autoSpaceDE/>
        <w:autoSpaceDN/>
        <w:bidi w:val="0"/>
        <w:adjustRightInd/>
        <w:snapToGrid w:val="0"/>
        <w:spacing w:line="360" w:lineRule="auto"/>
        <w:ind w:firstLine="640"/>
        <w:textAlignment w:val="auto"/>
        <w:rPr>
          <w:rFonts w:hint="eastAsia" w:ascii="仿宋_GB2312" w:eastAsia="仿宋_GB2312"/>
          <w:kern w:val="0"/>
          <w:sz w:val="32"/>
          <w:szCs w:val="32"/>
        </w:rPr>
      </w:pPr>
      <w:r>
        <w:rPr>
          <w:rFonts w:hint="eastAsia" w:ascii="仿宋_GB2312" w:eastAsia="仿宋_GB2312"/>
          <w:kern w:val="0"/>
          <w:sz w:val="32"/>
          <w:szCs w:val="32"/>
        </w:rPr>
        <w:t>三、代理机构在承接业务时，应与</w:t>
      </w:r>
      <w:r>
        <w:rPr>
          <w:rFonts w:hint="eastAsia" w:ascii="仿宋_GB2312" w:eastAsia="仿宋_GB2312"/>
          <w:kern w:val="0"/>
          <w:sz w:val="32"/>
          <w:szCs w:val="32"/>
          <w:lang w:eastAsia="zh-CN"/>
        </w:rPr>
        <w:t>招标人</w:t>
      </w:r>
      <w:r>
        <w:rPr>
          <w:rFonts w:hint="eastAsia" w:ascii="仿宋_GB2312" w:eastAsia="仿宋_GB2312"/>
          <w:kern w:val="0"/>
          <w:sz w:val="32"/>
          <w:szCs w:val="32"/>
        </w:rPr>
        <w:t>签订招标代理合同，确定项目组人员，收集招标所需资料，根据项目的特点认真编制资格预审文件、招标文件等。</w:t>
      </w:r>
    </w:p>
    <w:p>
      <w:pPr>
        <w:keepNext w:val="0"/>
        <w:keepLines w:val="0"/>
        <w:pageBreakBefore w:val="0"/>
        <w:widowControl w:val="0"/>
        <w:kinsoku/>
        <w:wordWrap/>
        <w:overflowPunct/>
        <w:topLinePunct w:val="0"/>
        <w:autoSpaceDE/>
        <w:autoSpaceDN/>
        <w:bidi w:val="0"/>
        <w:adjustRightInd/>
        <w:snapToGrid w:val="0"/>
        <w:spacing w:line="360" w:lineRule="auto"/>
        <w:ind w:firstLine="640"/>
        <w:textAlignment w:val="auto"/>
        <w:rPr>
          <w:rFonts w:hint="eastAsia" w:ascii="仿宋_GB2312" w:eastAsia="仿宋_GB2312"/>
          <w:kern w:val="0"/>
          <w:sz w:val="32"/>
          <w:szCs w:val="32"/>
        </w:rPr>
      </w:pPr>
      <w:r>
        <w:rPr>
          <w:rFonts w:hint="eastAsia" w:ascii="仿宋_GB2312" w:eastAsia="仿宋_GB2312"/>
          <w:kern w:val="0"/>
          <w:sz w:val="32"/>
          <w:szCs w:val="32"/>
        </w:rPr>
        <w:t>四、开标前一个工作日</w:t>
      </w:r>
      <w:r>
        <w:rPr>
          <w:rFonts w:hint="eastAsia" w:ascii="仿宋_GB2312" w:eastAsia="仿宋_GB2312"/>
          <w:kern w:val="0"/>
          <w:sz w:val="32"/>
          <w:szCs w:val="32"/>
          <w:lang w:eastAsia="zh-CN"/>
        </w:rPr>
        <w:t>内</w:t>
      </w:r>
      <w:r>
        <w:rPr>
          <w:rFonts w:hint="eastAsia" w:ascii="仿宋_GB2312" w:eastAsia="仿宋_GB2312"/>
          <w:kern w:val="0"/>
          <w:sz w:val="32"/>
          <w:szCs w:val="32"/>
        </w:rPr>
        <w:t>向市公管委提交《温岭市工程建设项目评标专家选聘申请表》。项目流标的，应及时告知投标人、招标人和监管部门。</w:t>
      </w:r>
    </w:p>
    <w:p>
      <w:pPr>
        <w:keepNext w:val="0"/>
        <w:keepLines w:val="0"/>
        <w:pageBreakBefore w:val="0"/>
        <w:widowControl w:val="0"/>
        <w:kinsoku/>
        <w:wordWrap/>
        <w:overflowPunct/>
        <w:topLinePunct w:val="0"/>
        <w:autoSpaceDE/>
        <w:autoSpaceDN/>
        <w:bidi w:val="0"/>
        <w:adjustRightInd/>
        <w:snapToGrid w:val="0"/>
        <w:spacing w:line="360" w:lineRule="auto"/>
        <w:ind w:firstLine="640"/>
        <w:textAlignment w:val="auto"/>
        <w:rPr>
          <w:rFonts w:hint="eastAsia" w:ascii="仿宋_GB2312" w:eastAsia="仿宋_GB2312"/>
          <w:kern w:val="0"/>
          <w:sz w:val="32"/>
          <w:szCs w:val="32"/>
        </w:rPr>
      </w:pPr>
      <w:r>
        <w:rPr>
          <w:rFonts w:hint="eastAsia" w:ascii="仿宋_GB2312" w:eastAsia="仿宋_GB2312"/>
          <w:kern w:val="0"/>
          <w:sz w:val="32"/>
          <w:szCs w:val="32"/>
        </w:rPr>
        <w:t>项目组人员应于投标截止时间半小时前到达开标现场，进行会场布置、文件资料准备、接收投标文件等。开标过程中有异议的，应要求投标人以书面形式提出；招标代理应协助招标人当场作出书面答复，并制作记录。</w:t>
      </w:r>
    </w:p>
    <w:p>
      <w:pPr>
        <w:keepNext w:val="0"/>
        <w:keepLines w:val="0"/>
        <w:pageBreakBefore w:val="0"/>
        <w:widowControl w:val="0"/>
        <w:kinsoku/>
        <w:wordWrap/>
        <w:overflowPunct/>
        <w:topLinePunct w:val="0"/>
        <w:autoSpaceDE/>
        <w:autoSpaceDN/>
        <w:bidi w:val="0"/>
        <w:adjustRightInd/>
        <w:snapToGrid w:val="0"/>
        <w:spacing w:line="360" w:lineRule="auto"/>
        <w:ind w:firstLine="640"/>
        <w:textAlignment w:val="auto"/>
        <w:rPr>
          <w:rFonts w:hint="eastAsia" w:ascii="仿宋_GB2312" w:eastAsia="仿宋_GB2312"/>
          <w:kern w:val="0"/>
          <w:sz w:val="32"/>
          <w:szCs w:val="32"/>
        </w:rPr>
      </w:pPr>
      <w:r>
        <w:rPr>
          <w:rFonts w:hint="eastAsia" w:ascii="仿宋_GB2312" w:eastAsia="仿宋_GB2312"/>
          <w:kern w:val="0"/>
          <w:sz w:val="32"/>
          <w:szCs w:val="32"/>
        </w:rPr>
        <w:t>开标时，经确认密封情况后当众拆封投标文件，并依次按正本内容唱标，唱标时不得对有差错的资料作出结论，未按规定标注正、副本的，其内容不予唱读；如有电子文本的，应现场导入。</w:t>
      </w:r>
    </w:p>
    <w:p>
      <w:pPr>
        <w:keepNext w:val="0"/>
        <w:keepLines w:val="0"/>
        <w:pageBreakBefore w:val="0"/>
        <w:widowControl w:val="0"/>
        <w:kinsoku/>
        <w:wordWrap/>
        <w:overflowPunct/>
        <w:topLinePunct w:val="0"/>
        <w:autoSpaceDE/>
        <w:autoSpaceDN/>
        <w:bidi w:val="0"/>
        <w:adjustRightInd/>
        <w:snapToGrid w:val="0"/>
        <w:spacing w:line="360" w:lineRule="auto"/>
        <w:ind w:firstLine="627" w:firstLineChars="196"/>
        <w:textAlignment w:val="auto"/>
        <w:rPr>
          <w:rFonts w:hint="eastAsia" w:ascii="仿宋_GB2312" w:eastAsia="仿宋_GB2312"/>
          <w:kern w:val="0"/>
          <w:sz w:val="32"/>
          <w:szCs w:val="32"/>
        </w:rPr>
      </w:pPr>
      <w:r>
        <w:rPr>
          <w:rFonts w:hint="eastAsia" w:ascii="仿宋_GB2312" w:eastAsia="仿宋_GB2312"/>
          <w:kern w:val="0"/>
          <w:sz w:val="32"/>
          <w:szCs w:val="32"/>
        </w:rPr>
        <w:t>五、评标开始时，项目组负责人应宣读评标纪律，组织评标委员会成员熟悉招标文件，介绍项目基本情况、评标程序及评标标准，并组织推选评标委员会主任。</w:t>
      </w:r>
    </w:p>
    <w:p>
      <w:pPr>
        <w:keepNext w:val="0"/>
        <w:keepLines w:val="0"/>
        <w:pageBreakBefore w:val="0"/>
        <w:widowControl w:val="0"/>
        <w:kinsoku/>
        <w:wordWrap/>
        <w:overflowPunct/>
        <w:topLinePunct w:val="0"/>
        <w:autoSpaceDE/>
        <w:autoSpaceDN/>
        <w:bidi w:val="0"/>
        <w:adjustRightInd/>
        <w:snapToGrid w:val="0"/>
        <w:spacing w:line="360" w:lineRule="auto"/>
        <w:ind w:firstLine="640"/>
        <w:textAlignment w:val="auto"/>
        <w:rPr>
          <w:rFonts w:hint="eastAsia" w:ascii="仿宋_GB2312" w:eastAsia="仿宋_GB2312"/>
          <w:kern w:val="0"/>
          <w:sz w:val="32"/>
          <w:szCs w:val="32"/>
        </w:rPr>
      </w:pPr>
      <w:r>
        <w:rPr>
          <w:rFonts w:hint="eastAsia" w:ascii="仿宋_GB2312" w:eastAsia="仿宋_GB2312"/>
          <w:kern w:val="0"/>
          <w:sz w:val="32"/>
          <w:szCs w:val="32"/>
        </w:rPr>
        <w:t>评标过程中，应保持评标室的评标秩序，不得影响评标委员会独立评标；整理资料，汇总数据，核对否决投标条款，发现差错及时向评标委员会提出；操作建设工程计算机辅助评标系统；协助评标委员会完整、准确填写评标报告。</w:t>
      </w:r>
    </w:p>
    <w:p>
      <w:pPr>
        <w:keepNext w:val="0"/>
        <w:keepLines w:val="0"/>
        <w:pageBreakBefore w:val="0"/>
        <w:widowControl w:val="0"/>
        <w:kinsoku/>
        <w:wordWrap/>
        <w:overflowPunct/>
        <w:topLinePunct w:val="0"/>
        <w:autoSpaceDE/>
        <w:autoSpaceDN/>
        <w:bidi w:val="0"/>
        <w:adjustRightInd/>
        <w:snapToGrid w:val="0"/>
        <w:spacing w:line="360" w:lineRule="auto"/>
        <w:ind w:firstLine="640"/>
        <w:textAlignment w:val="auto"/>
        <w:rPr>
          <w:rFonts w:hint="eastAsia" w:ascii="仿宋_GB2312" w:eastAsia="仿宋_GB2312"/>
          <w:kern w:val="0"/>
          <w:sz w:val="32"/>
          <w:szCs w:val="32"/>
        </w:rPr>
      </w:pPr>
      <w:r>
        <w:rPr>
          <w:rFonts w:hint="eastAsia" w:ascii="仿宋_GB2312" w:eastAsia="仿宋_GB2312"/>
          <w:kern w:val="0"/>
          <w:sz w:val="32"/>
          <w:szCs w:val="32"/>
        </w:rPr>
        <w:t>评标结果宣布后，投标人无异议的或异议处理完毕的，评标委员会成员方可离开评标区。</w:t>
      </w:r>
    </w:p>
    <w:p>
      <w:pPr>
        <w:keepNext w:val="0"/>
        <w:keepLines w:val="0"/>
        <w:pageBreakBefore w:val="0"/>
        <w:widowControl w:val="0"/>
        <w:kinsoku/>
        <w:wordWrap/>
        <w:overflowPunct/>
        <w:topLinePunct w:val="0"/>
        <w:autoSpaceDE/>
        <w:autoSpaceDN/>
        <w:bidi w:val="0"/>
        <w:adjustRightInd/>
        <w:snapToGrid w:val="0"/>
        <w:spacing w:line="360" w:lineRule="auto"/>
        <w:ind w:firstLine="640"/>
        <w:textAlignment w:val="auto"/>
        <w:rPr>
          <w:rFonts w:hint="eastAsia" w:ascii="仿宋_GB2312" w:eastAsia="仿宋_GB2312"/>
          <w:kern w:val="0"/>
          <w:sz w:val="32"/>
          <w:szCs w:val="32"/>
        </w:rPr>
      </w:pPr>
      <w:r>
        <w:rPr>
          <w:rFonts w:hint="eastAsia" w:ascii="仿宋_GB2312" w:eastAsia="仿宋_GB2312"/>
          <w:kern w:val="0"/>
          <w:sz w:val="32"/>
          <w:szCs w:val="32"/>
        </w:rPr>
        <w:t>六、评标结束后应及时整理相关资料，按规定内容公示评标结果；如有异议或投诉的，应积极主动协助招标人或监管部门处理异议、投诉事宜。评标结果公示期间无异议或投诉的，公示期结束后，应协助招标人及时</w:t>
      </w:r>
      <w:r>
        <w:rPr>
          <w:rFonts w:hint="eastAsia" w:ascii="仿宋_GB2312" w:eastAsia="仿宋_GB2312"/>
          <w:kern w:val="0"/>
          <w:sz w:val="32"/>
          <w:szCs w:val="32"/>
          <w:lang w:eastAsia="zh-CN"/>
        </w:rPr>
        <w:t>发布中标结果公告、</w:t>
      </w:r>
      <w:r>
        <w:rPr>
          <w:rFonts w:hint="eastAsia" w:ascii="仿宋_GB2312" w:eastAsia="仿宋_GB2312"/>
          <w:kern w:val="0"/>
          <w:sz w:val="32"/>
          <w:szCs w:val="32"/>
        </w:rPr>
        <w:t>发放中标通知书，按招标文件要求拟制合同文本，协调合同签订事宜。</w:t>
      </w:r>
    </w:p>
    <w:p>
      <w:pPr>
        <w:keepNext w:val="0"/>
        <w:keepLines w:val="0"/>
        <w:pageBreakBefore w:val="0"/>
        <w:widowControl w:val="0"/>
        <w:kinsoku/>
        <w:wordWrap/>
        <w:overflowPunct/>
        <w:topLinePunct w:val="0"/>
        <w:autoSpaceDE/>
        <w:autoSpaceDN/>
        <w:bidi w:val="0"/>
        <w:adjustRightInd/>
        <w:snapToGrid w:val="0"/>
        <w:spacing w:line="360" w:lineRule="auto"/>
        <w:ind w:firstLine="640"/>
        <w:textAlignment w:val="auto"/>
        <w:rPr>
          <w:rFonts w:hint="eastAsia" w:ascii="仿宋_GB2312" w:eastAsia="仿宋_GB2312"/>
          <w:kern w:val="0"/>
          <w:sz w:val="32"/>
          <w:szCs w:val="32"/>
        </w:rPr>
      </w:pPr>
      <w:r>
        <w:rPr>
          <w:rFonts w:hint="eastAsia" w:ascii="仿宋_GB2312" w:eastAsia="仿宋_GB2312"/>
          <w:kern w:val="0"/>
          <w:sz w:val="32"/>
          <w:szCs w:val="32"/>
        </w:rPr>
        <w:t>合同签订后应告知招标人信用评价有关规定，及时拟制招标投标情况书面报告，完成招标投标情况书面报告备案；做好招投标资料的归档工作。</w:t>
      </w:r>
    </w:p>
    <w:p>
      <w:pPr>
        <w:keepNext w:val="0"/>
        <w:keepLines w:val="0"/>
        <w:pageBreakBefore w:val="0"/>
        <w:widowControl w:val="0"/>
        <w:kinsoku/>
        <w:wordWrap/>
        <w:overflowPunct/>
        <w:topLinePunct w:val="0"/>
        <w:autoSpaceDE/>
        <w:autoSpaceDN/>
        <w:bidi w:val="0"/>
        <w:adjustRightInd/>
        <w:snapToGrid w:val="0"/>
        <w:spacing w:line="360" w:lineRule="auto"/>
        <w:ind w:firstLine="640"/>
        <w:textAlignment w:val="auto"/>
        <w:rPr>
          <w:rFonts w:hint="eastAsia" w:ascii="仿宋_GB2312" w:eastAsia="仿宋_GB2312"/>
          <w:kern w:val="0"/>
          <w:sz w:val="32"/>
          <w:szCs w:val="32"/>
        </w:rPr>
      </w:pPr>
      <w:r>
        <w:rPr>
          <w:rFonts w:hint="eastAsia" w:ascii="仿宋_GB2312" w:eastAsia="仿宋_GB2312"/>
          <w:kern w:val="0"/>
          <w:sz w:val="32"/>
          <w:szCs w:val="32"/>
        </w:rPr>
        <w:t>七、招标代理日常管理由市公管委负责，</w:t>
      </w:r>
      <w:r>
        <w:rPr>
          <w:rFonts w:hint="eastAsia" w:ascii="仿宋_GB2312" w:eastAsia="仿宋_GB2312"/>
          <w:kern w:val="0"/>
          <w:sz w:val="32"/>
          <w:szCs w:val="32"/>
          <w:lang w:eastAsia="zh-CN"/>
        </w:rPr>
        <w:t>管理</w:t>
      </w:r>
      <w:r>
        <w:rPr>
          <w:rFonts w:hint="eastAsia" w:ascii="仿宋_GB2312" w:eastAsia="仿宋_GB2312"/>
          <w:kern w:val="0"/>
          <w:sz w:val="32"/>
          <w:szCs w:val="32"/>
        </w:rPr>
        <w:t>周期为一个年度，</w:t>
      </w:r>
      <w:r>
        <w:rPr>
          <w:rFonts w:hint="eastAsia" w:ascii="仿宋_GB2312" w:eastAsia="仿宋_GB2312"/>
          <w:kern w:val="0"/>
          <w:sz w:val="32"/>
          <w:szCs w:val="32"/>
          <w:lang w:eastAsia="zh-CN"/>
        </w:rPr>
        <w:t>年度内</w:t>
      </w:r>
      <w:r>
        <w:rPr>
          <w:rFonts w:hint="eastAsia" w:ascii="仿宋_GB2312" w:eastAsia="仿宋_GB2312"/>
          <w:kern w:val="0"/>
          <w:sz w:val="32"/>
          <w:szCs w:val="32"/>
        </w:rPr>
        <w:t>有承接项目的初始总分为90分，无承接项目的初始总分为80分</w:t>
      </w:r>
      <w:r>
        <w:rPr>
          <w:rFonts w:hint="eastAsia" w:ascii="仿宋_GB2312" w:eastAsia="仿宋_GB2312"/>
          <w:kern w:val="0"/>
          <w:sz w:val="32"/>
          <w:szCs w:val="32"/>
          <w:lang w:eastAsia="zh-CN"/>
        </w:rPr>
        <w:t>；</w:t>
      </w:r>
      <w:r>
        <w:rPr>
          <w:rFonts w:hint="eastAsia" w:ascii="仿宋_GB2312" w:eastAsia="仿宋_GB2312"/>
          <w:kern w:val="0"/>
          <w:sz w:val="32"/>
          <w:szCs w:val="32"/>
        </w:rPr>
        <w:t>人员初始总分为20分。分值低于60分的招标代理机构或低于12分的招标代理人员，市公管委将滞留其管理手册。</w:t>
      </w:r>
    </w:p>
    <w:p>
      <w:pPr>
        <w:keepNext w:val="0"/>
        <w:keepLines w:val="0"/>
        <w:pageBreakBefore w:val="0"/>
        <w:widowControl w:val="0"/>
        <w:kinsoku/>
        <w:wordWrap/>
        <w:overflowPunct/>
        <w:topLinePunct w:val="0"/>
        <w:autoSpaceDE/>
        <w:autoSpaceDN/>
        <w:bidi w:val="0"/>
        <w:adjustRightInd/>
        <w:snapToGrid w:val="0"/>
        <w:spacing w:line="360" w:lineRule="auto"/>
        <w:ind w:firstLine="640"/>
        <w:textAlignment w:val="auto"/>
        <w:rPr>
          <w:rFonts w:hint="eastAsia" w:ascii="仿宋_GB2312" w:eastAsia="仿宋_GB2312"/>
          <w:kern w:val="0"/>
          <w:sz w:val="32"/>
          <w:szCs w:val="32"/>
          <w:lang w:eastAsia="zh-CN"/>
        </w:rPr>
      </w:pPr>
      <w:r>
        <w:rPr>
          <w:rFonts w:hint="eastAsia" w:ascii="仿宋_GB2312" w:eastAsia="仿宋_GB2312"/>
          <w:kern w:val="0"/>
          <w:sz w:val="32"/>
          <w:szCs w:val="32"/>
          <w:lang w:eastAsia="zh-CN"/>
        </w:rPr>
        <w:t>机构年度</w:t>
      </w:r>
      <w:r>
        <w:rPr>
          <w:rFonts w:hint="eastAsia" w:ascii="仿宋_GB2312" w:eastAsia="仿宋_GB2312"/>
          <w:kern w:val="0"/>
          <w:sz w:val="32"/>
          <w:szCs w:val="32"/>
        </w:rPr>
        <w:t>加分</w:t>
      </w:r>
      <w:r>
        <w:rPr>
          <w:rFonts w:hint="eastAsia" w:ascii="仿宋_GB2312" w:eastAsia="仿宋_GB2312"/>
          <w:kern w:val="0"/>
          <w:sz w:val="32"/>
          <w:szCs w:val="32"/>
          <w:lang w:eastAsia="zh-CN"/>
        </w:rPr>
        <w:t>以在</w:t>
      </w:r>
      <w:r>
        <w:rPr>
          <w:rFonts w:hint="eastAsia" w:ascii="仿宋_GB2312" w:eastAsia="仿宋_GB2312"/>
          <w:kern w:val="0"/>
          <w:sz w:val="32"/>
          <w:szCs w:val="32"/>
        </w:rPr>
        <w:t>温岭市</w:t>
      </w:r>
      <w:r>
        <w:rPr>
          <w:rFonts w:hint="eastAsia" w:ascii="仿宋_GB2312" w:eastAsia="仿宋_GB2312"/>
          <w:kern w:val="0"/>
          <w:sz w:val="32"/>
          <w:szCs w:val="32"/>
          <w:lang w:eastAsia="zh-CN"/>
        </w:rPr>
        <w:t>公共资源交易平台代理</w:t>
      </w:r>
      <w:r>
        <w:rPr>
          <w:rFonts w:hint="eastAsia" w:ascii="仿宋_GB2312" w:eastAsia="仿宋_GB2312"/>
          <w:kern w:val="0"/>
          <w:sz w:val="32"/>
          <w:szCs w:val="32"/>
        </w:rPr>
        <w:t>的项目数</w:t>
      </w:r>
      <w:r>
        <w:rPr>
          <w:rFonts w:hint="eastAsia" w:ascii="仿宋_GB2312" w:eastAsia="仿宋_GB2312"/>
          <w:kern w:val="0"/>
          <w:sz w:val="32"/>
          <w:szCs w:val="32"/>
          <w:lang w:eastAsia="zh-CN"/>
        </w:rPr>
        <w:t>为</w:t>
      </w:r>
      <w:r>
        <w:rPr>
          <w:rFonts w:hint="eastAsia" w:ascii="仿宋_GB2312" w:eastAsia="仿宋_GB2312"/>
          <w:kern w:val="0"/>
          <w:sz w:val="32"/>
          <w:szCs w:val="32"/>
        </w:rPr>
        <w:t>依据</w:t>
      </w:r>
      <w:r>
        <w:rPr>
          <w:rFonts w:hint="eastAsia" w:ascii="仿宋_GB2312" w:eastAsia="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40"/>
        <w:textAlignment w:val="auto"/>
        <w:rPr>
          <w:rFonts w:hint="eastAsia" w:ascii="仿宋_GB2312" w:eastAsia="仿宋_GB2312"/>
          <w:kern w:val="0"/>
          <w:sz w:val="32"/>
          <w:szCs w:val="32"/>
        </w:rPr>
      </w:pPr>
      <w:r>
        <w:rPr>
          <w:rFonts w:hint="eastAsia" w:ascii="仿宋_GB2312" w:eastAsia="仿宋_GB2312"/>
          <w:kern w:val="0"/>
          <w:sz w:val="32"/>
          <w:szCs w:val="32"/>
        </w:rPr>
        <w:t>（一）全年平均每季度承接工程项目个数超过10个（含10个）的，加10分；</w:t>
      </w:r>
    </w:p>
    <w:p>
      <w:pPr>
        <w:keepNext w:val="0"/>
        <w:keepLines w:val="0"/>
        <w:pageBreakBefore w:val="0"/>
        <w:widowControl w:val="0"/>
        <w:kinsoku/>
        <w:wordWrap/>
        <w:overflowPunct/>
        <w:topLinePunct w:val="0"/>
        <w:autoSpaceDE/>
        <w:autoSpaceDN/>
        <w:bidi w:val="0"/>
        <w:adjustRightInd/>
        <w:snapToGrid w:val="0"/>
        <w:spacing w:line="360" w:lineRule="auto"/>
        <w:ind w:firstLine="640"/>
        <w:textAlignment w:val="auto"/>
        <w:rPr>
          <w:rFonts w:hint="eastAsia" w:ascii="仿宋_GB2312" w:eastAsia="仿宋_GB2312"/>
          <w:kern w:val="0"/>
          <w:sz w:val="32"/>
          <w:szCs w:val="32"/>
        </w:rPr>
      </w:pPr>
      <w:r>
        <w:rPr>
          <w:rFonts w:hint="eastAsia" w:ascii="仿宋_GB2312" w:eastAsia="仿宋_GB2312"/>
          <w:kern w:val="0"/>
          <w:sz w:val="32"/>
          <w:szCs w:val="32"/>
        </w:rPr>
        <w:t>（二）全年平均每季度承接工程项目个数5—9个的，加6分；</w:t>
      </w:r>
    </w:p>
    <w:p>
      <w:pPr>
        <w:keepNext w:val="0"/>
        <w:keepLines w:val="0"/>
        <w:pageBreakBefore w:val="0"/>
        <w:widowControl w:val="0"/>
        <w:kinsoku/>
        <w:wordWrap/>
        <w:overflowPunct/>
        <w:topLinePunct w:val="0"/>
        <w:autoSpaceDE/>
        <w:autoSpaceDN/>
        <w:bidi w:val="0"/>
        <w:adjustRightInd/>
        <w:snapToGrid w:val="0"/>
        <w:spacing w:line="360" w:lineRule="auto"/>
        <w:ind w:firstLine="640"/>
        <w:textAlignment w:val="auto"/>
        <w:rPr>
          <w:rFonts w:hint="eastAsia" w:ascii="仿宋_GB2312" w:eastAsia="仿宋_GB2312"/>
          <w:kern w:val="0"/>
          <w:sz w:val="32"/>
          <w:szCs w:val="32"/>
        </w:rPr>
      </w:pPr>
      <w:r>
        <w:rPr>
          <w:rFonts w:hint="eastAsia" w:ascii="仿宋_GB2312" w:eastAsia="仿宋_GB2312"/>
          <w:kern w:val="0"/>
          <w:sz w:val="32"/>
          <w:szCs w:val="32"/>
        </w:rPr>
        <w:t>（三）全年平均每季度承接工程项目个数3—4个的，加3分；</w:t>
      </w:r>
    </w:p>
    <w:p>
      <w:pPr>
        <w:keepNext w:val="0"/>
        <w:keepLines w:val="0"/>
        <w:pageBreakBefore w:val="0"/>
        <w:widowControl w:val="0"/>
        <w:kinsoku/>
        <w:wordWrap/>
        <w:overflowPunct/>
        <w:topLinePunct w:val="0"/>
        <w:autoSpaceDE/>
        <w:autoSpaceDN/>
        <w:bidi w:val="0"/>
        <w:adjustRightInd/>
        <w:snapToGrid w:val="0"/>
        <w:spacing w:line="360" w:lineRule="auto"/>
        <w:ind w:firstLine="640"/>
        <w:textAlignment w:val="auto"/>
        <w:rPr>
          <w:rFonts w:hint="eastAsia" w:ascii="仿宋_GB2312" w:eastAsia="仿宋_GB2312"/>
          <w:kern w:val="0"/>
          <w:sz w:val="32"/>
          <w:szCs w:val="32"/>
        </w:rPr>
      </w:pPr>
      <w:r>
        <w:rPr>
          <w:rFonts w:hint="eastAsia" w:ascii="仿宋_GB2312" w:eastAsia="仿宋_GB2312"/>
          <w:kern w:val="0"/>
          <w:sz w:val="32"/>
          <w:szCs w:val="32"/>
        </w:rPr>
        <w:t>（四）全年平均每季度承接工程项目个数小于2（含2个）的，不加分。</w:t>
      </w:r>
    </w:p>
    <w:p>
      <w:pPr>
        <w:keepNext w:val="0"/>
        <w:keepLines w:val="0"/>
        <w:pageBreakBefore w:val="0"/>
        <w:widowControl w:val="0"/>
        <w:kinsoku/>
        <w:wordWrap/>
        <w:overflowPunct/>
        <w:topLinePunct w:val="0"/>
        <w:autoSpaceDE/>
        <w:autoSpaceDN/>
        <w:bidi w:val="0"/>
        <w:adjustRightInd/>
        <w:snapToGrid w:val="0"/>
        <w:spacing w:line="360" w:lineRule="auto"/>
        <w:ind w:firstLine="640"/>
        <w:textAlignment w:val="auto"/>
        <w:rPr>
          <w:rFonts w:hint="eastAsia" w:ascii="仿宋_GB2312" w:eastAsia="仿宋_GB2312"/>
          <w:kern w:val="0"/>
          <w:sz w:val="32"/>
          <w:szCs w:val="32"/>
        </w:rPr>
      </w:pPr>
      <w:r>
        <w:rPr>
          <w:rFonts w:hint="eastAsia" w:ascii="仿宋_GB2312" w:eastAsia="仿宋_GB2312"/>
          <w:kern w:val="0"/>
          <w:sz w:val="32"/>
          <w:szCs w:val="32"/>
        </w:rPr>
        <w:t xml:space="preserve">八、招标代理人员在从事工程招标代理时，有附表3情形行为的，市公管委将其记录在管理手册上，对该项目组所有人员扣除相应分值；对其所属的代理机构减半扣分处理,将其记录在管理手册上。招标代理机构或招标代理人员一次有两种以上或重复发生违法违规行为的，应当分别计算、累加扣分分值。 </w:t>
      </w:r>
    </w:p>
    <w:p>
      <w:pPr>
        <w:keepNext w:val="0"/>
        <w:keepLines w:val="0"/>
        <w:pageBreakBefore w:val="0"/>
        <w:widowControl w:val="0"/>
        <w:kinsoku/>
        <w:wordWrap/>
        <w:overflowPunct/>
        <w:topLinePunct w:val="0"/>
        <w:autoSpaceDE/>
        <w:autoSpaceDN/>
        <w:bidi w:val="0"/>
        <w:adjustRightInd/>
        <w:snapToGrid w:val="0"/>
        <w:spacing w:line="360" w:lineRule="auto"/>
        <w:ind w:firstLine="640"/>
        <w:textAlignment w:val="auto"/>
        <w:rPr>
          <w:rFonts w:hint="eastAsia" w:ascii="仿宋_GB2312" w:eastAsia="仿宋_GB2312"/>
          <w:kern w:val="0"/>
          <w:sz w:val="32"/>
          <w:szCs w:val="32"/>
        </w:rPr>
      </w:pPr>
      <w:r>
        <w:rPr>
          <w:rFonts w:hint="eastAsia" w:ascii="仿宋_GB2312" w:eastAsia="仿宋_GB2312"/>
          <w:kern w:val="0"/>
          <w:sz w:val="32"/>
          <w:szCs w:val="32"/>
        </w:rPr>
        <w:t>在代理过程中发生程序性错误或其他重大失误的，监管部门有权视情责令该代理机构或项目组自行组织招投标业务学习或培训，并滞留其管理手册一个季度及以上。</w:t>
      </w:r>
    </w:p>
    <w:p>
      <w:pPr>
        <w:keepNext w:val="0"/>
        <w:keepLines w:val="0"/>
        <w:pageBreakBefore w:val="0"/>
        <w:widowControl w:val="0"/>
        <w:kinsoku/>
        <w:wordWrap/>
        <w:overflowPunct/>
        <w:topLinePunct w:val="0"/>
        <w:autoSpaceDE/>
        <w:autoSpaceDN/>
        <w:bidi w:val="0"/>
        <w:adjustRightInd/>
        <w:snapToGrid w:val="0"/>
        <w:spacing w:line="360" w:lineRule="auto"/>
        <w:ind w:firstLine="640"/>
        <w:textAlignment w:val="auto"/>
        <w:rPr>
          <w:rFonts w:hint="eastAsia" w:ascii="仿宋_GB2312" w:eastAsia="仿宋_GB2312"/>
          <w:kern w:val="0"/>
          <w:sz w:val="32"/>
          <w:szCs w:val="32"/>
        </w:rPr>
      </w:pPr>
      <w:r>
        <w:rPr>
          <w:rFonts w:hint="eastAsia" w:ascii="仿宋_GB2312" w:eastAsia="仿宋_GB2312"/>
          <w:kern w:val="0"/>
          <w:sz w:val="32"/>
          <w:szCs w:val="32"/>
        </w:rPr>
        <w:t>各招标代理机构、招标代理人员的</w:t>
      </w:r>
      <w:r>
        <w:rPr>
          <w:rFonts w:hint="eastAsia" w:ascii="仿宋_GB2312" w:eastAsia="仿宋_GB2312"/>
          <w:kern w:val="0"/>
          <w:sz w:val="32"/>
          <w:szCs w:val="32"/>
          <w:lang w:eastAsia="zh-CN"/>
        </w:rPr>
        <w:t>日常管理情况</w:t>
      </w:r>
      <w:r>
        <w:rPr>
          <w:rFonts w:hint="eastAsia" w:ascii="仿宋_GB2312" w:eastAsia="仿宋_GB2312"/>
          <w:kern w:val="0"/>
          <w:sz w:val="32"/>
          <w:szCs w:val="32"/>
        </w:rPr>
        <w:t>，在温岭市公共资源交易中心网站上公</w:t>
      </w:r>
      <w:r>
        <w:rPr>
          <w:rFonts w:hint="eastAsia" w:ascii="仿宋_GB2312" w:eastAsia="仿宋_GB2312"/>
          <w:kern w:val="0"/>
          <w:sz w:val="32"/>
          <w:szCs w:val="32"/>
          <w:lang w:eastAsia="zh-CN"/>
        </w:rPr>
        <w:t>布</w:t>
      </w:r>
      <w:r>
        <w:rPr>
          <w:rFonts w:hint="eastAsia" w:ascii="仿宋_GB2312" w:eastAsia="仿宋_GB2312"/>
          <w:kern w:val="0"/>
          <w:sz w:val="32"/>
          <w:szCs w:val="32"/>
        </w:rPr>
        <w:t>。</w:t>
      </w:r>
    </w:p>
    <w:p>
      <w:pPr>
        <w:keepNext w:val="0"/>
        <w:keepLines w:val="0"/>
        <w:pageBreakBefore w:val="0"/>
        <w:widowControl w:val="0"/>
        <w:kinsoku/>
        <w:wordWrap/>
        <w:overflowPunct/>
        <w:topLinePunct w:val="0"/>
        <w:autoSpaceDE/>
        <w:autoSpaceDN/>
        <w:bidi w:val="0"/>
        <w:adjustRightInd/>
        <w:snapToGrid w:val="0"/>
        <w:spacing w:line="360" w:lineRule="auto"/>
        <w:ind w:firstLine="640"/>
        <w:textAlignment w:val="auto"/>
        <w:rPr>
          <w:rFonts w:hint="eastAsia" w:ascii="仿宋_GB2312" w:eastAsia="仿宋_GB2312"/>
          <w:kern w:val="0"/>
          <w:sz w:val="32"/>
          <w:szCs w:val="32"/>
        </w:rPr>
      </w:pPr>
      <w:r>
        <w:rPr>
          <w:rFonts w:hint="eastAsia" w:ascii="仿宋_GB2312" w:eastAsia="仿宋_GB2312"/>
          <w:kern w:val="0"/>
          <w:sz w:val="32"/>
          <w:szCs w:val="32"/>
          <w:lang w:eastAsia="zh-CN"/>
        </w:rPr>
        <w:t>九</w:t>
      </w:r>
      <w:r>
        <w:rPr>
          <w:rFonts w:hint="eastAsia" w:ascii="仿宋_GB2312" w:eastAsia="仿宋_GB2312"/>
          <w:kern w:val="0"/>
          <w:sz w:val="32"/>
          <w:szCs w:val="32"/>
        </w:rPr>
        <w:t>、招标代理机构泄露应当保密的与招标投标活动有关的情况和资料，或者与招标人、投标人串通损害国家利益、社会公共利益及他人合法权益等，造成异议、投诉或不良社会影响情节严重的，应当予以清退。</w:t>
      </w:r>
    </w:p>
    <w:p>
      <w:pPr>
        <w:keepNext w:val="0"/>
        <w:keepLines w:val="0"/>
        <w:pageBreakBefore w:val="0"/>
        <w:widowControl w:val="0"/>
        <w:kinsoku/>
        <w:wordWrap/>
        <w:overflowPunct/>
        <w:topLinePunct w:val="0"/>
        <w:autoSpaceDE/>
        <w:autoSpaceDN/>
        <w:bidi w:val="0"/>
        <w:adjustRightInd/>
        <w:snapToGrid w:val="0"/>
        <w:spacing w:line="360" w:lineRule="auto"/>
        <w:ind w:firstLine="640"/>
        <w:textAlignment w:val="auto"/>
        <w:rPr>
          <w:rFonts w:hint="eastAsia" w:ascii="仿宋_GB2312" w:eastAsia="仿宋_GB2312"/>
          <w:kern w:val="0"/>
          <w:sz w:val="32"/>
          <w:szCs w:val="32"/>
          <w:lang w:eastAsia="zh-CN"/>
        </w:rPr>
      </w:pPr>
      <w:r>
        <w:rPr>
          <w:rFonts w:hint="eastAsia" w:ascii="仿宋_GB2312" w:eastAsia="仿宋_GB2312"/>
          <w:kern w:val="0"/>
          <w:sz w:val="32"/>
          <w:szCs w:val="32"/>
        </w:rPr>
        <w:t>十、招标代理机构的管理纳入温岭市中介机构信用评价体系。</w:t>
      </w:r>
      <w:r>
        <w:rPr>
          <w:rFonts w:hint="eastAsia" w:ascii="仿宋_GB2312" w:eastAsia="仿宋_GB2312"/>
          <w:kern w:val="0"/>
          <w:sz w:val="32"/>
          <w:szCs w:val="32"/>
          <w:lang w:eastAsia="zh-CN"/>
        </w:rPr>
        <w:t>信用评价以年度</w:t>
      </w:r>
      <w:bookmarkStart w:id="0" w:name="_GoBack"/>
      <w:bookmarkEnd w:id="0"/>
      <w:r>
        <w:rPr>
          <w:rFonts w:hint="eastAsia" w:ascii="仿宋_GB2312" w:eastAsia="仿宋_GB2312"/>
          <w:kern w:val="0"/>
          <w:sz w:val="32"/>
          <w:szCs w:val="32"/>
          <w:lang w:eastAsia="zh-CN"/>
        </w:rPr>
        <w:t>日常管理分为依据，综合考虑各代理机构在温岭市区域内的执业情况进行评定。</w:t>
      </w:r>
    </w:p>
    <w:p>
      <w:pPr>
        <w:keepNext w:val="0"/>
        <w:keepLines w:val="0"/>
        <w:pageBreakBefore w:val="0"/>
        <w:widowControl w:val="0"/>
        <w:kinsoku/>
        <w:wordWrap/>
        <w:overflowPunct/>
        <w:topLinePunct w:val="0"/>
        <w:autoSpaceDE/>
        <w:autoSpaceDN/>
        <w:bidi w:val="0"/>
        <w:adjustRightInd/>
        <w:snapToGrid w:val="0"/>
        <w:spacing w:line="360" w:lineRule="auto"/>
        <w:ind w:firstLine="640"/>
        <w:textAlignment w:val="auto"/>
        <w:rPr>
          <w:rFonts w:hint="eastAsia" w:ascii="仿宋_GB2312" w:eastAsia="仿宋_GB2312"/>
          <w:kern w:val="0"/>
          <w:sz w:val="32"/>
          <w:szCs w:val="32"/>
          <w:lang w:val="en-US" w:eastAsia="zh-CN"/>
        </w:rPr>
      </w:pPr>
      <w:r>
        <w:rPr>
          <w:rFonts w:hint="eastAsia" w:ascii="仿宋_GB2312" w:eastAsia="仿宋_GB2312"/>
          <w:kern w:val="0"/>
          <w:sz w:val="32"/>
          <w:szCs w:val="32"/>
          <w:lang w:eastAsia="zh-CN"/>
        </w:rPr>
        <w:t>十一、奖惩规定：年度日常管理分在</w:t>
      </w:r>
      <w:r>
        <w:rPr>
          <w:rFonts w:hint="eastAsia" w:ascii="仿宋_GB2312" w:eastAsia="仿宋_GB2312"/>
          <w:kern w:val="0"/>
          <w:sz w:val="32"/>
          <w:szCs w:val="32"/>
          <w:lang w:val="en-US" w:eastAsia="zh-CN"/>
        </w:rPr>
        <w:t>90分（不含）以上的代理机构，按分值排名，从下一年度开始，第一名增加6个项目，第二名增加4个项目，第三名增加2个项目，其余机构各增加1个项目，奖励项目在年度项目组登记时，由机构自行填报。代理人员一个年度内分值低于12分的，该人员所在项目组下一年度承接业务不超过2个。</w:t>
      </w:r>
    </w:p>
    <w:p>
      <w:pPr>
        <w:keepNext w:val="0"/>
        <w:keepLines w:val="0"/>
        <w:pageBreakBefore w:val="0"/>
        <w:widowControl w:val="0"/>
        <w:kinsoku/>
        <w:wordWrap/>
        <w:overflowPunct/>
        <w:topLinePunct w:val="0"/>
        <w:autoSpaceDE/>
        <w:autoSpaceDN/>
        <w:bidi w:val="0"/>
        <w:adjustRightInd/>
        <w:snapToGrid w:val="0"/>
        <w:spacing w:line="360" w:lineRule="auto"/>
        <w:ind w:firstLine="640"/>
        <w:textAlignment w:val="auto"/>
        <w:rPr>
          <w:rFonts w:hint="default" w:ascii="仿宋_GB2312" w:eastAsia="仿宋_GB2312"/>
          <w:kern w:val="0"/>
          <w:sz w:val="32"/>
          <w:szCs w:val="32"/>
          <w:lang w:val="en-US" w:eastAsia="zh-CN"/>
        </w:rPr>
      </w:pPr>
      <w:r>
        <w:rPr>
          <w:rFonts w:hint="eastAsia" w:ascii="仿宋_GB2312" w:eastAsia="仿宋_GB2312"/>
          <w:kern w:val="0"/>
          <w:sz w:val="32"/>
          <w:szCs w:val="32"/>
          <w:lang w:val="en-US" w:eastAsia="zh-CN"/>
        </w:rPr>
        <w:t>十二、本办法自2022年1月1日起实行。</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kern w:val="0"/>
          <w:sz w:val="32"/>
          <w:szCs w:val="32"/>
        </w:rPr>
      </w:pPr>
      <w:r>
        <w:rPr>
          <w:rFonts w:hint="eastAsia" w:ascii="仿宋_GB2312" w:eastAsia="仿宋_GB2312"/>
          <w:kern w:val="0"/>
          <w:sz w:val="32"/>
          <w:szCs w:val="32"/>
        </w:rPr>
        <w:t xml:space="preserve">    附表：1.温岭市招标代理机构</w:t>
      </w:r>
      <w:r>
        <w:rPr>
          <w:rFonts w:hint="eastAsia" w:ascii="仿宋_GB2312" w:eastAsia="仿宋_GB2312"/>
          <w:kern w:val="0"/>
          <w:sz w:val="32"/>
          <w:szCs w:val="32"/>
          <w:lang w:eastAsia="zh-CN"/>
        </w:rPr>
        <w:t>情况</w:t>
      </w:r>
      <w:r>
        <w:rPr>
          <w:rFonts w:hint="eastAsia" w:ascii="仿宋_GB2312" w:eastAsia="仿宋_GB2312"/>
          <w:kern w:val="0"/>
          <w:sz w:val="32"/>
          <w:szCs w:val="32"/>
        </w:rPr>
        <w:t>表</w:t>
      </w:r>
    </w:p>
    <w:p>
      <w:pPr>
        <w:keepNext w:val="0"/>
        <w:keepLines w:val="0"/>
        <w:pageBreakBefore w:val="0"/>
        <w:widowControl w:val="0"/>
        <w:kinsoku/>
        <w:wordWrap/>
        <w:overflowPunct/>
        <w:topLinePunct w:val="0"/>
        <w:autoSpaceDE/>
        <w:autoSpaceDN/>
        <w:bidi w:val="0"/>
        <w:adjustRightInd/>
        <w:snapToGrid w:val="0"/>
        <w:spacing w:line="360" w:lineRule="auto"/>
        <w:ind w:firstLine="1600" w:firstLineChars="500"/>
        <w:textAlignment w:val="auto"/>
        <w:rPr>
          <w:rFonts w:hint="eastAsia" w:ascii="仿宋_GB2312" w:eastAsia="仿宋_GB2312"/>
          <w:kern w:val="0"/>
          <w:sz w:val="32"/>
          <w:szCs w:val="32"/>
        </w:rPr>
      </w:pPr>
      <w:r>
        <w:rPr>
          <w:rFonts w:hint="eastAsia" w:ascii="仿宋_GB2312" w:eastAsia="仿宋_GB2312"/>
          <w:kern w:val="0"/>
          <w:sz w:val="32"/>
          <w:szCs w:val="32"/>
        </w:rPr>
        <w:t>2.温岭市招标代理人员</w:t>
      </w:r>
      <w:r>
        <w:rPr>
          <w:rFonts w:hint="eastAsia" w:ascii="仿宋_GB2312" w:eastAsia="仿宋_GB2312"/>
          <w:kern w:val="0"/>
          <w:sz w:val="32"/>
          <w:szCs w:val="32"/>
          <w:lang w:eastAsia="zh-CN"/>
        </w:rPr>
        <w:t>情况</w:t>
      </w:r>
      <w:r>
        <w:rPr>
          <w:rFonts w:hint="eastAsia" w:ascii="仿宋_GB2312" w:eastAsia="仿宋_GB2312"/>
          <w:kern w:val="0"/>
          <w:sz w:val="32"/>
          <w:szCs w:val="32"/>
        </w:rPr>
        <w:t>表</w:t>
      </w:r>
    </w:p>
    <w:p>
      <w:pPr>
        <w:keepNext w:val="0"/>
        <w:keepLines w:val="0"/>
        <w:pageBreakBefore w:val="0"/>
        <w:widowControl w:val="0"/>
        <w:kinsoku/>
        <w:wordWrap/>
        <w:overflowPunct/>
        <w:topLinePunct w:val="0"/>
        <w:autoSpaceDE/>
        <w:autoSpaceDN/>
        <w:bidi w:val="0"/>
        <w:adjustRightInd/>
        <w:snapToGrid w:val="0"/>
        <w:spacing w:line="360" w:lineRule="auto"/>
        <w:ind w:firstLine="1600" w:firstLineChars="500"/>
        <w:textAlignment w:val="auto"/>
        <w:rPr>
          <w:rFonts w:hint="eastAsia" w:ascii="仿宋_GB2312" w:eastAsia="仿宋_GB2312"/>
          <w:kern w:val="0"/>
          <w:sz w:val="32"/>
          <w:szCs w:val="32"/>
        </w:rPr>
      </w:pPr>
      <w:r>
        <w:rPr>
          <w:rFonts w:hint="eastAsia" w:ascii="仿宋_GB2312" w:eastAsia="仿宋_GB2312"/>
          <w:kern w:val="0"/>
          <w:sz w:val="32"/>
          <w:szCs w:val="32"/>
        </w:rPr>
        <w:t>3.温岭市招标代理人员扣分对照表</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kern w:val="0"/>
          <w:sz w:val="32"/>
          <w:szCs w:val="32"/>
        </w:rPr>
      </w:pPr>
      <w:r>
        <w:rPr>
          <w:rFonts w:hint="eastAsia" w:ascii="仿宋_GB2312" w:eastAsia="仿宋_GB2312"/>
          <w:kern w:val="0"/>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eastAsia="仿宋_GB2312"/>
          <w:kern w:val="0"/>
          <w:sz w:val="32"/>
          <w:szCs w:val="32"/>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eastAsia="仿宋_GB2312"/>
          <w:kern w:val="0"/>
          <w:sz w:val="32"/>
          <w:szCs w:val="32"/>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eastAsia="仿宋_GB2312"/>
          <w:kern w:val="0"/>
          <w:sz w:val="32"/>
          <w:szCs w:val="32"/>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eastAsia="仿宋_GB2312"/>
          <w:kern w:val="0"/>
          <w:sz w:val="32"/>
          <w:szCs w:val="32"/>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eastAsia="仿宋_GB2312"/>
          <w:kern w:val="0"/>
          <w:sz w:val="32"/>
          <w:szCs w:val="32"/>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eastAsia="仿宋_GB2312"/>
          <w:kern w:val="0"/>
          <w:sz w:val="32"/>
          <w:szCs w:val="32"/>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eastAsia="仿宋_GB2312"/>
          <w:kern w:val="0"/>
          <w:sz w:val="32"/>
          <w:szCs w:val="32"/>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eastAsia="仿宋_GB2312"/>
          <w:kern w:val="0"/>
          <w:sz w:val="32"/>
          <w:szCs w:val="32"/>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eastAsia="仿宋_GB2312"/>
          <w:kern w:val="0"/>
          <w:sz w:val="32"/>
          <w:szCs w:val="32"/>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eastAsia="仿宋_GB2312"/>
          <w:kern w:val="0"/>
          <w:sz w:val="32"/>
          <w:szCs w:val="32"/>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eastAsia="仿宋_GB2312"/>
          <w:kern w:val="0"/>
          <w:sz w:val="32"/>
          <w:szCs w:val="32"/>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eastAsia="仿宋_GB2312"/>
          <w:kern w:val="0"/>
          <w:sz w:val="32"/>
          <w:szCs w:val="32"/>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eastAsia="仿宋_GB2312"/>
          <w:kern w:val="0"/>
          <w:sz w:val="32"/>
          <w:szCs w:val="32"/>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eastAsia="仿宋_GB2312"/>
          <w:kern w:val="0"/>
          <w:sz w:val="32"/>
          <w:szCs w:val="32"/>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eastAsia="仿宋_GB2312"/>
          <w:kern w:val="0"/>
          <w:sz w:val="32"/>
          <w:szCs w:val="32"/>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eastAsia="仿宋_GB2312"/>
          <w:kern w:val="0"/>
          <w:sz w:val="32"/>
          <w:szCs w:val="32"/>
        </w:rPr>
      </w:pPr>
      <w:r>
        <w:rPr>
          <w:rFonts w:hint="eastAsia" w:ascii="仿宋_GB2312" w:eastAsia="仿宋_GB2312"/>
          <w:kern w:val="0"/>
          <w:sz w:val="32"/>
          <w:szCs w:val="32"/>
        </w:rPr>
        <w:t>附表1：</w:t>
      </w:r>
    </w:p>
    <w:p>
      <w:pPr>
        <w:snapToGrid w:val="0"/>
        <w:spacing w:line="600" w:lineRule="exact"/>
        <w:jc w:val="center"/>
        <w:rPr>
          <w:rFonts w:hint="eastAsia" w:ascii="华文中宋" w:hAnsi="华文中宋" w:eastAsia="华文中宋"/>
          <w:kern w:val="0"/>
          <w:sz w:val="40"/>
          <w:szCs w:val="40"/>
        </w:rPr>
      </w:pPr>
      <w:r>
        <w:rPr>
          <w:rFonts w:hint="eastAsia" w:ascii="华文中宋" w:hAnsi="华文中宋" w:eastAsia="华文中宋"/>
          <w:kern w:val="0"/>
          <w:sz w:val="40"/>
          <w:szCs w:val="40"/>
        </w:rPr>
        <w:t>温岭市招标代理机构</w:t>
      </w:r>
      <w:r>
        <w:rPr>
          <w:rFonts w:hint="eastAsia" w:ascii="华文中宋" w:hAnsi="华文中宋" w:eastAsia="华文中宋"/>
          <w:kern w:val="0"/>
          <w:sz w:val="40"/>
          <w:szCs w:val="40"/>
          <w:lang w:eastAsia="zh-CN"/>
        </w:rPr>
        <w:t>情况</w:t>
      </w:r>
      <w:r>
        <w:rPr>
          <w:rFonts w:hint="eastAsia" w:ascii="华文中宋" w:hAnsi="华文中宋" w:eastAsia="华文中宋"/>
          <w:kern w:val="0"/>
          <w:sz w:val="40"/>
          <w:szCs w:val="40"/>
        </w:rPr>
        <w:t>表</w:t>
      </w:r>
    </w:p>
    <w:p>
      <w:pPr>
        <w:snapToGrid w:val="0"/>
        <w:spacing w:line="600" w:lineRule="exact"/>
        <w:jc w:val="center"/>
        <w:rPr>
          <w:rFonts w:hint="eastAsia" w:ascii="仿宋_GB2312" w:eastAsia="仿宋_GB2312"/>
          <w:kern w:val="0"/>
          <w:sz w:val="10"/>
          <w:szCs w:val="10"/>
        </w:rPr>
      </w:pPr>
      <w:r>
        <w:rPr>
          <w:rFonts w:hint="eastAsia" w:ascii="仿宋_GB2312" w:eastAsia="仿宋_GB2312"/>
          <w:kern w:val="0"/>
          <w:sz w:val="10"/>
          <w:szCs w:val="10"/>
        </w:rPr>
        <w:t xml:space="preserve"> </w:t>
      </w:r>
    </w:p>
    <w:tbl>
      <w:tblPr>
        <w:tblStyle w:val="2"/>
        <w:tblW w:w="8944" w:type="dxa"/>
        <w:jc w:val="center"/>
        <w:tblInd w:w="0" w:type="dxa"/>
        <w:tblLayout w:type="fixed"/>
        <w:tblCellMar>
          <w:top w:w="0" w:type="dxa"/>
          <w:left w:w="108" w:type="dxa"/>
          <w:bottom w:w="0" w:type="dxa"/>
          <w:right w:w="108" w:type="dxa"/>
        </w:tblCellMar>
      </w:tblPr>
      <w:tblGrid>
        <w:gridCol w:w="880"/>
        <w:gridCol w:w="1693"/>
        <w:gridCol w:w="2027"/>
        <w:gridCol w:w="1605"/>
        <w:gridCol w:w="538"/>
        <w:gridCol w:w="2201"/>
      </w:tblGrid>
      <w:tr>
        <w:tblPrEx>
          <w:tblLayout w:type="fixed"/>
          <w:tblCellMar>
            <w:top w:w="0" w:type="dxa"/>
            <w:left w:w="108" w:type="dxa"/>
            <w:bottom w:w="0" w:type="dxa"/>
            <w:right w:w="108" w:type="dxa"/>
          </w:tblCellMar>
        </w:tblPrEx>
        <w:trPr>
          <w:trHeight w:val="740" w:hRule="atLeast"/>
          <w:jc w:val="center"/>
        </w:trPr>
        <w:tc>
          <w:tcPr>
            <w:tcW w:w="2573" w:type="dxa"/>
            <w:gridSpan w:val="2"/>
            <w:tcBorders>
              <w:top w:val="single" w:color="000000" w:sz="8" w:space="0"/>
              <w:left w:val="single" w:color="000000" w:sz="8" w:space="0"/>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r>
              <w:rPr>
                <w:rFonts w:hint="eastAsia" w:ascii="仿宋_GB2312" w:eastAsia="仿宋_GB2312"/>
                <w:kern w:val="0"/>
                <w:sz w:val="28"/>
                <w:szCs w:val="28"/>
              </w:rPr>
              <w:t>代理机构名称</w:t>
            </w:r>
          </w:p>
        </w:tc>
        <w:tc>
          <w:tcPr>
            <w:tcW w:w="6371" w:type="dxa"/>
            <w:gridSpan w:val="4"/>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p>
        </w:tc>
      </w:tr>
      <w:tr>
        <w:tblPrEx>
          <w:tblLayout w:type="fixed"/>
          <w:tblCellMar>
            <w:top w:w="0" w:type="dxa"/>
            <w:left w:w="108" w:type="dxa"/>
            <w:bottom w:w="0" w:type="dxa"/>
            <w:right w:w="108" w:type="dxa"/>
          </w:tblCellMar>
        </w:tblPrEx>
        <w:trPr>
          <w:trHeight w:val="700" w:hRule="atLeast"/>
          <w:jc w:val="center"/>
        </w:trPr>
        <w:tc>
          <w:tcPr>
            <w:tcW w:w="2573" w:type="dxa"/>
            <w:gridSpan w:val="2"/>
            <w:tcBorders>
              <w:top w:val="single" w:color="000000" w:sz="8" w:space="0"/>
              <w:left w:val="single" w:color="000000" w:sz="8" w:space="0"/>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r>
              <w:rPr>
                <w:rFonts w:hint="eastAsia" w:ascii="仿宋_GB2312" w:eastAsia="仿宋_GB2312"/>
                <w:kern w:val="0"/>
                <w:sz w:val="28"/>
                <w:szCs w:val="28"/>
              </w:rPr>
              <w:t>注册地址</w:t>
            </w:r>
          </w:p>
        </w:tc>
        <w:tc>
          <w:tcPr>
            <w:tcW w:w="6371" w:type="dxa"/>
            <w:gridSpan w:val="4"/>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p>
        </w:tc>
      </w:tr>
      <w:tr>
        <w:tblPrEx>
          <w:tblLayout w:type="fixed"/>
          <w:tblCellMar>
            <w:top w:w="0" w:type="dxa"/>
            <w:left w:w="108" w:type="dxa"/>
            <w:bottom w:w="0" w:type="dxa"/>
            <w:right w:w="108" w:type="dxa"/>
          </w:tblCellMar>
        </w:tblPrEx>
        <w:trPr>
          <w:trHeight w:val="670" w:hRule="atLeast"/>
          <w:jc w:val="center"/>
        </w:trPr>
        <w:tc>
          <w:tcPr>
            <w:tcW w:w="2573" w:type="dxa"/>
            <w:gridSpan w:val="2"/>
            <w:tcBorders>
              <w:top w:val="single" w:color="000000" w:sz="8" w:space="0"/>
              <w:left w:val="single" w:color="000000" w:sz="8" w:space="0"/>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r>
              <w:rPr>
                <w:rFonts w:hint="eastAsia" w:ascii="仿宋_GB2312" w:eastAsia="仿宋_GB2312"/>
                <w:kern w:val="0"/>
                <w:sz w:val="28"/>
                <w:szCs w:val="28"/>
              </w:rPr>
              <w:t>建立时间</w:t>
            </w:r>
          </w:p>
        </w:tc>
        <w:tc>
          <w:tcPr>
            <w:tcW w:w="6371" w:type="dxa"/>
            <w:gridSpan w:val="4"/>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p>
        </w:tc>
      </w:tr>
      <w:tr>
        <w:tblPrEx>
          <w:tblLayout w:type="fixed"/>
          <w:tblCellMar>
            <w:top w:w="0" w:type="dxa"/>
            <w:left w:w="108" w:type="dxa"/>
            <w:bottom w:w="0" w:type="dxa"/>
            <w:right w:w="108" w:type="dxa"/>
          </w:tblCellMar>
        </w:tblPrEx>
        <w:trPr>
          <w:trHeight w:val="710" w:hRule="atLeast"/>
          <w:jc w:val="center"/>
        </w:trPr>
        <w:tc>
          <w:tcPr>
            <w:tcW w:w="2573" w:type="dxa"/>
            <w:gridSpan w:val="2"/>
            <w:tcBorders>
              <w:top w:val="single" w:color="000000" w:sz="8" w:space="0"/>
              <w:left w:val="single" w:color="000000" w:sz="8" w:space="0"/>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lang w:eastAsia="zh-CN"/>
              </w:rPr>
            </w:pPr>
            <w:r>
              <w:rPr>
                <w:rFonts w:hint="eastAsia" w:ascii="仿宋_GB2312" w:eastAsia="仿宋_GB2312"/>
                <w:kern w:val="0"/>
                <w:sz w:val="28"/>
                <w:szCs w:val="28"/>
                <w:lang w:eastAsia="zh-CN"/>
              </w:rPr>
              <w:t>统一社会信用代码</w:t>
            </w:r>
          </w:p>
        </w:tc>
        <w:tc>
          <w:tcPr>
            <w:tcW w:w="6371" w:type="dxa"/>
            <w:gridSpan w:val="4"/>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p>
        </w:tc>
      </w:tr>
      <w:tr>
        <w:tblPrEx>
          <w:tblLayout w:type="fixed"/>
          <w:tblCellMar>
            <w:top w:w="0" w:type="dxa"/>
            <w:left w:w="108" w:type="dxa"/>
            <w:bottom w:w="0" w:type="dxa"/>
            <w:right w:w="108" w:type="dxa"/>
          </w:tblCellMar>
        </w:tblPrEx>
        <w:trPr>
          <w:trHeight w:val="725" w:hRule="atLeast"/>
          <w:jc w:val="center"/>
        </w:trPr>
        <w:tc>
          <w:tcPr>
            <w:tcW w:w="2573" w:type="dxa"/>
            <w:gridSpan w:val="2"/>
            <w:tcBorders>
              <w:top w:val="single" w:color="000000" w:sz="8" w:space="0"/>
              <w:left w:val="single" w:color="000000" w:sz="8" w:space="0"/>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r>
              <w:rPr>
                <w:rFonts w:hint="eastAsia" w:ascii="仿宋_GB2312" w:eastAsia="仿宋_GB2312"/>
                <w:kern w:val="0"/>
                <w:sz w:val="28"/>
                <w:szCs w:val="28"/>
              </w:rPr>
              <w:t>法定代表人</w:t>
            </w:r>
          </w:p>
        </w:tc>
        <w:tc>
          <w:tcPr>
            <w:tcW w:w="2027" w:type="dxa"/>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p>
        </w:tc>
        <w:tc>
          <w:tcPr>
            <w:tcW w:w="1605" w:type="dxa"/>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lang w:eastAsia="zh-CN"/>
              </w:rPr>
            </w:pPr>
            <w:r>
              <w:rPr>
                <w:rFonts w:hint="eastAsia" w:ascii="仿宋_GB2312" w:eastAsia="仿宋_GB2312"/>
                <w:kern w:val="0"/>
                <w:sz w:val="28"/>
                <w:szCs w:val="28"/>
                <w:lang w:eastAsia="zh-CN"/>
              </w:rPr>
              <w:t>联系电话</w:t>
            </w:r>
          </w:p>
        </w:tc>
        <w:tc>
          <w:tcPr>
            <w:tcW w:w="2739" w:type="dxa"/>
            <w:gridSpan w:val="2"/>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p>
        </w:tc>
      </w:tr>
      <w:tr>
        <w:tblPrEx>
          <w:tblLayout w:type="fixed"/>
          <w:tblCellMar>
            <w:top w:w="0" w:type="dxa"/>
            <w:left w:w="108" w:type="dxa"/>
            <w:bottom w:w="0" w:type="dxa"/>
            <w:right w:w="108" w:type="dxa"/>
          </w:tblCellMar>
        </w:tblPrEx>
        <w:trPr>
          <w:trHeight w:val="715" w:hRule="atLeast"/>
          <w:jc w:val="center"/>
        </w:trPr>
        <w:tc>
          <w:tcPr>
            <w:tcW w:w="2573" w:type="dxa"/>
            <w:gridSpan w:val="2"/>
            <w:tcBorders>
              <w:top w:val="single" w:color="000000" w:sz="8" w:space="0"/>
              <w:left w:val="single" w:color="000000" w:sz="8" w:space="0"/>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r>
              <w:rPr>
                <w:rFonts w:hint="eastAsia" w:ascii="仿宋_GB2312" w:eastAsia="仿宋_GB2312"/>
                <w:kern w:val="0"/>
                <w:sz w:val="28"/>
                <w:szCs w:val="28"/>
              </w:rPr>
              <w:t>驻温地址</w:t>
            </w:r>
          </w:p>
        </w:tc>
        <w:tc>
          <w:tcPr>
            <w:tcW w:w="6371" w:type="dxa"/>
            <w:gridSpan w:val="4"/>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p>
        </w:tc>
      </w:tr>
      <w:tr>
        <w:tblPrEx>
          <w:tblLayout w:type="fixed"/>
          <w:tblCellMar>
            <w:top w:w="0" w:type="dxa"/>
            <w:left w:w="108" w:type="dxa"/>
            <w:bottom w:w="0" w:type="dxa"/>
            <w:right w:w="108" w:type="dxa"/>
          </w:tblCellMar>
        </w:tblPrEx>
        <w:trPr>
          <w:trHeight w:val="785" w:hRule="atLeast"/>
          <w:jc w:val="center"/>
        </w:trPr>
        <w:tc>
          <w:tcPr>
            <w:tcW w:w="2573" w:type="dxa"/>
            <w:gridSpan w:val="2"/>
            <w:tcBorders>
              <w:top w:val="single" w:color="000000" w:sz="8" w:space="0"/>
              <w:left w:val="single" w:color="000000" w:sz="8" w:space="0"/>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r>
              <w:rPr>
                <w:rFonts w:hint="eastAsia" w:ascii="仿宋_GB2312" w:eastAsia="仿宋_GB2312"/>
                <w:kern w:val="0"/>
                <w:sz w:val="28"/>
                <w:szCs w:val="28"/>
              </w:rPr>
              <w:t>驻温负责人</w:t>
            </w:r>
          </w:p>
        </w:tc>
        <w:tc>
          <w:tcPr>
            <w:tcW w:w="2027" w:type="dxa"/>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p>
        </w:tc>
        <w:tc>
          <w:tcPr>
            <w:tcW w:w="2143" w:type="dxa"/>
            <w:gridSpan w:val="2"/>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r>
              <w:rPr>
                <w:rFonts w:hint="eastAsia" w:ascii="仿宋_GB2312" w:eastAsia="仿宋_GB2312"/>
                <w:kern w:val="0"/>
                <w:sz w:val="28"/>
                <w:szCs w:val="28"/>
              </w:rPr>
              <w:t>联系电话</w:t>
            </w:r>
          </w:p>
        </w:tc>
        <w:tc>
          <w:tcPr>
            <w:tcW w:w="2201" w:type="dxa"/>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p>
        </w:tc>
      </w:tr>
      <w:tr>
        <w:tblPrEx>
          <w:tblLayout w:type="fixed"/>
          <w:tblCellMar>
            <w:top w:w="0" w:type="dxa"/>
            <w:left w:w="108" w:type="dxa"/>
            <w:bottom w:w="0" w:type="dxa"/>
            <w:right w:w="108" w:type="dxa"/>
          </w:tblCellMar>
        </w:tblPrEx>
        <w:trPr>
          <w:trHeight w:val="645" w:hRule="atLeast"/>
          <w:jc w:val="center"/>
        </w:trPr>
        <w:tc>
          <w:tcPr>
            <w:tcW w:w="880" w:type="dxa"/>
            <w:vMerge w:val="restart"/>
            <w:tcBorders>
              <w:top w:val="nil"/>
              <w:left w:val="single" w:color="000000" w:sz="8" w:space="0"/>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r>
              <w:rPr>
                <w:rFonts w:hint="eastAsia" w:ascii="仿宋_GB2312" w:eastAsia="仿宋_GB2312"/>
                <w:kern w:val="0"/>
                <w:sz w:val="28"/>
                <w:szCs w:val="28"/>
              </w:rPr>
              <w:t>主</w:t>
            </w:r>
          </w:p>
          <w:p>
            <w:pPr>
              <w:snapToGrid w:val="0"/>
              <w:spacing w:line="600" w:lineRule="exact"/>
              <w:jc w:val="center"/>
              <w:rPr>
                <w:rFonts w:hint="eastAsia" w:ascii="仿宋_GB2312" w:eastAsia="仿宋_GB2312"/>
                <w:kern w:val="0"/>
                <w:sz w:val="28"/>
                <w:szCs w:val="28"/>
              </w:rPr>
            </w:pPr>
            <w:r>
              <w:rPr>
                <w:rFonts w:hint="eastAsia" w:ascii="仿宋_GB2312" w:eastAsia="仿宋_GB2312"/>
                <w:kern w:val="0"/>
                <w:sz w:val="28"/>
                <w:szCs w:val="28"/>
              </w:rPr>
              <w:t>要</w:t>
            </w:r>
          </w:p>
          <w:p>
            <w:pPr>
              <w:snapToGrid w:val="0"/>
              <w:spacing w:line="600" w:lineRule="exact"/>
              <w:jc w:val="center"/>
              <w:rPr>
                <w:rFonts w:hint="eastAsia" w:ascii="仿宋_GB2312" w:eastAsia="仿宋_GB2312"/>
                <w:kern w:val="0"/>
                <w:sz w:val="28"/>
                <w:szCs w:val="28"/>
              </w:rPr>
            </w:pPr>
            <w:r>
              <w:rPr>
                <w:rFonts w:hint="eastAsia" w:ascii="仿宋_GB2312" w:eastAsia="仿宋_GB2312"/>
                <w:kern w:val="0"/>
                <w:sz w:val="28"/>
                <w:szCs w:val="28"/>
              </w:rPr>
              <w:t>业</w:t>
            </w:r>
          </w:p>
          <w:p>
            <w:pPr>
              <w:snapToGrid w:val="0"/>
              <w:spacing w:line="600" w:lineRule="exact"/>
              <w:jc w:val="center"/>
              <w:rPr>
                <w:rFonts w:hint="eastAsia" w:ascii="仿宋_GB2312" w:eastAsia="仿宋_GB2312"/>
                <w:kern w:val="0"/>
                <w:sz w:val="28"/>
                <w:szCs w:val="28"/>
              </w:rPr>
            </w:pPr>
            <w:r>
              <w:rPr>
                <w:rFonts w:hint="eastAsia" w:ascii="仿宋_GB2312" w:eastAsia="仿宋_GB2312"/>
                <w:kern w:val="0"/>
                <w:sz w:val="28"/>
                <w:szCs w:val="28"/>
              </w:rPr>
              <w:t>绩</w:t>
            </w:r>
          </w:p>
        </w:tc>
        <w:tc>
          <w:tcPr>
            <w:tcW w:w="3720" w:type="dxa"/>
            <w:gridSpan w:val="2"/>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r>
              <w:rPr>
                <w:rFonts w:hint="eastAsia" w:ascii="仿宋_GB2312" w:eastAsia="仿宋_GB2312"/>
                <w:kern w:val="0"/>
                <w:sz w:val="28"/>
                <w:szCs w:val="28"/>
              </w:rPr>
              <w:t>项目名称</w:t>
            </w:r>
          </w:p>
        </w:tc>
        <w:tc>
          <w:tcPr>
            <w:tcW w:w="2143" w:type="dxa"/>
            <w:gridSpan w:val="2"/>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r>
              <w:rPr>
                <w:rFonts w:hint="eastAsia" w:ascii="仿宋_GB2312" w:eastAsia="仿宋_GB2312"/>
                <w:kern w:val="0"/>
                <w:sz w:val="28"/>
                <w:szCs w:val="28"/>
              </w:rPr>
              <w:t>建设单位</w:t>
            </w:r>
          </w:p>
        </w:tc>
        <w:tc>
          <w:tcPr>
            <w:tcW w:w="2201" w:type="dxa"/>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r>
              <w:rPr>
                <w:rFonts w:hint="eastAsia" w:ascii="仿宋_GB2312" w:eastAsia="仿宋_GB2312"/>
                <w:kern w:val="0"/>
                <w:sz w:val="28"/>
                <w:szCs w:val="28"/>
              </w:rPr>
              <w:t>合同价</w:t>
            </w:r>
          </w:p>
        </w:tc>
      </w:tr>
      <w:tr>
        <w:tblPrEx>
          <w:tblLayout w:type="fixed"/>
          <w:tblCellMar>
            <w:top w:w="0" w:type="dxa"/>
            <w:left w:w="108" w:type="dxa"/>
            <w:bottom w:w="0" w:type="dxa"/>
            <w:right w:w="108" w:type="dxa"/>
          </w:tblCellMar>
        </w:tblPrEx>
        <w:trPr>
          <w:trHeight w:val="690" w:hRule="atLeast"/>
          <w:jc w:val="center"/>
        </w:trPr>
        <w:tc>
          <w:tcPr>
            <w:tcW w:w="88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eastAsia="仿宋_GB2312"/>
                <w:kern w:val="0"/>
                <w:sz w:val="28"/>
                <w:szCs w:val="28"/>
              </w:rPr>
            </w:pPr>
          </w:p>
        </w:tc>
        <w:tc>
          <w:tcPr>
            <w:tcW w:w="3720" w:type="dxa"/>
            <w:gridSpan w:val="2"/>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p>
        </w:tc>
        <w:tc>
          <w:tcPr>
            <w:tcW w:w="2143" w:type="dxa"/>
            <w:gridSpan w:val="2"/>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p>
        </w:tc>
        <w:tc>
          <w:tcPr>
            <w:tcW w:w="2201" w:type="dxa"/>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p>
        </w:tc>
      </w:tr>
      <w:tr>
        <w:tblPrEx>
          <w:tblLayout w:type="fixed"/>
          <w:tblCellMar>
            <w:top w:w="0" w:type="dxa"/>
            <w:left w:w="108" w:type="dxa"/>
            <w:bottom w:w="0" w:type="dxa"/>
            <w:right w:w="108" w:type="dxa"/>
          </w:tblCellMar>
        </w:tblPrEx>
        <w:trPr>
          <w:trHeight w:val="705" w:hRule="atLeast"/>
          <w:jc w:val="center"/>
        </w:trPr>
        <w:tc>
          <w:tcPr>
            <w:tcW w:w="88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eastAsia="仿宋_GB2312"/>
                <w:kern w:val="0"/>
                <w:sz w:val="28"/>
                <w:szCs w:val="28"/>
              </w:rPr>
            </w:pPr>
          </w:p>
        </w:tc>
        <w:tc>
          <w:tcPr>
            <w:tcW w:w="3720" w:type="dxa"/>
            <w:gridSpan w:val="2"/>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p>
        </w:tc>
        <w:tc>
          <w:tcPr>
            <w:tcW w:w="2143" w:type="dxa"/>
            <w:gridSpan w:val="2"/>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p>
        </w:tc>
        <w:tc>
          <w:tcPr>
            <w:tcW w:w="2201" w:type="dxa"/>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p>
        </w:tc>
      </w:tr>
      <w:tr>
        <w:tblPrEx>
          <w:tblLayout w:type="fixed"/>
          <w:tblCellMar>
            <w:top w:w="0" w:type="dxa"/>
            <w:left w:w="108" w:type="dxa"/>
            <w:bottom w:w="0" w:type="dxa"/>
            <w:right w:w="108" w:type="dxa"/>
          </w:tblCellMar>
        </w:tblPrEx>
        <w:trPr>
          <w:trHeight w:val="645" w:hRule="atLeast"/>
          <w:jc w:val="center"/>
        </w:trPr>
        <w:tc>
          <w:tcPr>
            <w:tcW w:w="88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eastAsia="仿宋_GB2312"/>
                <w:kern w:val="0"/>
                <w:sz w:val="28"/>
                <w:szCs w:val="28"/>
              </w:rPr>
            </w:pPr>
          </w:p>
        </w:tc>
        <w:tc>
          <w:tcPr>
            <w:tcW w:w="3720" w:type="dxa"/>
            <w:gridSpan w:val="2"/>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p>
        </w:tc>
        <w:tc>
          <w:tcPr>
            <w:tcW w:w="2143" w:type="dxa"/>
            <w:gridSpan w:val="2"/>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p>
        </w:tc>
        <w:tc>
          <w:tcPr>
            <w:tcW w:w="2201" w:type="dxa"/>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p>
        </w:tc>
      </w:tr>
      <w:tr>
        <w:tblPrEx>
          <w:tblLayout w:type="fixed"/>
          <w:tblCellMar>
            <w:top w:w="0" w:type="dxa"/>
            <w:left w:w="108" w:type="dxa"/>
            <w:bottom w:w="0" w:type="dxa"/>
            <w:right w:w="108" w:type="dxa"/>
          </w:tblCellMar>
        </w:tblPrEx>
        <w:trPr>
          <w:trHeight w:val="645" w:hRule="atLeast"/>
          <w:jc w:val="center"/>
        </w:trPr>
        <w:tc>
          <w:tcPr>
            <w:tcW w:w="88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eastAsia="仿宋_GB2312"/>
                <w:kern w:val="0"/>
                <w:sz w:val="28"/>
                <w:szCs w:val="28"/>
              </w:rPr>
            </w:pPr>
          </w:p>
        </w:tc>
        <w:tc>
          <w:tcPr>
            <w:tcW w:w="3720" w:type="dxa"/>
            <w:gridSpan w:val="2"/>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p>
        </w:tc>
        <w:tc>
          <w:tcPr>
            <w:tcW w:w="2143" w:type="dxa"/>
            <w:gridSpan w:val="2"/>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p>
        </w:tc>
        <w:tc>
          <w:tcPr>
            <w:tcW w:w="2201" w:type="dxa"/>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p>
        </w:tc>
      </w:tr>
      <w:tr>
        <w:tblPrEx>
          <w:tblLayout w:type="fixed"/>
          <w:tblCellMar>
            <w:top w:w="0" w:type="dxa"/>
            <w:left w:w="108" w:type="dxa"/>
            <w:bottom w:w="0" w:type="dxa"/>
            <w:right w:w="108" w:type="dxa"/>
          </w:tblCellMar>
        </w:tblPrEx>
        <w:trPr>
          <w:trHeight w:val="720" w:hRule="atLeast"/>
          <w:jc w:val="center"/>
        </w:trPr>
        <w:tc>
          <w:tcPr>
            <w:tcW w:w="88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eastAsia="仿宋_GB2312"/>
                <w:kern w:val="0"/>
                <w:sz w:val="28"/>
                <w:szCs w:val="28"/>
              </w:rPr>
            </w:pPr>
          </w:p>
        </w:tc>
        <w:tc>
          <w:tcPr>
            <w:tcW w:w="3720" w:type="dxa"/>
            <w:gridSpan w:val="2"/>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p>
        </w:tc>
        <w:tc>
          <w:tcPr>
            <w:tcW w:w="2143" w:type="dxa"/>
            <w:gridSpan w:val="2"/>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p>
        </w:tc>
        <w:tc>
          <w:tcPr>
            <w:tcW w:w="2201" w:type="dxa"/>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p>
        </w:tc>
      </w:tr>
      <w:tr>
        <w:tblPrEx>
          <w:tblLayout w:type="fixed"/>
          <w:tblCellMar>
            <w:top w:w="0" w:type="dxa"/>
            <w:left w:w="108" w:type="dxa"/>
            <w:bottom w:w="0" w:type="dxa"/>
            <w:right w:w="108" w:type="dxa"/>
          </w:tblCellMar>
        </w:tblPrEx>
        <w:trPr>
          <w:trHeight w:val="720" w:hRule="atLeast"/>
          <w:jc w:val="center"/>
        </w:trPr>
        <w:tc>
          <w:tcPr>
            <w:tcW w:w="880" w:type="dxa"/>
            <w:tcBorders>
              <w:top w:val="nil"/>
              <w:left w:val="single" w:color="000000" w:sz="8" w:space="0"/>
              <w:bottom w:val="single" w:color="000000" w:sz="8" w:space="0"/>
              <w:right w:val="single" w:color="000000" w:sz="8" w:space="0"/>
            </w:tcBorders>
            <w:vAlign w:val="center"/>
          </w:tcPr>
          <w:p>
            <w:pPr>
              <w:widowControl/>
              <w:jc w:val="left"/>
              <w:rPr>
                <w:rFonts w:hint="eastAsia" w:ascii="仿宋_GB2312" w:eastAsia="仿宋_GB2312"/>
                <w:kern w:val="0"/>
                <w:sz w:val="28"/>
                <w:szCs w:val="28"/>
                <w:lang w:eastAsia="zh-CN"/>
              </w:rPr>
            </w:pPr>
            <w:r>
              <w:rPr>
                <w:rFonts w:hint="eastAsia" w:ascii="仿宋_GB2312" w:eastAsia="仿宋_GB2312"/>
                <w:kern w:val="0"/>
                <w:sz w:val="28"/>
                <w:szCs w:val="28"/>
                <w:lang w:eastAsia="zh-CN"/>
              </w:rPr>
              <w:t>资料</w:t>
            </w:r>
          </w:p>
        </w:tc>
        <w:tc>
          <w:tcPr>
            <w:tcW w:w="8064" w:type="dxa"/>
            <w:gridSpan w:val="5"/>
            <w:tcBorders>
              <w:top w:val="single" w:color="000000" w:sz="8" w:space="0"/>
              <w:left w:val="nil"/>
              <w:bottom w:val="single" w:color="000000" w:sz="8" w:space="0"/>
              <w:right w:val="single" w:color="000000" w:sz="8" w:space="0"/>
            </w:tcBorders>
            <w:vAlign w:val="center"/>
          </w:tcPr>
          <w:p>
            <w:pPr>
              <w:snapToGrid w:val="0"/>
              <w:spacing w:line="520" w:lineRule="exact"/>
              <w:jc w:val="both"/>
              <w:rPr>
                <w:rFonts w:hint="eastAsia" w:ascii="仿宋_GB2312" w:eastAsia="仿宋_GB2312"/>
                <w:kern w:val="0"/>
                <w:sz w:val="28"/>
                <w:szCs w:val="28"/>
                <w:lang w:eastAsia="zh-CN"/>
              </w:rPr>
            </w:pPr>
            <w:r>
              <w:rPr>
                <w:rFonts w:hint="eastAsia" w:ascii="仿宋_GB2312" w:eastAsia="仿宋_GB2312"/>
                <w:kern w:val="0"/>
                <w:sz w:val="28"/>
                <w:szCs w:val="28"/>
                <w:lang w:val="en-US" w:eastAsia="zh-CN"/>
              </w:rPr>
              <w:t>1.</w:t>
            </w:r>
            <w:r>
              <w:rPr>
                <w:rFonts w:hint="eastAsia" w:ascii="仿宋_GB2312" w:eastAsia="仿宋_GB2312"/>
                <w:kern w:val="0"/>
                <w:sz w:val="28"/>
                <w:szCs w:val="28"/>
              </w:rPr>
              <w:t>营业执照副本</w:t>
            </w:r>
            <w:r>
              <w:rPr>
                <w:rFonts w:hint="eastAsia" w:ascii="仿宋_GB2312" w:eastAsia="仿宋_GB2312"/>
                <w:kern w:val="0"/>
                <w:sz w:val="28"/>
                <w:szCs w:val="28"/>
                <w:lang w:eastAsia="zh-CN"/>
              </w:rPr>
              <w:t>复印件；</w:t>
            </w:r>
          </w:p>
          <w:p>
            <w:pPr>
              <w:snapToGrid w:val="0"/>
              <w:spacing w:line="520" w:lineRule="exact"/>
              <w:jc w:val="both"/>
              <w:rPr>
                <w:rFonts w:hint="eastAsia" w:ascii="仿宋_GB2312" w:eastAsia="仿宋_GB2312"/>
                <w:kern w:val="0"/>
                <w:sz w:val="28"/>
                <w:szCs w:val="28"/>
              </w:rPr>
            </w:pPr>
            <w:r>
              <w:rPr>
                <w:rFonts w:hint="eastAsia" w:ascii="仿宋_GB2312" w:eastAsia="仿宋_GB2312"/>
                <w:kern w:val="0"/>
                <w:sz w:val="28"/>
                <w:szCs w:val="28"/>
                <w:lang w:val="en-US" w:eastAsia="zh-CN"/>
              </w:rPr>
              <w:t>2.</w:t>
            </w:r>
            <w:r>
              <w:rPr>
                <w:rFonts w:hint="eastAsia" w:ascii="仿宋_GB2312" w:eastAsia="仿宋_GB2312"/>
                <w:kern w:val="0"/>
                <w:sz w:val="28"/>
                <w:szCs w:val="28"/>
              </w:rPr>
              <w:t>法</w:t>
            </w:r>
            <w:r>
              <w:rPr>
                <w:rFonts w:hint="eastAsia" w:ascii="仿宋_GB2312" w:eastAsia="仿宋_GB2312"/>
                <w:kern w:val="0"/>
                <w:sz w:val="28"/>
                <w:szCs w:val="28"/>
                <w:lang w:eastAsia="zh-CN"/>
              </w:rPr>
              <w:t>定代表</w:t>
            </w:r>
            <w:r>
              <w:rPr>
                <w:rFonts w:hint="eastAsia" w:ascii="仿宋_GB2312" w:eastAsia="仿宋_GB2312"/>
                <w:kern w:val="0"/>
                <w:sz w:val="28"/>
                <w:szCs w:val="28"/>
              </w:rPr>
              <w:t>人</w:t>
            </w:r>
            <w:r>
              <w:rPr>
                <w:rFonts w:hint="eastAsia" w:ascii="仿宋_GB2312" w:eastAsia="仿宋_GB2312"/>
                <w:kern w:val="0"/>
                <w:sz w:val="28"/>
                <w:szCs w:val="28"/>
                <w:lang w:eastAsia="zh-CN"/>
              </w:rPr>
              <w:t>身份证复印件或</w:t>
            </w:r>
            <w:r>
              <w:rPr>
                <w:rFonts w:hint="eastAsia" w:ascii="仿宋_GB2312" w:eastAsia="仿宋_GB2312"/>
                <w:kern w:val="0"/>
                <w:sz w:val="28"/>
                <w:szCs w:val="28"/>
              </w:rPr>
              <w:t>法</w:t>
            </w:r>
            <w:r>
              <w:rPr>
                <w:rFonts w:hint="eastAsia" w:ascii="仿宋_GB2312" w:eastAsia="仿宋_GB2312"/>
                <w:kern w:val="0"/>
                <w:sz w:val="28"/>
                <w:szCs w:val="28"/>
                <w:lang w:eastAsia="zh-CN"/>
              </w:rPr>
              <w:t>定代表</w:t>
            </w:r>
            <w:r>
              <w:rPr>
                <w:rFonts w:hint="eastAsia" w:ascii="仿宋_GB2312" w:eastAsia="仿宋_GB2312"/>
                <w:kern w:val="0"/>
                <w:sz w:val="28"/>
                <w:szCs w:val="28"/>
              </w:rPr>
              <w:t>人</w:t>
            </w:r>
            <w:r>
              <w:rPr>
                <w:rFonts w:hint="eastAsia" w:ascii="仿宋_GB2312" w:eastAsia="仿宋_GB2312"/>
                <w:kern w:val="0"/>
                <w:sz w:val="28"/>
                <w:szCs w:val="28"/>
                <w:lang w:eastAsia="zh-CN"/>
              </w:rPr>
              <w:t>身份证明和</w:t>
            </w:r>
            <w:r>
              <w:rPr>
                <w:rFonts w:hint="eastAsia" w:ascii="仿宋_GB2312" w:eastAsia="仿宋_GB2312"/>
                <w:kern w:val="0"/>
                <w:sz w:val="28"/>
                <w:szCs w:val="28"/>
              </w:rPr>
              <w:t>委托书；</w:t>
            </w:r>
          </w:p>
          <w:p>
            <w:pPr>
              <w:snapToGrid w:val="0"/>
              <w:spacing w:line="520" w:lineRule="exact"/>
              <w:jc w:val="both"/>
              <w:rPr>
                <w:rFonts w:hint="eastAsia" w:ascii="仿宋_GB2312" w:eastAsia="仿宋_GB2312"/>
                <w:kern w:val="0"/>
                <w:sz w:val="28"/>
                <w:szCs w:val="28"/>
              </w:rPr>
            </w:pPr>
            <w:r>
              <w:rPr>
                <w:rFonts w:hint="eastAsia" w:ascii="仿宋_GB2312" w:eastAsia="仿宋_GB2312"/>
                <w:kern w:val="0"/>
                <w:sz w:val="28"/>
                <w:szCs w:val="28"/>
                <w:lang w:val="en-US" w:eastAsia="zh-CN"/>
              </w:rPr>
              <w:t>3.</w:t>
            </w:r>
            <w:r>
              <w:rPr>
                <w:rFonts w:hint="eastAsia" w:ascii="仿宋_GB2312" w:eastAsia="仿宋_GB2312"/>
                <w:kern w:val="0"/>
                <w:sz w:val="28"/>
                <w:szCs w:val="28"/>
              </w:rPr>
              <w:t>代理</w:t>
            </w:r>
            <w:r>
              <w:rPr>
                <w:rFonts w:hint="eastAsia" w:ascii="仿宋_GB2312" w:eastAsia="仿宋_GB2312"/>
                <w:kern w:val="0"/>
                <w:sz w:val="28"/>
                <w:szCs w:val="28"/>
                <w:lang w:eastAsia="zh-CN"/>
              </w:rPr>
              <w:t>机构</w:t>
            </w:r>
            <w:r>
              <w:rPr>
                <w:rFonts w:hint="eastAsia" w:ascii="仿宋_GB2312" w:eastAsia="仿宋_GB2312"/>
                <w:kern w:val="0"/>
                <w:sz w:val="28"/>
                <w:szCs w:val="28"/>
              </w:rPr>
              <w:t>印模；</w:t>
            </w:r>
          </w:p>
          <w:p>
            <w:pPr>
              <w:snapToGrid w:val="0"/>
              <w:spacing w:line="520" w:lineRule="exact"/>
              <w:jc w:val="both"/>
              <w:rPr>
                <w:rFonts w:hint="eastAsia" w:ascii="仿宋_GB2312" w:eastAsia="仿宋_GB2312"/>
                <w:kern w:val="0"/>
                <w:sz w:val="28"/>
                <w:szCs w:val="28"/>
                <w:lang w:val="en-US" w:eastAsia="zh-CN"/>
              </w:rPr>
            </w:pPr>
            <w:r>
              <w:rPr>
                <w:rFonts w:hint="eastAsia" w:ascii="仿宋_GB2312" w:eastAsia="仿宋_GB2312"/>
                <w:kern w:val="0"/>
                <w:sz w:val="28"/>
                <w:szCs w:val="28"/>
                <w:lang w:val="en-US" w:eastAsia="zh-CN"/>
              </w:rPr>
              <w:t>4.</w:t>
            </w:r>
            <w:r>
              <w:rPr>
                <w:rFonts w:hint="eastAsia" w:ascii="仿宋_GB2312" w:eastAsia="仿宋_GB2312"/>
                <w:kern w:val="0"/>
                <w:sz w:val="28"/>
                <w:szCs w:val="28"/>
              </w:rPr>
              <w:t>办公场所的房屋租赁合同或房屋产权证明</w:t>
            </w:r>
            <w:r>
              <w:rPr>
                <w:rFonts w:hint="eastAsia" w:ascii="仿宋_GB2312" w:eastAsia="仿宋_GB2312"/>
                <w:kern w:val="0"/>
                <w:sz w:val="28"/>
                <w:szCs w:val="28"/>
                <w:lang w:eastAsia="zh-CN"/>
              </w:rPr>
              <w:t>复印件。</w:t>
            </w:r>
          </w:p>
        </w:tc>
      </w:tr>
    </w:tbl>
    <w:p>
      <w:pPr>
        <w:snapToGrid w:val="0"/>
        <w:spacing w:line="400" w:lineRule="exact"/>
        <w:rPr>
          <w:rFonts w:hint="eastAsia" w:ascii="仿宋_GB2312" w:eastAsia="仿宋_GB2312"/>
          <w:kern w:val="0"/>
          <w:sz w:val="24"/>
          <w:szCs w:val="24"/>
        </w:rPr>
      </w:pPr>
    </w:p>
    <w:p>
      <w:pPr>
        <w:snapToGrid w:val="0"/>
        <w:spacing w:line="600" w:lineRule="exact"/>
        <w:rPr>
          <w:rFonts w:hint="eastAsia" w:ascii="仿宋_GB2312" w:eastAsia="仿宋_GB2312"/>
          <w:kern w:val="0"/>
          <w:sz w:val="32"/>
          <w:szCs w:val="32"/>
        </w:rPr>
      </w:pPr>
      <w:r>
        <w:rPr>
          <w:rFonts w:hint="eastAsia" w:ascii="仿宋_GB2312" w:eastAsia="仿宋_GB2312"/>
          <w:kern w:val="0"/>
          <w:sz w:val="32"/>
          <w:szCs w:val="32"/>
        </w:rPr>
        <w:t>附表2：</w:t>
      </w:r>
    </w:p>
    <w:p>
      <w:pPr>
        <w:snapToGrid w:val="0"/>
        <w:spacing w:line="600" w:lineRule="exact"/>
        <w:jc w:val="center"/>
        <w:rPr>
          <w:rFonts w:hint="eastAsia" w:ascii="华文中宋" w:hAnsi="华文中宋" w:eastAsia="华文中宋"/>
          <w:kern w:val="0"/>
          <w:sz w:val="40"/>
          <w:szCs w:val="40"/>
        </w:rPr>
      </w:pPr>
      <w:r>
        <w:rPr>
          <w:rFonts w:hint="eastAsia" w:ascii="华文中宋" w:hAnsi="华文中宋" w:eastAsia="华文中宋"/>
          <w:kern w:val="0"/>
          <w:sz w:val="40"/>
          <w:szCs w:val="40"/>
        </w:rPr>
        <w:t>温岭市招标代理人员</w:t>
      </w:r>
      <w:r>
        <w:rPr>
          <w:rFonts w:hint="eastAsia" w:ascii="华文中宋" w:hAnsi="华文中宋" w:eastAsia="华文中宋"/>
          <w:kern w:val="0"/>
          <w:sz w:val="40"/>
          <w:szCs w:val="40"/>
          <w:lang w:eastAsia="zh-CN"/>
        </w:rPr>
        <w:t>情况</w:t>
      </w:r>
      <w:r>
        <w:rPr>
          <w:rFonts w:hint="eastAsia" w:ascii="华文中宋" w:hAnsi="华文中宋" w:eastAsia="华文中宋"/>
          <w:kern w:val="0"/>
          <w:sz w:val="40"/>
          <w:szCs w:val="40"/>
        </w:rPr>
        <w:t>表</w:t>
      </w:r>
    </w:p>
    <w:p>
      <w:pPr>
        <w:snapToGrid w:val="0"/>
        <w:spacing w:line="600" w:lineRule="exact"/>
        <w:rPr>
          <w:rFonts w:hint="eastAsia" w:ascii="仿宋_GB2312" w:eastAsia="仿宋_GB2312"/>
          <w:kern w:val="0"/>
          <w:sz w:val="28"/>
          <w:szCs w:val="28"/>
        </w:rPr>
      </w:pPr>
      <w:r>
        <w:rPr>
          <w:rFonts w:hint="eastAsia" w:ascii="仿宋_GB2312" w:eastAsia="仿宋_GB2312"/>
          <w:kern w:val="0"/>
          <w:sz w:val="28"/>
          <w:szCs w:val="28"/>
          <w:u w:val="single"/>
        </w:rPr>
        <w:t xml:space="preserve">                  </w:t>
      </w:r>
      <w:r>
        <w:rPr>
          <w:rFonts w:hint="eastAsia" w:ascii="仿宋_GB2312" w:eastAsia="仿宋_GB2312"/>
          <w:kern w:val="0"/>
          <w:sz w:val="28"/>
          <w:szCs w:val="28"/>
        </w:rPr>
        <w:t>代理单位（盖章）</w:t>
      </w:r>
    </w:p>
    <w:tbl>
      <w:tblPr>
        <w:tblStyle w:val="2"/>
        <w:tblpPr w:leftFromText="180" w:rightFromText="180" w:vertAnchor="text" w:horzAnchor="page" w:tblpX="1550" w:tblpY="232"/>
        <w:tblOverlap w:val="never"/>
        <w:tblW w:w="9046" w:type="dxa"/>
        <w:tblInd w:w="0" w:type="dxa"/>
        <w:tblLayout w:type="fixed"/>
        <w:tblCellMar>
          <w:top w:w="0" w:type="dxa"/>
          <w:left w:w="108" w:type="dxa"/>
          <w:bottom w:w="0" w:type="dxa"/>
          <w:right w:w="108" w:type="dxa"/>
        </w:tblCellMar>
      </w:tblPr>
      <w:tblGrid>
        <w:gridCol w:w="647"/>
        <w:gridCol w:w="825"/>
        <w:gridCol w:w="1592"/>
        <w:gridCol w:w="596"/>
        <w:gridCol w:w="1270"/>
        <w:gridCol w:w="115"/>
        <w:gridCol w:w="1142"/>
        <w:gridCol w:w="144"/>
        <w:gridCol w:w="969"/>
        <w:gridCol w:w="1746"/>
      </w:tblGrid>
      <w:tr>
        <w:tblPrEx>
          <w:tblLayout w:type="fixed"/>
          <w:tblCellMar>
            <w:top w:w="0" w:type="dxa"/>
            <w:left w:w="108" w:type="dxa"/>
            <w:bottom w:w="0" w:type="dxa"/>
            <w:right w:w="108" w:type="dxa"/>
          </w:tblCellMar>
        </w:tblPrEx>
        <w:trPr>
          <w:trHeight w:val="715" w:hRule="atLeast"/>
        </w:trPr>
        <w:tc>
          <w:tcPr>
            <w:tcW w:w="1472" w:type="dxa"/>
            <w:gridSpan w:val="2"/>
            <w:tcBorders>
              <w:top w:val="single" w:color="000000" w:sz="8" w:space="0"/>
              <w:left w:val="single" w:color="000000" w:sz="8" w:space="0"/>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r>
              <w:rPr>
                <w:rFonts w:hint="eastAsia" w:ascii="仿宋_GB2312" w:eastAsia="仿宋_GB2312"/>
                <w:kern w:val="0"/>
                <w:sz w:val="28"/>
                <w:szCs w:val="28"/>
              </w:rPr>
              <w:t>姓</w:t>
            </w:r>
            <w:r>
              <w:rPr>
                <w:rFonts w:hint="eastAsia" w:ascii="仿宋_GB2312" w:eastAsia="仿宋_GB2312"/>
                <w:kern w:val="0"/>
                <w:sz w:val="28"/>
                <w:szCs w:val="28"/>
                <w:lang w:val="en-US" w:eastAsia="zh-CN"/>
              </w:rPr>
              <w:t xml:space="preserve">  </w:t>
            </w:r>
            <w:r>
              <w:rPr>
                <w:rFonts w:hint="eastAsia" w:ascii="仿宋_GB2312" w:eastAsia="仿宋_GB2312"/>
                <w:kern w:val="0"/>
                <w:sz w:val="28"/>
                <w:szCs w:val="28"/>
              </w:rPr>
              <w:t>名</w:t>
            </w:r>
          </w:p>
        </w:tc>
        <w:tc>
          <w:tcPr>
            <w:tcW w:w="2188" w:type="dxa"/>
            <w:gridSpan w:val="2"/>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p>
        </w:tc>
        <w:tc>
          <w:tcPr>
            <w:tcW w:w="1385" w:type="dxa"/>
            <w:gridSpan w:val="2"/>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r>
              <w:rPr>
                <w:rFonts w:hint="eastAsia" w:ascii="仿宋_GB2312" w:eastAsia="仿宋_GB2312"/>
                <w:kern w:val="0"/>
                <w:sz w:val="28"/>
                <w:szCs w:val="28"/>
              </w:rPr>
              <w:t>性</w:t>
            </w:r>
            <w:r>
              <w:rPr>
                <w:rFonts w:hint="eastAsia" w:ascii="仿宋_GB2312" w:eastAsia="仿宋_GB2312"/>
                <w:kern w:val="0"/>
                <w:sz w:val="28"/>
                <w:szCs w:val="28"/>
                <w:lang w:val="en-US" w:eastAsia="zh-CN"/>
              </w:rPr>
              <w:t xml:space="preserve">  </w:t>
            </w:r>
            <w:r>
              <w:rPr>
                <w:rFonts w:hint="eastAsia" w:ascii="仿宋_GB2312" w:eastAsia="仿宋_GB2312"/>
                <w:kern w:val="0"/>
                <w:sz w:val="28"/>
                <w:szCs w:val="28"/>
              </w:rPr>
              <w:t>别</w:t>
            </w:r>
          </w:p>
        </w:tc>
        <w:tc>
          <w:tcPr>
            <w:tcW w:w="2255" w:type="dxa"/>
            <w:gridSpan w:val="3"/>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p>
        </w:tc>
        <w:tc>
          <w:tcPr>
            <w:tcW w:w="1746" w:type="dxa"/>
            <w:vMerge w:val="restart"/>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r>
              <w:rPr>
                <w:rFonts w:hint="eastAsia" w:ascii="仿宋_GB2312" w:eastAsia="仿宋_GB2312"/>
                <w:kern w:val="0"/>
                <w:sz w:val="28"/>
                <w:szCs w:val="28"/>
              </w:rPr>
              <w:t>近期免冠</w:t>
            </w:r>
          </w:p>
          <w:p>
            <w:pPr>
              <w:snapToGrid w:val="0"/>
              <w:spacing w:line="600" w:lineRule="exact"/>
              <w:jc w:val="center"/>
              <w:rPr>
                <w:rFonts w:hint="eastAsia" w:ascii="仿宋_GB2312" w:eastAsia="仿宋_GB2312"/>
                <w:kern w:val="0"/>
                <w:sz w:val="28"/>
                <w:szCs w:val="28"/>
              </w:rPr>
            </w:pPr>
            <w:r>
              <w:rPr>
                <w:rFonts w:hint="eastAsia" w:ascii="仿宋_GB2312" w:eastAsia="仿宋_GB2312"/>
                <w:kern w:val="0"/>
                <w:sz w:val="28"/>
                <w:szCs w:val="28"/>
              </w:rPr>
              <w:t>2寸彩照</w:t>
            </w:r>
          </w:p>
        </w:tc>
      </w:tr>
      <w:tr>
        <w:tblPrEx>
          <w:tblLayout w:type="fixed"/>
          <w:tblCellMar>
            <w:top w:w="0" w:type="dxa"/>
            <w:left w:w="108" w:type="dxa"/>
            <w:bottom w:w="0" w:type="dxa"/>
            <w:right w:w="108" w:type="dxa"/>
          </w:tblCellMar>
        </w:tblPrEx>
        <w:trPr>
          <w:trHeight w:val="715" w:hRule="atLeast"/>
        </w:trPr>
        <w:tc>
          <w:tcPr>
            <w:tcW w:w="1472" w:type="dxa"/>
            <w:gridSpan w:val="2"/>
            <w:tcBorders>
              <w:top w:val="single" w:color="000000" w:sz="8" w:space="0"/>
              <w:left w:val="single" w:color="000000" w:sz="8" w:space="0"/>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lang w:eastAsia="zh-CN"/>
              </w:rPr>
            </w:pPr>
            <w:r>
              <w:rPr>
                <w:rFonts w:hint="eastAsia" w:ascii="仿宋_GB2312" w:eastAsia="仿宋_GB2312"/>
                <w:kern w:val="0"/>
                <w:sz w:val="28"/>
                <w:szCs w:val="28"/>
                <w:lang w:eastAsia="zh-CN"/>
              </w:rPr>
              <w:t>身份证号</w:t>
            </w:r>
          </w:p>
        </w:tc>
        <w:tc>
          <w:tcPr>
            <w:tcW w:w="2188" w:type="dxa"/>
            <w:gridSpan w:val="2"/>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p>
        </w:tc>
        <w:tc>
          <w:tcPr>
            <w:tcW w:w="1385" w:type="dxa"/>
            <w:gridSpan w:val="2"/>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lang w:eastAsia="zh-CN"/>
              </w:rPr>
            </w:pPr>
            <w:r>
              <w:rPr>
                <w:rFonts w:hint="eastAsia" w:ascii="仿宋_GB2312" w:eastAsia="仿宋_GB2312"/>
                <w:kern w:val="0"/>
                <w:sz w:val="28"/>
                <w:szCs w:val="28"/>
                <w:lang w:eastAsia="zh-CN"/>
              </w:rPr>
              <w:t>联系电话</w:t>
            </w:r>
          </w:p>
        </w:tc>
        <w:tc>
          <w:tcPr>
            <w:tcW w:w="2255" w:type="dxa"/>
            <w:gridSpan w:val="3"/>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p>
        </w:tc>
        <w:tc>
          <w:tcPr>
            <w:tcW w:w="1746" w:type="dxa"/>
            <w:vMerge w:val="continue"/>
            <w:tcBorders>
              <w:top w:val="single" w:color="000000" w:sz="8" w:space="0"/>
              <w:left w:val="nil"/>
              <w:bottom w:val="single" w:color="000000" w:sz="8" w:space="0"/>
              <w:right w:val="single" w:color="000000" w:sz="8" w:space="0"/>
            </w:tcBorders>
            <w:vAlign w:val="center"/>
          </w:tcPr>
          <w:p>
            <w:pPr>
              <w:widowControl/>
              <w:jc w:val="left"/>
              <w:rPr>
                <w:rFonts w:ascii="仿宋_GB2312" w:eastAsia="仿宋_GB2312"/>
                <w:kern w:val="0"/>
                <w:sz w:val="28"/>
                <w:szCs w:val="28"/>
              </w:rPr>
            </w:pPr>
          </w:p>
        </w:tc>
      </w:tr>
      <w:tr>
        <w:tblPrEx>
          <w:tblLayout w:type="fixed"/>
          <w:tblCellMar>
            <w:top w:w="0" w:type="dxa"/>
            <w:left w:w="108" w:type="dxa"/>
            <w:bottom w:w="0" w:type="dxa"/>
            <w:right w:w="108" w:type="dxa"/>
          </w:tblCellMar>
        </w:tblPrEx>
        <w:trPr>
          <w:trHeight w:val="730" w:hRule="atLeast"/>
        </w:trPr>
        <w:tc>
          <w:tcPr>
            <w:tcW w:w="1472" w:type="dxa"/>
            <w:gridSpan w:val="2"/>
            <w:tcBorders>
              <w:top w:val="single" w:color="000000" w:sz="8" w:space="0"/>
              <w:left w:val="single" w:color="000000" w:sz="8" w:space="0"/>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r>
              <w:rPr>
                <w:rFonts w:hint="eastAsia" w:ascii="仿宋_GB2312" w:eastAsia="仿宋_GB2312"/>
                <w:kern w:val="0"/>
                <w:sz w:val="28"/>
                <w:szCs w:val="28"/>
              </w:rPr>
              <w:t>从事年限</w:t>
            </w:r>
          </w:p>
        </w:tc>
        <w:tc>
          <w:tcPr>
            <w:tcW w:w="2188" w:type="dxa"/>
            <w:gridSpan w:val="2"/>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p>
        </w:tc>
        <w:tc>
          <w:tcPr>
            <w:tcW w:w="1385" w:type="dxa"/>
            <w:gridSpan w:val="2"/>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r>
              <w:rPr>
                <w:rFonts w:hint="eastAsia" w:ascii="仿宋_GB2312" w:eastAsia="仿宋_GB2312"/>
                <w:kern w:val="0"/>
                <w:sz w:val="28"/>
                <w:szCs w:val="28"/>
              </w:rPr>
              <w:t>专</w:t>
            </w:r>
            <w:r>
              <w:rPr>
                <w:rFonts w:hint="eastAsia" w:ascii="仿宋_GB2312" w:eastAsia="仿宋_GB2312"/>
                <w:kern w:val="0"/>
                <w:sz w:val="28"/>
                <w:szCs w:val="28"/>
                <w:lang w:val="en-US" w:eastAsia="zh-CN"/>
              </w:rPr>
              <w:t xml:space="preserve">  </w:t>
            </w:r>
            <w:r>
              <w:rPr>
                <w:rFonts w:hint="eastAsia" w:ascii="仿宋_GB2312" w:eastAsia="仿宋_GB2312"/>
                <w:kern w:val="0"/>
                <w:sz w:val="28"/>
                <w:szCs w:val="28"/>
              </w:rPr>
              <w:t>业</w:t>
            </w:r>
          </w:p>
        </w:tc>
        <w:tc>
          <w:tcPr>
            <w:tcW w:w="2255" w:type="dxa"/>
            <w:gridSpan w:val="3"/>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p>
        </w:tc>
        <w:tc>
          <w:tcPr>
            <w:tcW w:w="1746" w:type="dxa"/>
            <w:vMerge w:val="continue"/>
            <w:tcBorders>
              <w:top w:val="single" w:color="000000" w:sz="8" w:space="0"/>
              <w:left w:val="nil"/>
              <w:bottom w:val="single" w:color="000000" w:sz="8" w:space="0"/>
              <w:right w:val="single" w:color="000000" w:sz="8" w:space="0"/>
            </w:tcBorders>
            <w:vAlign w:val="center"/>
          </w:tcPr>
          <w:p>
            <w:pPr>
              <w:widowControl/>
              <w:jc w:val="left"/>
              <w:rPr>
                <w:rFonts w:ascii="仿宋_GB2312" w:eastAsia="仿宋_GB2312"/>
                <w:kern w:val="0"/>
                <w:sz w:val="28"/>
                <w:szCs w:val="28"/>
              </w:rPr>
            </w:pPr>
          </w:p>
        </w:tc>
      </w:tr>
      <w:tr>
        <w:tblPrEx>
          <w:tblLayout w:type="fixed"/>
          <w:tblCellMar>
            <w:top w:w="0" w:type="dxa"/>
            <w:left w:w="108" w:type="dxa"/>
            <w:bottom w:w="0" w:type="dxa"/>
            <w:right w:w="108" w:type="dxa"/>
          </w:tblCellMar>
        </w:tblPrEx>
        <w:trPr>
          <w:trHeight w:val="730" w:hRule="atLeast"/>
        </w:trPr>
        <w:tc>
          <w:tcPr>
            <w:tcW w:w="1472" w:type="dxa"/>
            <w:gridSpan w:val="2"/>
            <w:tcBorders>
              <w:top w:val="single" w:color="000000" w:sz="8" w:space="0"/>
              <w:left w:val="single" w:color="000000" w:sz="8" w:space="0"/>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r>
              <w:rPr>
                <w:rFonts w:hint="eastAsia" w:ascii="仿宋_GB2312" w:eastAsia="仿宋_GB2312"/>
                <w:kern w:val="0"/>
                <w:sz w:val="28"/>
                <w:szCs w:val="28"/>
              </w:rPr>
              <w:t>职</w:t>
            </w:r>
            <w:r>
              <w:rPr>
                <w:rFonts w:hint="eastAsia" w:ascii="仿宋_GB2312" w:eastAsia="仿宋_GB2312"/>
                <w:kern w:val="0"/>
                <w:sz w:val="28"/>
                <w:szCs w:val="28"/>
                <w:lang w:val="en-US" w:eastAsia="zh-CN"/>
              </w:rPr>
              <w:t xml:space="preserve">  </w:t>
            </w:r>
            <w:r>
              <w:rPr>
                <w:rFonts w:hint="eastAsia" w:ascii="仿宋_GB2312" w:eastAsia="仿宋_GB2312"/>
                <w:kern w:val="0"/>
                <w:sz w:val="28"/>
                <w:szCs w:val="28"/>
              </w:rPr>
              <w:t>称</w:t>
            </w:r>
          </w:p>
        </w:tc>
        <w:tc>
          <w:tcPr>
            <w:tcW w:w="2188" w:type="dxa"/>
            <w:gridSpan w:val="2"/>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p>
        </w:tc>
        <w:tc>
          <w:tcPr>
            <w:tcW w:w="2527" w:type="dxa"/>
            <w:gridSpan w:val="3"/>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r>
              <w:rPr>
                <w:rFonts w:hint="eastAsia" w:ascii="仿宋_GB2312" w:eastAsia="仿宋_GB2312"/>
                <w:kern w:val="0"/>
                <w:sz w:val="28"/>
                <w:szCs w:val="28"/>
              </w:rPr>
              <w:t>注册（执业）资格</w:t>
            </w:r>
          </w:p>
        </w:tc>
        <w:tc>
          <w:tcPr>
            <w:tcW w:w="2859" w:type="dxa"/>
            <w:gridSpan w:val="3"/>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p>
        </w:tc>
      </w:tr>
      <w:tr>
        <w:tblPrEx>
          <w:tblLayout w:type="fixed"/>
          <w:tblCellMar>
            <w:top w:w="0" w:type="dxa"/>
            <w:left w:w="108" w:type="dxa"/>
            <w:bottom w:w="0" w:type="dxa"/>
            <w:right w:w="108" w:type="dxa"/>
          </w:tblCellMar>
        </w:tblPrEx>
        <w:trPr>
          <w:trHeight w:val="2308" w:hRule="atLeast"/>
        </w:trPr>
        <w:tc>
          <w:tcPr>
            <w:tcW w:w="1472" w:type="dxa"/>
            <w:gridSpan w:val="2"/>
            <w:tcBorders>
              <w:top w:val="single" w:color="000000" w:sz="8" w:space="0"/>
              <w:left w:val="single" w:color="000000" w:sz="8" w:space="0"/>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r>
              <w:rPr>
                <w:rFonts w:hint="eastAsia" w:ascii="仿宋_GB2312" w:eastAsia="仿宋_GB2312"/>
                <w:kern w:val="0"/>
                <w:sz w:val="28"/>
                <w:szCs w:val="28"/>
              </w:rPr>
              <w:t>上年度学习培训情况</w:t>
            </w:r>
          </w:p>
        </w:tc>
        <w:tc>
          <w:tcPr>
            <w:tcW w:w="7574" w:type="dxa"/>
            <w:gridSpan w:val="8"/>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p>
        </w:tc>
      </w:tr>
      <w:tr>
        <w:tblPrEx>
          <w:tblLayout w:type="fixed"/>
          <w:tblCellMar>
            <w:top w:w="0" w:type="dxa"/>
            <w:left w:w="108" w:type="dxa"/>
            <w:bottom w:w="0" w:type="dxa"/>
            <w:right w:w="108" w:type="dxa"/>
          </w:tblCellMar>
        </w:tblPrEx>
        <w:trPr>
          <w:trHeight w:val="735" w:hRule="atLeast"/>
        </w:trPr>
        <w:tc>
          <w:tcPr>
            <w:tcW w:w="647" w:type="dxa"/>
            <w:vMerge w:val="restart"/>
            <w:tcBorders>
              <w:top w:val="nil"/>
              <w:left w:val="single" w:color="000000" w:sz="8" w:space="0"/>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r>
              <w:rPr>
                <w:rFonts w:hint="eastAsia" w:ascii="仿宋_GB2312" w:eastAsia="仿宋_GB2312"/>
                <w:kern w:val="0"/>
                <w:sz w:val="28"/>
                <w:szCs w:val="28"/>
              </w:rPr>
              <w:t>主</w:t>
            </w:r>
          </w:p>
          <w:p>
            <w:pPr>
              <w:snapToGrid w:val="0"/>
              <w:spacing w:line="600" w:lineRule="exact"/>
              <w:jc w:val="center"/>
              <w:rPr>
                <w:rFonts w:hint="eastAsia" w:ascii="仿宋_GB2312" w:eastAsia="仿宋_GB2312"/>
                <w:kern w:val="0"/>
                <w:sz w:val="28"/>
                <w:szCs w:val="28"/>
              </w:rPr>
            </w:pPr>
            <w:r>
              <w:rPr>
                <w:rFonts w:hint="eastAsia" w:ascii="仿宋_GB2312" w:eastAsia="仿宋_GB2312"/>
                <w:kern w:val="0"/>
                <w:sz w:val="28"/>
                <w:szCs w:val="28"/>
              </w:rPr>
              <w:t>要</w:t>
            </w:r>
          </w:p>
          <w:p>
            <w:pPr>
              <w:snapToGrid w:val="0"/>
              <w:spacing w:line="600" w:lineRule="exact"/>
              <w:jc w:val="center"/>
              <w:rPr>
                <w:rFonts w:hint="eastAsia" w:ascii="仿宋_GB2312" w:eastAsia="仿宋_GB2312"/>
                <w:kern w:val="0"/>
                <w:sz w:val="28"/>
                <w:szCs w:val="28"/>
              </w:rPr>
            </w:pPr>
            <w:r>
              <w:rPr>
                <w:rFonts w:hint="eastAsia" w:ascii="仿宋_GB2312" w:eastAsia="仿宋_GB2312"/>
                <w:kern w:val="0"/>
                <w:sz w:val="28"/>
                <w:szCs w:val="28"/>
              </w:rPr>
              <w:t>业</w:t>
            </w:r>
          </w:p>
          <w:p>
            <w:pPr>
              <w:snapToGrid w:val="0"/>
              <w:spacing w:line="600" w:lineRule="exact"/>
              <w:jc w:val="center"/>
              <w:rPr>
                <w:rFonts w:hint="eastAsia" w:ascii="仿宋_GB2312" w:eastAsia="仿宋_GB2312"/>
                <w:kern w:val="0"/>
                <w:sz w:val="28"/>
                <w:szCs w:val="28"/>
              </w:rPr>
            </w:pPr>
            <w:r>
              <w:rPr>
                <w:rFonts w:hint="eastAsia" w:ascii="仿宋_GB2312" w:eastAsia="仿宋_GB2312"/>
                <w:kern w:val="0"/>
                <w:sz w:val="28"/>
                <w:szCs w:val="28"/>
              </w:rPr>
              <w:t>绩</w:t>
            </w:r>
          </w:p>
        </w:tc>
        <w:tc>
          <w:tcPr>
            <w:tcW w:w="2417" w:type="dxa"/>
            <w:gridSpan w:val="2"/>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r>
              <w:rPr>
                <w:rFonts w:hint="eastAsia" w:ascii="仿宋_GB2312" w:eastAsia="仿宋_GB2312"/>
                <w:kern w:val="0"/>
                <w:sz w:val="28"/>
                <w:szCs w:val="28"/>
              </w:rPr>
              <w:t>项目名称</w:t>
            </w:r>
          </w:p>
        </w:tc>
        <w:tc>
          <w:tcPr>
            <w:tcW w:w="1866" w:type="dxa"/>
            <w:gridSpan w:val="2"/>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r>
              <w:rPr>
                <w:rFonts w:hint="eastAsia" w:ascii="仿宋_GB2312" w:eastAsia="仿宋_GB2312"/>
                <w:kern w:val="0"/>
                <w:sz w:val="28"/>
                <w:szCs w:val="28"/>
              </w:rPr>
              <w:t>项目单位</w:t>
            </w:r>
          </w:p>
        </w:tc>
        <w:tc>
          <w:tcPr>
            <w:tcW w:w="1401" w:type="dxa"/>
            <w:gridSpan w:val="3"/>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r>
              <w:rPr>
                <w:rFonts w:hint="eastAsia" w:ascii="仿宋_GB2312" w:eastAsia="仿宋_GB2312"/>
                <w:kern w:val="0"/>
                <w:sz w:val="28"/>
                <w:szCs w:val="28"/>
              </w:rPr>
              <w:t>时间</w:t>
            </w:r>
          </w:p>
        </w:tc>
        <w:tc>
          <w:tcPr>
            <w:tcW w:w="2715" w:type="dxa"/>
            <w:gridSpan w:val="2"/>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r>
              <w:rPr>
                <w:rFonts w:hint="eastAsia" w:ascii="仿宋_GB2312" w:eastAsia="仿宋_GB2312"/>
                <w:kern w:val="0"/>
                <w:sz w:val="28"/>
                <w:szCs w:val="28"/>
              </w:rPr>
              <w:t>规模</w:t>
            </w:r>
          </w:p>
        </w:tc>
      </w:tr>
      <w:tr>
        <w:tblPrEx>
          <w:tblLayout w:type="fixed"/>
          <w:tblCellMar>
            <w:top w:w="0" w:type="dxa"/>
            <w:left w:w="108" w:type="dxa"/>
            <w:bottom w:w="0" w:type="dxa"/>
            <w:right w:w="108" w:type="dxa"/>
          </w:tblCellMar>
        </w:tblPrEx>
        <w:trPr>
          <w:trHeight w:val="720" w:hRule="atLeast"/>
        </w:trPr>
        <w:tc>
          <w:tcPr>
            <w:tcW w:w="647"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eastAsia="仿宋_GB2312"/>
                <w:kern w:val="0"/>
                <w:sz w:val="28"/>
                <w:szCs w:val="28"/>
              </w:rPr>
            </w:pPr>
          </w:p>
        </w:tc>
        <w:tc>
          <w:tcPr>
            <w:tcW w:w="2417" w:type="dxa"/>
            <w:gridSpan w:val="2"/>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p>
        </w:tc>
        <w:tc>
          <w:tcPr>
            <w:tcW w:w="1866" w:type="dxa"/>
            <w:gridSpan w:val="2"/>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p>
        </w:tc>
        <w:tc>
          <w:tcPr>
            <w:tcW w:w="1401" w:type="dxa"/>
            <w:gridSpan w:val="3"/>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p>
        </w:tc>
        <w:tc>
          <w:tcPr>
            <w:tcW w:w="2715" w:type="dxa"/>
            <w:gridSpan w:val="2"/>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p>
        </w:tc>
      </w:tr>
      <w:tr>
        <w:tblPrEx>
          <w:tblLayout w:type="fixed"/>
          <w:tblCellMar>
            <w:top w:w="0" w:type="dxa"/>
            <w:left w:w="108" w:type="dxa"/>
            <w:bottom w:w="0" w:type="dxa"/>
            <w:right w:w="108" w:type="dxa"/>
          </w:tblCellMar>
        </w:tblPrEx>
        <w:trPr>
          <w:trHeight w:val="660" w:hRule="atLeast"/>
        </w:trPr>
        <w:tc>
          <w:tcPr>
            <w:tcW w:w="647"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eastAsia="仿宋_GB2312"/>
                <w:kern w:val="0"/>
                <w:sz w:val="28"/>
                <w:szCs w:val="28"/>
              </w:rPr>
            </w:pPr>
          </w:p>
        </w:tc>
        <w:tc>
          <w:tcPr>
            <w:tcW w:w="2417" w:type="dxa"/>
            <w:gridSpan w:val="2"/>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p>
        </w:tc>
        <w:tc>
          <w:tcPr>
            <w:tcW w:w="1866" w:type="dxa"/>
            <w:gridSpan w:val="2"/>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p>
        </w:tc>
        <w:tc>
          <w:tcPr>
            <w:tcW w:w="1401" w:type="dxa"/>
            <w:gridSpan w:val="3"/>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p>
        </w:tc>
        <w:tc>
          <w:tcPr>
            <w:tcW w:w="2715" w:type="dxa"/>
            <w:gridSpan w:val="2"/>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p>
        </w:tc>
      </w:tr>
      <w:tr>
        <w:tblPrEx>
          <w:tblLayout w:type="fixed"/>
          <w:tblCellMar>
            <w:top w:w="0" w:type="dxa"/>
            <w:left w:w="108" w:type="dxa"/>
            <w:bottom w:w="0" w:type="dxa"/>
            <w:right w:w="108" w:type="dxa"/>
          </w:tblCellMar>
        </w:tblPrEx>
        <w:trPr>
          <w:trHeight w:val="690" w:hRule="atLeast"/>
        </w:trPr>
        <w:tc>
          <w:tcPr>
            <w:tcW w:w="647"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eastAsia="仿宋_GB2312"/>
                <w:kern w:val="0"/>
                <w:sz w:val="28"/>
                <w:szCs w:val="28"/>
              </w:rPr>
            </w:pPr>
          </w:p>
        </w:tc>
        <w:tc>
          <w:tcPr>
            <w:tcW w:w="2417" w:type="dxa"/>
            <w:gridSpan w:val="2"/>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p>
        </w:tc>
        <w:tc>
          <w:tcPr>
            <w:tcW w:w="1866" w:type="dxa"/>
            <w:gridSpan w:val="2"/>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p>
        </w:tc>
        <w:tc>
          <w:tcPr>
            <w:tcW w:w="1401" w:type="dxa"/>
            <w:gridSpan w:val="3"/>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p>
        </w:tc>
        <w:tc>
          <w:tcPr>
            <w:tcW w:w="2715" w:type="dxa"/>
            <w:gridSpan w:val="2"/>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p>
        </w:tc>
      </w:tr>
      <w:tr>
        <w:tblPrEx>
          <w:tblLayout w:type="fixed"/>
          <w:tblCellMar>
            <w:top w:w="0" w:type="dxa"/>
            <w:left w:w="108" w:type="dxa"/>
            <w:bottom w:w="0" w:type="dxa"/>
            <w:right w:w="108" w:type="dxa"/>
          </w:tblCellMar>
        </w:tblPrEx>
        <w:trPr>
          <w:trHeight w:val="675" w:hRule="atLeast"/>
        </w:trPr>
        <w:tc>
          <w:tcPr>
            <w:tcW w:w="647"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eastAsia="仿宋_GB2312"/>
                <w:kern w:val="0"/>
                <w:sz w:val="28"/>
                <w:szCs w:val="28"/>
              </w:rPr>
            </w:pPr>
          </w:p>
        </w:tc>
        <w:tc>
          <w:tcPr>
            <w:tcW w:w="2417" w:type="dxa"/>
            <w:gridSpan w:val="2"/>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p>
        </w:tc>
        <w:tc>
          <w:tcPr>
            <w:tcW w:w="1866" w:type="dxa"/>
            <w:gridSpan w:val="2"/>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p>
        </w:tc>
        <w:tc>
          <w:tcPr>
            <w:tcW w:w="1401" w:type="dxa"/>
            <w:gridSpan w:val="3"/>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p>
        </w:tc>
        <w:tc>
          <w:tcPr>
            <w:tcW w:w="2715" w:type="dxa"/>
            <w:gridSpan w:val="2"/>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p>
        </w:tc>
      </w:tr>
      <w:tr>
        <w:tblPrEx>
          <w:tblLayout w:type="fixed"/>
          <w:tblCellMar>
            <w:top w:w="0" w:type="dxa"/>
            <w:left w:w="108" w:type="dxa"/>
            <w:bottom w:w="0" w:type="dxa"/>
            <w:right w:w="108" w:type="dxa"/>
          </w:tblCellMar>
        </w:tblPrEx>
        <w:trPr>
          <w:trHeight w:val="690" w:hRule="atLeast"/>
        </w:trPr>
        <w:tc>
          <w:tcPr>
            <w:tcW w:w="647"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eastAsia="仿宋_GB2312"/>
                <w:kern w:val="0"/>
                <w:sz w:val="28"/>
                <w:szCs w:val="28"/>
              </w:rPr>
            </w:pPr>
          </w:p>
        </w:tc>
        <w:tc>
          <w:tcPr>
            <w:tcW w:w="2417" w:type="dxa"/>
            <w:gridSpan w:val="2"/>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p>
        </w:tc>
        <w:tc>
          <w:tcPr>
            <w:tcW w:w="1866" w:type="dxa"/>
            <w:gridSpan w:val="2"/>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p>
        </w:tc>
        <w:tc>
          <w:tcPr>
            <w:tcW w:w="1401" w:type="dxa"/>
            <w:gridSpan w:val="3"/>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p>
        </w:tc>
        <w:tc>
          <w:tcPr>
            <w:tcW w:w="2715" w:type="dxa"/>
            <w:gridSpan w:val="2"/>
            <w:tcBorders>
              <w:top w:val="single" w:color="000000" w:sz="8" w:space="0"/>
              <w:left w:val="nil"/>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rPr>
            </w:pPr>
          </w:p>
        </w:tc>
      </w:tr>
      <w:tr>
        <w:tblPrEx>
          <w:tblLayout w:type="fixed"/>
          <w:tblCellMar>
            <w:top w:w="0" w:type="dxa"/>
            <w:left w:w="108" w:type="dxa"/>
            <w:bottom w:w="0" w:type="dxa"/>
            <w:right w:w="108" w:type="dxa"/>
          </w:tblCellMar>
        </w:tblPrEx>
        <w:trPr>
          <w:trHeight w:val="587" w:hRule="atLeast"/>
        </w:trPr>
        <w:tc>
          <w:tcPr>
            <w:tcW w:w="647" w:type="dxa"/>
            <w:tcBorders>
              <w:top w:val="single" w:color="000000" w:sz="8" w:space="0"/>
              <w:left w:val="single" w:color="000000" w:sz="8" w:space="0"/>
              <w:bottom w:val="single" w:color="000000" w:sz="8" w:space="0"/>
              <w:right w:val="single" w:color="000000" w:sz="8" w:space="0"/>
            </w:tcBorders>
            <w:vAlign w:val="center"/>
          </w:tcPr>
          <w:p>
            <w:pPr>
              <w:snapToGrid w:val="0"/>
              <w:spacing w:line="600" w:lineRule="exact"/>
              <w:jc w:val="center"/>
              <w:rPr>
                <w:rFonts w:hint="eastAsia" w:ascii="仿宋_GB2312" w:eastAsia="仿宋_GB2312"/>
                <w:kern w:val="0"/>
                <w:sz w:val="28"/>
                <w:szCs w:val="28"/>
                <w:lang w:eastAsia="zh-CN"/>
              </w:rPr>
            </w:pPr>
            <w:r>
              <w:rPr>
                <w:rFonts w:hint="eastAsia" w:ascii="仿宋_GB2312" w:eastAsia="仿宋_GB2312"/>
                <w:kern w:val="0"/>
                <w:sz w:val="28"/>
                <w:szCs w:val="28"/>
                <w:lang w:eastAsia="zh-CN"/>
              </w:rPr>
              <w:t>资料</w:t>
            </w:r>
          </w:p>
        </w:tc>
        <w:tc>
          <w:tcPr>
            <w:tcW w:w="8399" w:type="dxa"/>
            <w:gridSpan w:val="9"/>
            <w:tcBorders>
              <w:top w:val="single" w:color="000000" w:sz="8" w:space="0"/>
              <w:left w:val="nil"/>
              <w:bottom w:val="single" w:color="000000" w:sz="8" w:space="0"/>
              <w:right w:val="single" w:color="000000" w:sz="8" w:space="0"/>
            </w:tcBorders>
            <w:vAlign w:val="center"/>
          </w:tcPr>
          <w:p>
            <w:pPr>
              <w:snapToGrid w:val="0"/>
              <w:spacing w:line="520" w:lineRule="exact"/>
              <w:jc w:val="both"/>
              <w:rPr>
                <w:rFonts w:hint="eastAsia" w:ascii="仿宋_GB2312" w:eastAsia="仿宋_GB2312"/>
                <w:kern w:val="0"/>
                <w:sz w:val="28"/>
                <w:szCs w:val="28"/>
                <w:lang w:eastAsia="zh-CN"/>
              </w:rPr>
            </w:pPr>
            <w:r>
              <w:rPr>
                <w:rFonts w:hint="eastAsia" w:ascii="仿宋_GB2312" w:eastAsia="仿宋_GB2312"/>
                <w:kern w:val="0"/>
                <w:sz w:val="28"/>
                <w:szCs w:val="28"/>
                <w:lang w:val="en-US" w:eastAsia="zh-CN"/>
              </w:rPr>
              <w:t>1.</w:t>
            </w:r>
            <w:r>
              <w:rPr>
                <w:rFonts w:hint="eastAsia" w:ascii="仿宋_GB2312" w:eastAsia="仿宋_GB2312"/>
                <w:kern w:val="0"/>
                <w:sz w:val="28"/>
                <w:szCs w:val="28"/>
                <w:lang w:eastAsia="zh-CN"/>
              </w:rPr>
              <w:t>身份证复印件；</w:t>
            </w:r>
          </w:p>
          <w:p>
            <w:pPr>
              <w:snapToGrid w:val="0"/>
              <w:spacing w:line="520" w:lineRule="exact"/>
              <w:jc w:val="both"/>
              <w:rPr>
                <w:rFonts w:hint="eastAsia" w:ascii="仿宋_GB2312" w:eastAsia="仿宋_GB2312"/>
                <w:kern w:val="0"/>
                <w:sz w:val="28"/>
                <w:szCs w:val="28"/>
                <w:lang w:eastAsia="zh-CN"/>
              </w:rPr>
            </w:pPr>
            <w:r>
              <w:rPr>
                <w:rFonts w:hint="eastAsia" w:ascii="仿宋_GB2312" w:eastAsia="仿宋_GB2312"/>
                <w:kern w:val="0"/>
                <w:sz w:val="28"/>
                <w:szCs w:val="28"/>
                <w:lang w:val="en-US" w:eastAsia="zh-CN"/>
              </w:rPr>
              <w:t>2.</w:t>
            </w:r>
            <w:r>
              <w:rPr>
                <w:rFonts w:hint="eastAsia" w:ascii="仿宋_GB2312" w:eastAsia="仿宋_GB2312"/>
                <w:kern w:val="0"/>
                <w:sz w:val="28"/>
                <w:szCs w:val="28"/>
                <w:lang w:eastAsia="zh-CN"/>
              </w:rPr>
              <w:t>职称证书、资格证书、执业注册证书复印件；</w:t>
            </w:r>
          </w:p>
          <w:p>
            <w:pPr>
              <w:snapToGrid w:val="0"/>
              <w:spacing w:line="520" w:lineRule="exact"/>
              <w:jc w:val="both"/>
              <w:rPr>
                <w:rFonts w:hint="eastAsia" w:ascii="仿宋_GB2312" w:eastAsia="仿宋_GB2312"/>
                <w:kern w:val="0"/>
                <w:sz w:val="28"/>
                <w:szCs w:val="28"/>
                <w:lang w:eastAsia="zh-CN"/>
              </w:rPr>
            </w:pPr>
            <w:r>
              <w:rPr>
                <w:rFonts w:hint="eastAsia" w:ascii="仿宋_GB2312" w:eastAsia="仿宋_GB2312"/>
                <w:kern w:val="0"/>
                <w:sz w:val="28"/>
                <w:szCs w:val="28"/>
                <w:lang w:val="en-US" w:eastAsia="zh-CN"/>
              </w:rPr>
              <w:t>3.</w:t>
            </w:r>
            <w:r>
              <w:rPr>
                <w:rFonts w:hint="eastAsia" w:ascii="仿宋_GB2312" w:eastAsia="仿宋_GB2312"/>
                <w:kern w:val="0"/>
                <w:sz w:val="28"/>
                <w:szCs w:val="28"/>
                <w:lang w:eastAsia="zh-CN"/>
              </w:rPr>
              <w:t>其他证明材料（有效期内劳动合同、上年度社会保险缴纳凭证等）复印件。</w:t>
            </w:r>
          </w:p>
        </w:tc>
      </w:tr>
    </w:tbl>
    <w:p>
      <w:pPr>
        <w:snapToGrid w:val="0"/>
        <w:spacing w:line="400" w:lineRule="exact"/>
        <w:rPr>
          <w:rFonts w:hint="eastAsia" w:ascii="仿宋_GB2312" w:eastAsia="仿宋_GB2312"/>
          <w:kern w:val="0"/>
          <w:sz w:val="32"/>
          <w:szCs w:val="32"/>
        </w:rPr>
      </w:pPr>
      <w:r>
        <w:rPr>
          <w:rFonts w:hint="eastAsia" w:ascii="仿宋_GB2312" w:eastAsia="仿宋_GB2312"/>
          <w:kern w:val="0"/>
          <w:sz w:val="32"/>
          <w:szCs w:val="32"/>
        </w:rPr>
        <w:t xml:space="preserve">附表3： </w:t>
      </w:r>
    </w:p>
    <w:tbl>
      <w:tblPr>
        <w:tblStyle w:val="2"/>
        <w:tblpPr w:leftFromText="180" w:rightFromText="180" w:vertAnchor="text" w:horzAnchor="page" w:tblpX="1995" w:tblpY="900"/>
        <w:tblOverlap w:val="never"/>
        <w:tblW w:w="8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6851"/>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hint="eastAsia"/>
              </w:rPr>
            </w:pPr>
            <w:r>
              <w:rPr>
                <w:rFonts w:hint="eastAsia" w:ascii="仿宋_GB2312" w:eastAsia="仿宋_GB2312"/>
                <w:kern w:val="0"/>
                <w:sz w:val="24"/>
                <w:szCs w:val="24"/>
              </w:rPr>
              <w:t>序号</w:t>
            </w:r>
          </w:p>
        </w:tc>
        <w:tc>
          <w:tcPr>
            <w:tcW w:w="6851" w:type="dxa"/>
            <w:tcBorders>
              <w:top w:val="single" w:color="auto" w:sz="4" w:space="0"/>
              <w:left w:val="nil"/>
              <w:bottom w:val="single" w:color="auto" w:sz="4" w:space="0"/>
              <w:right w:val="single" w:color="auto" w:sz="4" w:space="0"/>
            </w:tcBorders>
            <w:shd w:val="clear" w:color="auto" w:fill="FFFFFF"/>
            <w:vAlign w:val="center"/>
          </w:tcPr>
          <w:p>
            <w:pPr>
              <w:snapToGrid w:val="0"/>
              <w:spacing w:line="320" w:lineRule="exact"/>
              <w:jc w:val="center"/>
            </w:pPr>
            <w:r>
              <w:rPr>
                <w:rFonts w:hint="eastAsia" w:ascii="仿宋_GB2312" w:eastAsia="仿宋_GB2312"/>
                <w:kern w:val="0"/>
                <w:sz w:val="24"/>
                <w:szCs w:val="24"/>
              </w:rPr>
              <w:t>经 核 实 的 情 形</w:t>
            </w:r>
          </w:p>
        </w:tc>
        <w:tc>
          <w:tcPr>
            <w:tcW w:w="941" w:type="dxa"/>
            <w:tcBorders>
              <w:top w:val="single" w:color="auto" w:sz="4" w:space="0"/>
              <w:left w:val="nil"/>
              <w:bottom w:val="single" w:color="auto" w:sz="4" w:space="0"/>
              <w:right w:val="single" w:color="auto" w:sz="4" w:space="0"/>
            </w:tcBorders>
            <w:shd w:val="clear" w:color="auto" w:fill="FFFFFF"/>
            <w:vAlign w:val="center"/>
          </w:tcPr>
          <w:p>
            <w:pPr>
              <w:snapToGrid w:val="0"/>
              <w:spacing w:line="320" w:lineRule="exact"/>
              <w:jc w:val="center"/>
            </w:pPr>
            <w:r>
              <w:rPr>
                <w:rFonts w:hint="eastAsia" w:ascii="仿宋_GB2312" w:eastAsia="仿宋_GB2312"/>
                <w:kern w:val="0"/>
                <w:sz w:val="24"/>
                <w:szCs w:val="24"/>
              </w:rPr>
              <w:t>扣分值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pPr>
            <w:r>
              <w:rPr>
                <w:rFonts w:hint="eastAsia" w:ascii="仿宋_GB2312" w:eastAsia="仿宋_GB2312"/>
                <w:kern w:val="0"/>
                <w:sz w:val="24"/>
                <w:szCs w:val="24"/>
              </w:rPr>
              <w:t>1</w:t>
            </w:r>
          </w:p>
        </w:tc>
        <w:tc>
          <w:tcPr>
            <w:tcW w:w="6851" w:type="dxa"/>
            <w:tcBorders>
              <w:top w:val="single" w:color="auto" w:sz="4" w:space="0"/>
              <w:left w:val="nil"/>
              <w:bottom w:val="single" w:color="auto" w:sz="4" w:space="0"/>
              <w:right w:val="single" w:color="auto" w:sz="4" w:space="0"/>
            </w:tcBorders>
            <w:shd w:val="clear" w:color="auto" w:fill="FFFFFF"/>
            <w:vAlign w:val="center"/>
          </w:tcPr>
          <w:p>
            <w:pPr>
              <w:snapToGrid w:val="0"/>
              <w:spacing w:line="320" w:lineRule="exact"/>
            </w:pPr>
            <w:r>
              <w:rPr>
                <w:rFonts w:hint="eastAsia" w:ascii="仿宋_GB2312" w:eastAsia="仿宋_GB2312"/>
                <w:kern w:val="0"/>
                <w:sz w:val="24"/>
                <w:szCs w:val="24"/>
              </w:rPr>
              <w:t>未在指定的媒介发布招标公告</w:t>
            </w:r>
            <w:r>
              <w:rPr>
                <w:rFonts w:hint="eastAsia" w:ascii="仿宋_GB2312" w:eastAsia="仿宋_GB2312"/>
                <w:kern w:val="0"/>
                <w:sz w:val="24"/>
                <w:szCs w:val="24"/>
                <w:lang w:eastAsia="zh-CN"/>
              </w:rPr>
              <w:t>或公示信息</w:t>
            </w:r>
            <w:r>
              <w:rPr>
                <w:rFonts w:hint="eastAsia" w:ascii="仿宋_GB2312" w:eastAsia="仿宋_GB2312"/>
                <w:kern w:val="0"/>
                <w:sz w:val="24"/>
                <w:szCs w:val="24"/>
              </w:rPr>
              <w:t>的；</w:t>
            </w:r>
          </w:p>
        </w:tc>
        <w:tc>
          <w:tcPr>
            <w:tcW w:w="941" w:type="dxa"/>
            <w:tcBorders>
              <w:top w:val="single" w:color="auto" w:sz="4" w:space="0"/>
              <w:left w:val="nil"/>
              <w:bottom w:val="single" w:color="auto" w:sz="4" w:space="0"/>
              <w:right w:val="single" w:color="auto" w:sz="4" w:space="0"/>
            </w:tcBorders>
            <w:shd w:val="clear" w:color="auto" w:fill="FFFFFF"/>
            <w:vAlign w:val="center"/>
          </w:tcPr>
          <w:p>
            <w:pPr>
              <w:snapToGrid w:val="0"/>
              <w:spacing w:line="320" w:lineRule="exact"/>
              <w:jc w:val="center"/>
            </w:pPr>
            <w:r>
              <w:rPr>
                <w:rFonts w:hint="eastAsia" w:ascii="仿宋_GB2312" w:eastAsia="仿宋_GB2312"/>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pPr>
            <w:r>
              <w:rPr>
                <w:rFonts w:hint="eastAsia" w:ascii="仿宋_GB2312" w:eastAsia="仿宋_GB2312"/>
                <w:kern w:val="0"/>
                <w:sz w:val="24"/>
                <w:szCs w:val="24"/>
              </w:rPr>
              <w:t>2</w:t>
            </w:r>
          </w:p>
        </w:tc>
        <w:tc>
          <w:tcPr>
            <w:tcW w:w="6851" w:type="dxa"/>
            <w:tcBorders>
              <w:top w:val="single" w:color="auto" w:sz="4" w:space="0"/>
              <w:left w:val="nil"/>
              <w:bottom w:val="single" w:color="auto" w:sz="4" w:space="0"/>
              <w:right w:val="single" w:color="auto" w:sz="4" w:space="0"/>
            </w:tcBorders>
            <w:shd w:val="clear" w:color="auto" w:fill="FFFFFF"/>
            <w:vAlign w:val="center"/>
          </w:tcPr>
          <w:p>
            <w:pPr>
              <w:snapToGrid w:val="0"/>
              <w:spacing w:line="320" w:lineRule="exact"/>
            </w:pPr>
            <w:r>
              <w:rPr>
                <w:rFonts w:hint="eastAsia" w:ascii="仿宋_GB2312" w:eastAsia="仿宋_GB2312"/>
                <w:kern w:val="0"/>
                <w:sz w:val="24"/>
                <w:szCs w:val="24"/>
              </w:rPr>
              <w:t>编制、上传招标公告、资格预审文件、招标文件、补充通知、中标通知书、合同文稿、招投标情况书面报告时出现差错的；</w:t>
            </w:r>
          </w:p>
        </w:tc>
        <w:tc>
          <w:tcPr>
            <w:tcW w:w="941" w:type="dxa"/>
            <w:tcBorders>
              <w:top w:val="single" w:color="auto" w:sz="4" w:space="0"/>
              <w:left w:val="nil"/>
              <w:bottom w:val="single" w:color="auto" w:sz="4" w:space="0"/>
              <w:right w:val="single" w:color="auto" w:sz="4" w:space="0"/>
            </w:tcBorders>
            <w:shd w:val="clear" w:color="auto" w:fill="FFFFFF"/>
            <w:vAlign w:val="center"/>
          </w:tcPr>
          <w:p>
            <w:pPr>
              <w:snapToGrid w:val="0"/>
              <w:spacing w:line="320" w:lineRule="exact"/>
              <w:jc w:val="center"/>
              <w:rPr>
                <w:rFonts w:hint="eastAsia" w:eastAsia="仿宋_GB2312"/>
                <w:lang w:val="en-US" w:eastAsia="zh-CN"/>
              </w:rPr>
            </w:pPr>
            <w:r>
              <w:rPr>
                <w:rFonts w:hint="eastAsia" w:ascii="仿宋_GB2312" w:eastAsia="仿宋_GB2312"/>
                <w:kern w:val="0"/>
                <w:sz w:val="24"/>
                <w:szCs w:val="24"/>
                <w:lang w:val="en-US" w:eastAsia="zh-CN"/>
              </w:rPr>
              <w:t>2</w:t>
            </w:r>
            <w:r>
              <w:rPr>
                <w:rFonts w:hint="eastAsia" w:ascii="仿宋_GB2312" w:eastAsia="仿宋_GB2312"/>
                <w:kern w:val="0"/>
                <w:sz w:val="24"/>
                <w:szCs w:val="24"/>
              </w:rPr>
              <w:t>-</w:t>
            </w:r>
            <w:r>
              <w:rPr>
                <w:rFonts w:hint="eastAsia" w:ascii="仿宋_GB2312" w:eastAsia="仿宋_GB2312"/>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pPr>
            <w:r>
              <w:rPr>
                <w:rFonts w:hint="eastAsia" w:ascii="仿宋_GB2312" w:eastAsia="仿宋_GB2312"/>
                <w:kern w:val="0"/>
                <w:sz w:val="24"/>
                <w:szCs w:val="24"/>
              </w:rPr>
              <w:t>3</w:t>
            </w:r>
          </w:p>
        </w:tc>
        <w:tc>
          <w:tcPr>
            <w:tcW w:w="6851" w:type="dxa"/>
            <w:tcBorders>
              <w:top w:val="single" w:color="auto" w:sz="4" w:space="0"/>
              <w:left w:val="nil"/>
              <w:bottom w:val="single" w:color="auto" w:sz="4" w:space="0"/>
              <w:right w:val="single" w:color="auto" w:sz="4" w:space="0"/>
            </w:tcBorders>
            <w:shd w:val="clear" w:color="auto" w:fill="FFFFFF"/>
            <w:vAlign w:val="center"/>
          </w:tcPr>
          <w:p>
            <w:pPr>
              <w:snapToGrid w:val="0"/>
              <w:spacing w:line="320" w:lineRule="exact"/>
            </w:pPr>
            <w:r>
              <w:rPr>
                <w:rFonts w:hint="eastAsia" w:ascii="仿宋_GB2312" w:eastAsia="仿宋_GB2312"/>
                <w:kern w:val="0"/>
                <w:sz w:val="24"/>
                <w:szCs w:val="24"/>
              </w:rPr>
              <w:t>招标项目进入程序或</w:t>
            </w:r>
            <w:r>
              <w:rPr>
                <w:rFonts w:hint="eastAsia" w:ascii="仿宋_GB2312" w:eastAsia="仿宋_GB2312"/>
                <w:kern w:val="0"/>
                <w:sz w:val="24"/>
                <w:szCs w:val="24"/>
                <w:lang w:eastAsia="zh-CN"/>
              </w:rPr>
              <w:t>发布</w:t>
            </w:r>
            <w:r>
              <w:rPr>
                <w:rFonts w:hint="eastAsia" w:ascii="仿宋_GB2312" w:eastAsia="仿宋_GB2312"/>
                <w:kern w:val="0"/>
                <w:sz w:val="24"/>
                <w:szCs w:val="24"/>
              </w:rPr>
              <w:t>公告后，因代理机构原因出现变更条件或取消公告的；</w:t>
            </w:r>
          </w:p>
        </w:tc>
        <w:tc>
          <w:tcPr>
            <w:tcW w:w="941" w:type="dxa"/>
            <w:tcBorders>
              <w:top w:val="single" w:color="auto" w:sz="4" w:space="0"/>
              <w:left w:val="nil"/>
              <w:bottom w:val="single" w:color="auto" w:sz="4" w:space="0"/>
              <w:right w:val="single" w:color="auto" w:sz="4" w:space="0"/>
            </w:tcBorders>
            <w:shd w:val="clear" w:color="auto" w:fill="FFFFFF"/>
            <w:vAlign w:val="center"/>
          </w:tcPr>
          <w:p>
            <w:pPr>
              <w:snapToGrid w:val="0"/>
              <w:spacing w:line="320" w:lineRule="exact"/>
              <w:jc w:val="center"/>
              <w:rPr>
                <w:rFonts w:hint="eastAsia" w:eastAsia="仿宋_GB2312"/>
                <w:lang w:val="en-US" w:eastAsia="zh-CN"/>
              </w:rPr>
            </w:pPr>
            <w:r>
              <w:rPr>
                <w:rFonts w:hint="eastAsia" w:ascii="仿宋_GB2312" w:eastAsia="仿宋_GB2312"/>
                <w:kern w:val="0"/>
                <w:sz w:val="24"/>
                <w:szCs w:val="24"/>
                <w:lang w:val="en-US" w:eastAsia="zh-CN"/>
              </w:rPr>
              <w:t>2</w:t>
            </w:r>
            <w:r>
              <w:rPr>
                <w:rFonts w:hint="eastAsia" w:ascii="仿宋_GB2312" w:eastAsia="仿宋_GB2312"/>
                <w:kern w:val="0"/>
                <w:sz w:val="24"/>
                <w:szCs w:val="24"/>
              </w:rPr>
              <w:t>-</w:t>
            </w:r>
            <w:r>
              <w:rPr>
                <w:rFonts w:hint="eastAsia" w:ascii="仿宋_GB2312" w:eastAsia="仿宋_GB2312"/>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5" w:hRule="atLeast"/>
        </w:trPr>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pPr>
            <w:r>
              <w:rPr>
                <w:rFonts w:hint="eastAsia" w:ascii="仿宋_GB2312" w:eastAsia="仿宋_GB2312"/>
                <w:kern w:val="0"/>
                <w:sz w:val="24"/>
                <w:szCs w:val="24"/>
              </w:rPr>
              <w:t>4</w:t>
            </w:r>
          </w:p>
        </w:tc>
        <w:tc>
          <w:tcPr>
            <w:tcW w:w="6851" w:type="dxa"/>
            <w:tcBorders>
              <w:top w:val="single" w:color="auto" w:sz="4" w:space="0"/>
              <w:left w:val="nil"/>
              <w:bottom w:val="single" w:color="auto" w:sz="4" w:space="0"/>
              <w:right w:val="single" w:color="auto" w:sz="4" w:space="0"/>
            </w:tcBorders>
            <w:shd w:val="clear" w:color="auto" w:fill="FFFFFF"/>
            <w:vAlign w:val="center"/>
          </w:tcPr>
          <w:p>
            <w:pPr>
              <w:snapToGrid w:val="0"/>
              <w:spacing w:line="320" w:lineRule="exact"/>
            </w:pPr>
            <w:r>
              <w:rPr>
                <w:rFonts w:hint="eastAsia" w:ascii="仿宋_GB2312" w:eastAsia="仿宋_GB2312"/>
                <w:kern w:val="0"/>
                <w:sz w:val="24"/>
                <w:szCs w:val="24"/>
              </w:rPr>
              <w:t>在提交投标文件（资格预审申请文件）截止时间后接收投标文件（资格预审申请文件）或擅自拒绝接收投标文件（资格预审申请文件）的；</w:t>
            </w:r>
          </w:p>
        </w:tc>
        <w:tc>
          <w:tcPr>
            <w:tcW w:w="941" w:type="dxa"/>
            <w:tcBorders>
              <w:top w:val="single" w:color="auto" w:sz="4" w:space="0"/>
              <w:left w:val="nil"/>
              <w:bottom w:val="single" w:color="auto" w:sz="4" w:space="0"/>
              <w:right w:val="single" w:color="auto" w:sz="4" w:space="0"/>
            </w:tcBorders>
            <w:shd w:val="clear" w:color="auto" w:fill="FFFFFF"/>
            <w:vAlign w:val="center"/>
          </w:tcPr>
          <w:p>
            <w:pPr>
              <w:snapToGrid w:val="0"/>
              <w:spacing w:line="320" w:lineRule="exact"/>
              <w:jc w:val="center"/>
            </w:pPr>
            <w:r>
              <w:rPr>
                <w:rFonts w:hint="eastAsia" w:ascii="仿宋_GB2312" w:eastAsia="仿宋_GB2312"/>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pPr>
            <w:r>
              <w:rPr>
                <w:rFonts w:hint="eastAsia" w:ascii="仿宋_GB2312" w:eastAsia="仿宋_GB2312"/>
                <w:kern w:val="0"/>
                <w:sz w:val="24"/>
                <w:szCs w:val="24"/>
              </w:rPr>
              <w:t>5</w:t>
            </w:r>
          </w:p>
        </w:tc>
        <w:tc>
          <w:tcPr>
            <w:tcW w:w="6851" w:type="dxa"/>
            <w:tcBorders>
              <w:top w:val="single" w:color="auto" w:sz="4" w:space="0"/>
              <w:left w:val="nil"/>
              <w:bottom w:val="single" w:color="auto" w:sz="4" w:space="0"/>
              <w:right w:val="single" w:color="auto" w:sz="4" w:space="0"/>
            </w:tcBorders>
            <w:shd w:val="clear" w:color="auto" w:fill="FFFFFF"/>
            <w:vAlign w:val="center"/>
          </w:tcPr>
          <w:p>
            <w:pPr>
              <w:snapToGrid w:val="0"/>
              <w:spacing w:line="320" w:lineRule="exact"/>
            </w:pPr>
            <w:r>
              <w:rPr>
                <w:rFonts w:hint="eastAsia" w:ascii="仿宋_GB2312" w:eastAsia="仿宋_GB2312"/>
                <w:kern w:val="0"/>
                <w:sz w:val="24"/>
                <w:szCs w:val="24"/>
              </w:rPr>
              <w:t>因开标准备不充分、业务不熟悉，不遵守场内交易操作要求或未认真履行代理工作职责等，造成招投标工作失误的；</w:t>
            </w:r>
          </w:p>
        </w:tc>
        <w:tc>
          <w:tcPr>
            <w:tcW w:w="941" w:type="dxa"/>
            <w:tcBorders>
              <w:top w:val="single" w:color="auto" w:sz="4" w:space="0"/>
              <w:left w:val="nil"/>
              <w:bottom w:val="single" w:color="auto" w:sz="4" w:space="0"/>
              <w:right w:val="single" w:color="auto" w:sz="4" w:space="0"/>
            </w:tcBorders>
            <w:shd w:val="clear" w:color="auto" w:fill="FFFFFF"/>
            <w:vAlign w:val="center"/>
          </w:tcPr>
          <w:p>
            <w:pPr>
              <w:snapToGrid w:val="0"/>
              <w:spacing w:line="320" w:lineRule="exact"/>
              <w:jc w:val="center"/>
            </w:pPr>
            <w:r>
              <w:rPr>
                <w:rFonts w:hint="eastAsia" w:ascii="仿宋_GB2312" w:eastAsia="仿宋_GB2312"/>
                <w:kern w:val="0"/>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pPr>
            <w:r>
              <w:rPr>
                <w:rFonts w:hint="eastAsia" w:ascii="仿宋_GB2312" w:eastAsia="仿宋_GB2312"/>
                <w:kern w:val="0"/>
                <w:sz w:val="24"/>
                <w:szCs w:val="24"/>
              </w:rPr>
              <w:t>6</w:t>
            </w:r>
          </w:p>
        </w:tc>
        <w:tc>
          <w:tcPr>
            <w:tcW w:w="6851" w:type="dxa"/>
            <w:tcBorders>
              <w:top w:val="single" w:color="auto" w:sz="4" w:space="0"/>
              <w:left w:val="nil"/>
              <w:bottom w:val="single" w:color="auto" w:sz="4" w:space="0"/>
              <w:right w:val="single" w:color="auto" w:sz="4" w:space="0"/>
            </w:tcBorders>
            <w:shd w:val="clear" w:color="auto" w:fill="FFFFFF"/>
            <w:vAlign w:val="center"/>
          </w:tcPr>
          <w:p>
            <w:pPr>
              <w:snapToGrid w:val="0"/>
              <w:spacing w:line="320" w:lineRule="exact"/>
            </w:pPr>
            <w:r>
              <w:rPr>
                <w:rFonts w:hint="eastAsia" w:ascii="仿宋_GB2312" w:eastAsia="仿宋_GB2312"/>
                <w:kern w:val="0"/>
                <w:sz w:val="24"/>
                <w:szCs w:val="24"/>
              </w:rPr>
              <w:t>开标、评标时更换项目组人员或人员不到岗的；（每人次）</w:t>
            </w:r>
          </w:p>
        </w:tc>
        <w:tc>
          <w:tcPr>
            <w:tcW w:w="941" w:type="dxa"/>
            <w:tcBorders>
              <w:top w:val="single" w:color="auto" w:sz="4" w:space="0"/>
              <w:left w:val="nil"/>
              <w:bottom w:val="single" w:color="auto" w:sz="4" w:space="0"/>
              <w:right w:val="single" w:color="auto" w:sz="4" w:space="0"/>
            </w:tcBorders>
            <w:shd w:val="clear" w:color="auto" w:fill="FFFFFF"/>
            <w:vAlign w:val="center"/>
          </w:tcPr>
          <w:p>
            <w:pPr>
              <w:snapToGrid w:val="0"/>
              <w:spacing w:line="320" w:lineRule="exact"/>
              <w:jc w:val="center"/>
            </w:pPr>
            <w:r>
              <w:rPr>
                <w:rFonts w:hint="eastAsia" w:ascii="仿宋_GB2312" w:eastAsia="仿宋_GB2312"/>
                <w:kern w:val="0"/>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pPr>
            <w:r>
              <w:rPr>
                <w:rFonts w:hint="eastAsia" w:ascii="仿宋_GB2312" w:eastAsia="仿宋_GB2312"/>
                <w:kern w:val="0"/>
                <w:sz w:val="24"/>
                <w:szCs w:val="24"/>
              </w:rPr>
              <w:t>7</w:t>
            </w:r>
          </w:p>
        </w:tc>
        <w:tc>
          <w:tcPr>
            <w:tcW w:w="6851" w:type="dxa"/>
            <w:tcBorders>
              <w:top w:val="single" w:color="auto" w:sz="4" w:space="0"/>
              <w:left w:val="nil"/>
              <w:bottom w:val="single" w:color="auto" w:sz="4" w:space="0"/>
              <w:right w:val="single" w:color="auto" w:sz="4" w:space="0"/>
            </w:tcBorders>
            <w:shd w:val="clear" w:color="auto" w:fill="FFFFFF"/>
            <w:vAlign w:val="center"/>
          </w:tcPr>
          <w:p>
            <w:pPr>
              <w:snapToGrid w:val="0"/>
              <w:spacing w:line="320" w:lineRule="exact"/>
              <w:rPr>
                <w:rFonts w:hint="eastAsia" w:eastAsia="仿宋_GB2312"/>
                <w:lang w:eastAsia="zh-CN"/>
              </w:rPr>
            </w:pPr>
            <w:r>
              <w:rPr>
                <w:rFonts w:hint="eastAsia" w:ascii="仿宋_GB2312" w:eastAsia="仿宋_GB2312"/>
                <w:kern w:val="0"/>
                <w:sz w:val="24"/>
                <w:szCs w:val="24"/>
              </w:rPr>
              <w:t>开标、评标时未按规定程序进行，出现明显差错的；</w:t>
            </w:r>
            <w:r>
              <w:rPr>
                <w:rFonts w:hint="eastAsia" w:ascii="仿宋_GB2312" w:eastAsia="仿宋_GB2312"/>
                <w:kern w:val="0"/>
                <w:sz w:val="24"/>
                <w:szCs w:val="24"/>
                <w:lang w:eastAsia="zh-CN"/>
              </w:rPr>
              <w:t>未及时同步不见面开标内容或内容错误的；</w:t>
            </w:r>
          </w:p>
        </w:tc>
        <w:tc>
          <w:tcPr>
            <w:tcW w:w="941" w:type="dxa"/>
            <w:tcBorders>
              <w:top w:val="single" w:color="auto" w:sz="4" w:space="0"/>
              <w:left w:val="nil"/>
              <w:bottom w:val="single" w:color="auto" w:sz="4" w:space="0"/>
              <w:right w:val="single" w:color="auto" w:sz="4" w:space="0"/>
            </w:tcBorders>
            <w:shd w:val="clear" w:color="auto" w:fill="FFFFFF"/>
            <w:vAlign w:val="center"/>
          </w:tcPr>
          <w:p>
            <w:pPr>
              <w:snapToGrid w:val="0"/>
              <w:spacing w:line="320" w:lineRule="exact"/>
              <w:jc w:val="center"/>
              <w:rPr>
                <w:rFonts w:hint="eastAsia" w:eastAsia="仿宋_GB2312"/>
                <w:lang w:val="en-US" w:eastAsia="zh-CN"/>
              </w:rPr>
            </w:pPr>
            <w:r>
              <w:rPr>
                <w:rFonts w:hint="eastAsia" w:ascii="仿宋_GB2312" w:eastAsia="仿宋_GB2312"/>
                <w:kern w:val="0"/>
                <w:sz w:val="24"/>
                <w:szCs w:val="24"/>
                <w:lang w:val="en-US" w:eastAsia="zh-CN"/>
              </w:rPr>
              <w:t>2</w:t>
            </w:r>
            <w:r>
              <w:rPr>
                <w:rFonts w:hint="eastAsia" w:ascii="仿宋_GB2312" w:eastAsia="仿宋_GB2312"/>
                <w:kern w:val="0"/>
                <w:sz w:val="24"/>
                <w:szCs w:val="24"/>
              </w:rPr>
              <w:t>-</w:t>
            </w:r>
            <w:r>
              <w:rPr>
                <w:rFonts w:hint="eastAsia" w:ascii="仿宋_GB2312" w:eastAsia="仿宋_GB2312"/>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pPr>
            <w:r>
              <w:rPr>
                <w:rFonts w:hint="eastAsia" w:ascii="仿宋_GB2312" w:eastAsia="仿宋_GB2312"/>
                <w:kern w:val="0"/>
                <w:sz w:val="24"/>
                <w:szCs w:val="24"/>
              </w:rPr>
              <w:t>8</w:t>
            </w:r>
          </w:p>
        </w:tc>
        <w:tc>
          <w:tcPr>
            <w:tcW w:w="6851" w:type="dxa"/>
            <w:tcBorders>
              <w:top w:val="single" w:color="auto" w:sz="4" w:space="0"/>
              <w:left w:val="nil"/>
              <w:bottom w:val="single" w:color="auto" w:sz="4" w:space="0"/>
              <w:right w:val="single" w:color="auto" w:sz="4" w:space="0"/>
            </w:tcBorders>
            <w:shd w:val="clear" w:color="auto" w:fill="FFFFFF"/>
            <w:vAlign w:val="center"/>
          </w:tcPr>
          <w:p>
            <w:pPr>
              <w:snapToGrid w:val="0"/>
              <w:spacing w:line="320" w:lineRule="exact"/>
            </w:pPr>
            <w:r>
              <w:rPr>
                <w:rFonts w:hint="eastAsia" w:ascii="仿宋_GB2312" w:eastAsia="仿宋_GB2312"/>
                <w:kern w:val="0"/>
                <w:sz w:val="24"/>
                <w:szCs w:val="24"/>
              </w:rPr>
              <w:t>未按规定处理投标人提出的异议或无故拒绝投标人异议的；</w:t>
            </w:r>
          </w:p>
        </w:tc>
        <w:tc>
          <w:tcPr>
            <w:tcW w:w="941" w:type="dxa"/>
            <w:tcBorders>
              <w:top w:val="single" w:color="auto" w:sz="4" w:space="0"/>
              <w:left w:val="nil"/>
              <w:bottom w:val="single" w:color="auto" w:sz="4" w:space="0"/>
              <w:right w:val="single" w:color="auto" w:sz="4" w:space="0"/>
            </w:tcBorders>
            <w:shd w:val="clear" w:color="auto" w:fill="FFFFFF"/>
            <w:vAlign w:val="center"/>
          </w:tcPr>
          <w:p>
            <w:pPr>
              <w:snapToGrid w:val="0"/>
              <w:spacing w:line="320" w:lineRule="exact"/>
              <w:jc w:val="center"/>
            </w:pPr>
            <w:r>
              <w:rPr>
                <w:rFonts w:hint="eastAsia" w:ascii="仿宋_GB2312" w:eastAsia="仿宋_GB2312"/>
                <w:kern w:val="0"/>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pPr>
            <w:r>
              <w:rPr>
                <w:rFonts w:hint="eastAsia" w:ascii="仿宋_GB2312" w:eastAsia="仿宋_GB2312"/>
                <w:kern w:val="0"/>
                <w:sz w:val="24"/>
                <w:szCs w:val="24"/>
              </w:rPr>
              <w:t>9</w:t>
            </w:r>
          </w:p>
        </w:tc>
        <w:tc>
          <w:tcPr>
            <w:tcW w:w="6851" w:type="dxa"/>
            <w:tcBorders>
              <w:top w:val="single" w:color="auto" w:sz="4" w:space="0"/>
              <w:left w:val="nil"/>
              <w:bottom w:val="single" w:color="auto" w:sz="4" w:space="0"/>
              <w:right w:val="single" w:color="auto" w:sz="4" w:space="0"/>
            </w:tcBorders>
            <w:shd w:val="clear" w:color="auto" w:fill="FFFFFF"/>
            <w:vAlign w:val="center"/>
          </w:tcPr>
          <w:p>
            <w:pPr>
              <w:snapToGrid w:val="0"/>
              <w:spacing w:line="320" w:lineRule="exact"/>
            </w:pPr>
            <w:r>
              <w:rPr>
                <w:rFonts w:hint="eastAsia" w:ascii="仿宋_GB2312" w:eastAsia="仿宋_GB2312"/>
                <w:kern w:val="0"/>
                <w:sz w:val="24"/>
                <w:szCs w:val="24"/>
              </w:rPr>
              <w:t>未经许可进入评标室或进入评标室不遵守规定或影响评标委员会独立评审的；</w:t>
            </w:r>
          </w:p>
        </w:tc>
        <w:tc>
          <w:tcPr>
            <w:tcW w:w="941" w:type="dxa"/>
            <w:tcBorders>
              <w:top w:val="single" w:color="auto" w:sz="4" w:space="0"/>
              <w:left w:val="nil"/>
              <w:bottom w:val="single" w:color="auto" w:sz="4" w:space="0"/>
              <w:right w:val="single" w:color="auto" w:sz="4" w:space="0"/>
            </w:tcBorders>
            <w:shd w:val="clear" w:color="auto" w:fill="FFFFFF"/>
            <w:vAlign w:val="center"/>
          </w:tcPr>
          <w:p>
            <w:pPr>
              <w:snapToGrid w:val="0"/>
              <w:spacing w:line="320" w:lineRule="exact"/>
              <w:jc w:val="center"/>
            </w:pPr>
            <w:r>
              <w:rPr>
                <w:rFonts w:hint="eastAsia" w:ascii="仿宋_GB2312" w:eastAsia="仿宋_GB2312"/>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pPr>
            <w:r>
              <w:rPr>
                <w:rFonts w:hint="eastAsia" w:ascii="仿宋_GB2312" w:eastAsia="仿宋_GB2312"/>
                <w:kern w:val="0"/>
                <w:sz w:val="24"/>
                <w:szCs w:val="24"/>
              </w:rPr>
              <w:t>10</w:t>
            </w:r>
          </w:p>
        </w:tc>
        <w:tc>
          <w:tcPr>
            <w:tcW w:w="6851" w:type="dxa"/>
            <w:tcBorders>
              <w:top w:val="single" w:color="auto" w:sz="4" w:space="0"/>
              <w:left w:val="nil"/>
              <w:bottom w:val="single" w:color="auto" w:sz="4" w:space="0"/>
              <w:right w:val="single" w:color="auto" w:sz="4" w:space="0"/>
            </w:tcBorders>
            <w:shd w:val="clear" w:color="auto" w:fill="FFFFFF"/>
            <w:vAlign w:val="center"/>
          </w:tcPr>
          <w:p>
            <w:pPr>
              <w:snapToGrid w:val="0"/>
              <w:spacing w:line="320" w:lineRule="exact"/>
            </w:pPr>
            <w:r>
              <w:rPr>
                <w:rFonts w:hint="eastAsia" w:ascii="仿宋_GB2312" w:eastAsia="仿宋_GB2312"/>
                <w:kern w:val="0"/>
                <w:sz w:val="24"/>
                <w:szCs w:val="24"/>
              </w:rPr>
              <w:t>未核对评标报告</w:t>
            </w:r>
            <w:r>
              <w:rPr>
                <w:rFonts w:hint="eastAsia" w:ascii="仿宋_GB2312" w:eastAsia="仿宋_GB2312"/>
                <w:kern w:val="0"/>
                <w:sz w:val="24"/>
                <w:szCs w:val="24"/>
                <w:lang w:eastAsia="zh-CN"/>
              </w:rPr>
              <w:t>导致</w:t>
            </w:r>
            <w:r>
              <w:rPr>
                <w:rFonts w:hint="eastAsia" w:ascii="仿宋_GB2312" w:eastAsia="仿宋_GB2312"/>
                <w:kern w:val="0"/>
                <w:sz w:val="24"/>
                <w:szCs w:val="24"/>
              </w:rPr>
              <w:t>评</w:t>
            </w:r>
            <w:r>
              <w:rPr>
                <w:rFonts w:hint="eastAsia" w:ascii="仿宋_GB2312" w:eastAsia="仿宋_GB2312"/>
                <w:kern w:val="0"/>
                <w:sz w:val="24"/>
                <w:szCs w:val="24"/>
                <w:lang w:eastAsia="zh-CN"/>
              </w:rPr>
              <w:t>审</w:t>
            </w:r>
            <w:r>
              <w:rPr>
                <w:rFonts w:hint="eastAsia" w:ascii="仿宋_GB2312" w:eastAsia="仿宋_GB2312"/>
                <w:kern w:val="0"/>
                <w:sz w:val="24"/>
                <w:szCs w:val="24"/>
              </w:rPr>
              <w:t>结果出现差错的；</w:t>
            </w:r>
          </w:p>
        </w:tc>
        <w:tc>
          <w:tcPr>
            <w:tcW w:w="941" w:type="dxa"/>
            <w:tcBorders>
              <w:top w:val="single" w:color="auto" w:sz="4" w:space="0"/>
              <w:left w:val="nil"/>
              <w:bottom w:val="single" w:color="auto" w:sz="4" w:space="0"/>
              <w:right w:val="single" w:color="auto" w:sz="4" w:space="0"/>
            </w:tcBorders>
            <w:shd w:val="clear" w:color="auto" w:fill="FFFFFF"/>
            <w:vAlign w:val="center"/>
          </w:tcPr>
          <w:p>
            <w:pPr>
              <w:snapToGrid w:val="0"/>
              <w:spacing w:line="320" w:lineRule="exact"/>
              <w:jc w:val="center"/>
              <w:rPr>
                <w:rFonts w:hint="eastAsia" w:eastAsia="仿宋_GB2312"/>
                <w:lang w:val="en-US" w:eastAsia="zh-CN"/>
              </w:rPr>
            </w:pPr>
            <w:r>
              <w:rPr>
                <w:rFonts w:hint="eastAsia" w:ascii="仿宋_GB2312" w:eastAsia="仿宋_GB2312"/>
                <w:kern w:val="0"/>
                <w:sz w:val="24"/>
                <w:szCs w:val="24"/>
                <w:lang w:val="en-US" w:eastAsia="zh-CN"/>
              </w:rPr>
              <w:t>2</w:t>
            </w:r>
            <w:r>
              <w:rPr>
                <w:rFonts w:hint="eastAsia" w:ascii="仿宋_GB2312" w:eastAsia="仿宋_GB2312"/>
                <w:kern w:val="0"/>
                <w:sz w:val="24"/>
                <w:szCs w:val="24"/>
              </w:rPr>
              <w:t>-</w:t>
            </w:r>
            <w:r>
              <w:rPr>
                <w:rFonts w:hint="eastAsia" w:ascii="仿宋_GB2312" w:eastAsia="仿宋_GB2312"/>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pPr>
            <w:r>
              <w:rPr>
                <w:rFonts w:hint="eastAsia" w:ascii="仿宋_GB2312" w:eastAsia="仿宋_GB2312"/>
                <w:kern w:val="0"/>
                <w:sz w:val="24"/>
                <w:szCs w:val="24"/>
              </w:rPr>
              <w:t>11</w:t>
            </w:r>
          </w:p>
        </w:tc>
        <w:tc>
          <w:tcPr>
            <w:tcW w:w="6851" w:type="dxa"/>
            <w:tcBorders>
              <w:top w:val="single" w:color="auto" w:sz="4" w:space="0"/>
              <w:left w:val="nil"/>
              <w:bottom w:val="single" w:color="auto" w:sz="4" w:space="0"/>
              <w:right w:val="single" w:color="auto" w:sz="4" w:space="0"/>
            </w:tcBorders>
            <w:shd w:val="clear" w:color="auto" w:fill="FFFFFF"/>
            <w:vAlign w:val="center"/>
          </w:tcPr>
          <w:p>
            <w:pPr>
              <w:snapToGrid w:val="0"/>
              <w:spacing w:line="320" w:lineRule="exact"/>
            </w:pPr>
            <w:r>
              <w:rPr>
                <w:rFonts w:hint="eastAsia" w:ascii="仿宋_GB2312" w:eastAsia="仿宋_GB2312"/>
                <w:kern w:val="0"/>
                <w:sz w:val="24"/>
                <w:szCs w:val="24"/>
              </w:rPr>
              <w:t>未按规定格式及要求进行中标候选人公示</w:t>
            </w:r>
            <w:r>
              <w:rPr>
                <w:rFonts w:hint="eastAsia" w:ascii="仿宋_GB2312" w:eastAsia="仿宋_GB2312"/>
                <w:kern w:val="0"/>
                <w:sz w:val="24"/>
                <w:szCs w:val="24"/>
                <w:lang w:eastAsia="zh-CN"/>
              </w:rPr>
              <w:t>、中标结果公告、合同公告</w:t>
            </w:r>
            <w:r>
              <w:rPr>
                <w:rFonts w:hint="eastAsia" w:ascii="仿宋_GB2312" w:eastAsia="仿宋_GB2312"/>
                <w:kern w:val="0"/>
                <w:sz w:val="24"/>
                <w:szCs w:val="24"/>
              </w:rPr>
              <w:t>的 ；</w:t>
            </w:r>
          </w:p>
        </w:tc>
        <w:tc>
          <w:tcPr>
            <w:tcW w:w="941" w:type="dxa"/>
            <w:tcBorders>
              <w:top w:val="single" w:color="auto" w:sz="4" w:space="0"/>
              <w:left w:val="nil"/>
              <w:bottom w:val="single" w:color="auto" w:sz="4" w:space="0"/>
              <w:right w:val="single" w:color="auto" w:sz="4" w:space="0"/>
            </w:tcBorders>
            <w:shd w:val="clear" w:color="auto" w:fill="FFFFFF"/>
            <w:vAlign w:val="center"/>
          </w:tcPr>
          <w:p>
            <w:pPr>
              <w:snapToGrid w:val="0"/>
              <w:spacing w:line="320" w:lineRule="exact"/>
              <w:jc w:val="center"/>
            </w:pPr>
            <w:r>
              <w:rPr>
                <w:rFonts w:hint="eastAsia" w:ascii="仿宋_GB2312" w:eastAsia="仿宋_GB2312"/>
                <w:kern w:val="0"/>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pPr>
            <w:r>
              <w:rPr>
                <w:rFonts w:hint="eastAsia" w:ascii="仿宋_GB2312" w:eastAsia="仿宋_GB2312"/>
                <w:kern w:val="0"/>
                <w:sz w:val="24"/>
                <w:szCs w:val="24"/>
              </w:rPr>
              <w:t>12</w:t>
            </w:r>
          </w:p>
        </w:tc>
        <w:tc>
          <w:tcPr>
            <w:tcW w:w="6851" w:type="dxa"/>
            <w:tcBorders>
              <w:top w:val="single" w:color="auto" w:sz="4" w:space="0"/>
              <w:left w:val="nil"/>
              <w:bottom w:val="single" w:color="auto" w:sz="4" w:space="0"/>
              <w:right w:val="single" w:color="auto" w:sz="4" w:space="0"/>
            </w:tcBorders>
            <w:shd w:val="clear" w:color="auto" w:fill="FFFFFF"/>
            <w:vAlign w:val="center"/>
          </w:tcPr>
          <w:p>
            <w:pPr>
              <w:snapToGrid w:val="0"/>
              <w:spacing w:line="320" w:lineRule="exact"/>
            </w:pPr>
            <w:r>
              <w:rPr>
                <w:rFonts w:hint="eastAsia" w:ascii="仿宋_GB2312" w:eastAsia="仿宋_GB2312"/>
                <w:kern w:val="0"/>
                <w:sz w:val="24"/>
                <w:szCs w:val="24"/>
              </w:rPr>
              <w:t>签订的合同条款与招标文件条款内容不一致的 ；</w:t>
            </w:r>
          </w:p>
        </w:tc>
        <w:tc>
          <w:tcPr>
            <w:tcW w:w="941" w:type="dxa"/>
            <w:tcBorders>
              <w:top w:val="single" w:color="auto" w:sz="4" w:space="0"/>
              <w:left w:val="nil"/>
              <w:bottom w:val="single" w:color="auto" w:sz="4" w:space="0"/>
              <w:right w:val="single" w:color="auto" w:sz="4" w:space="0"/>
            </w:tcBorders>
            <w:shd w:val="clear" w:color="auto" w:fill="FFFFFF"/>
            <w:vAlign w:val="center"/>
          </w:tcPr>
          <w:p>
            <w:pPr>
              <w:snapToGrid w:val="0"/>
              <w:spacing w:line="320" w:lineRule="exact"/>
              <w:jc w:val="center"/>
              <w:rPr>
                <w:rFonts w:hint="eastAsia" w:eastAsia="仿宋_GB2312"/>
                <w:lang w:val="en-US" w:eastAsia="zh-CN"/>
              </w:rPr>
            </w:pPr>
            <w:r>
              <w:rPr>
                <w:rFonts w:hint="eastAsia" w:ascii="仿宋_GB2312" w:eastAsia="仿宋_GB2312"/>
                <w:kern w:val="0"/>
                <w:sz w:val="24"/>
                <w:szCs w:val="24"/>
                <w:lang w:val="en-US" w:eastAsia="zh-CN"/>
              </w:rPr>
              <w:t>3</w:t>
            </w:r>
            <w:r>
              <w:rPr>
                <w:rFonts w:hint="eastAsia" w:ascii="仿宋_GB2312" w:eastAsia="仿宋_GB2312"/>
                <w:kern w:val="0"/>
                <w:sz w:val="24"/>
                <w:szCs w:val="24"/>
              </w:rPr>
              <w:t>-</w:t>
            </w:r>
            <w:r>
              <w:rPr>
                <w:rFonts w:hint="eastAsia" w:ascii="仿宋_GB2312" w:eastAsia="仿宋_GB2312"/>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pPr>
            <w:r>
              <w:rPr>
                <w:rFonts w:hint="eastAsia" w:ascii="仿宋_GB2312" w:eastAsia="仿宋_GB2312"/>
                <w:kern w:val="0"/>
                <w:sz w:val="24"/>
                <w:szCs w:val="24"/>
              </w:rPr>
              <w:t>13</w:t>
            </w:r>
          </w:p>
        </w:tc>
        <w:tc>
          <w:tcPr>
            <w:tcW w:w="6851" w:type="dxa"/>
            <w:tcBorders>
              <w:top w:val="single" w:color="auto" w:sz="4" w:space="0"/>
              <w:left w:val="nil"/>
              <w:bottom w:val="single" w:color="auto" w:sz="4" w:space="0"/>
              <w:right w:val="single" w:color="auto" w:sz="4" w:space="0"/>
            </w:tcBorders>
            <w:shd w:val="clear" w:color="auto" w:fill="FFFFFF"/>
            <w:vAlign w:val="center"/>
          </w:tcPr>
          <w:p>
            <w:pPr>
              <w:snapToGrid w:val="0"/>
              <w:spacing w:line="320" w:lineRule="exact"/>
            </w:pPr>
            <w:r>
              <w:rPr>
                <w:rFonts w:hint="eastAsia" w:ascii="仿宋_GB2312" w:eastAsia="仿宋_GB2312"/>
                <w:kern w:val="0"/>
                <w:sz w:val="24"/>
                <w:szCs w:val="24"/>
              </w:rPr>
              <w:t>与投标人串通损害国家利益、社会公共利益或他人合法权益的；</w:t>
            </w:r>
          </w:p>
        </w:tc>
        <w:tc>
          <w:tcPr>
            <w:tcW w:w="941" w:type="dxa"/>
            <w:tcBorders>
              <w:top w:val="single" w:color="auto" w:sz="4" w:space="0"/>
              <w:left w:val="nil"/>
              <w:bottom w:val="single" w:color="auto" w:sz="4" w:space="0"/>
              <w:right w:val="single" w:color="auto" w:sz="4" w:space="0"/>
            </w:tcBorders>
            <w:shd w:val="clear" w:color="auto" w:fill="FFFFFF"/>
            <w:vAlign w:val="center"/>
          </w:tcPr>
          <w:p>
            <w:pPr>
              <w:snapToGrid w:val="0"/>
              <w:spacing w:line="320" w:lineRule="exact"/>
              <w:jc w:val="center"/>
            </w:pPr>
            <w:r>
              <w:rPr>
                <w:rFonts w:hint="eastAsia" w:ascii="仿宋_GB2312" w:eastAsia="仿宋_GB2312"/>
                <w:kern w:val="0"/>
                <w:sz w:val="24"/>
                <w:szCs w:val="24"/>
              </w:rPr>
              <w: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pPr>
            <w:r>
              <w:rPr>
                <w:rFonts w:hint="eastAsia" w:ascii="仿宋_GB2312" w:eastAsia="仿宋_GB2312"/>
                <w:kern w:val="0"/>
                <w:sz w:val="24"/>
                <w:szCs w:val="24"/>
              </w:rPr>
              <w:t>14</w:t>
            </w:r>
          </w:p>
        </w:tc>
        <w:tc>
          <w:tcPr>
            <w:tcW w:w="6851" w:type="dxa"/>
            <w:tcBorders>
              <w:top w:val="single" w:color="auto" w:sz="4" w:space="0"/>
              <w:left w:val="nil"/>
              <w:bottom w:val="single" w:color="auto" w:sz="4" w:space="0"/>
              <w:right w:val="single" w:color="auto" w:sz="4" w:space="0"/>
            </w:tcBorders>
            <w:shd w:val="clear" w:color="auto" w:fill="FFFFFF"/>
            <w:vAlign w:val="center"/>
          </w:tcPr>
          <w:p>
            <w:pPr>
              <w:snapToGrid w:val="0"/>
              <w:spacing w:line="320" w:lineRule="exact"/>
            </w:pPr>
            <w:r>
              <w:rPr>
                <w:rFonts w:hint="eastAsia" w:ascii="仿宋_GB2312" w:eastAsia="仿宋_GB2312"/>
                <w:kern w:val="0"/>
                <w:sz w:val="24"/>
                <w:szCs w:val="24"/>
              </w:rPr>
              <w:t>泄露应当保密的与招标投标活动有关情况或资料的 ；</w:t>
            </w:r>
          </w:p>
        </w:tc>
        <w:tc>
          <w:tcPr>
            <w:tcW w:w="941" w:type="dxa"/>
            <w:tcBorders>
              <w:top w:val="single" w:color="auto" w:sz="4" w:space="0"/>
              <w:left w:val="nil"/>
              <w:bottom w:val="single" w:color="auto" w:sz="4" w:space="0"/>
              <w:right w:val="single" w:color="auto" w:sz="4" w:space="0"/>
            </w:tcBorders>
            <w:shd w:val="clear" w:color="auto" w:fill="FFFFFF"/>
            <w:vAlign w:val="center"/>
          </w:tcPr>
          <w:p>
            <w:pPr>
              <w:snapToGrid w:val="0"/>
              <w:spacing w:line="320" w:lineRule="exact"/>
              <w:jc w:val="center"/>
            </w:pPr>
            <w:r>
              <w:rPr>
                <w:rFonts w:hint="eastAsia" w:ascii="仿宋_GB2312" w:eastAsia="仿宋_GB2312"/>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pPr>
            <w:r>
              <w:rPr>
                <w:rFonts w:hint="eastAsia" w:ascii="仿宋_GB2312" w:eastAsia="仿宋_GB2312"/>
                <w:kern w:val="0"/>
                <w:sz w:val="24"/>
                <w:szCs w:val="24"/>
              </w:rPr>
              <w:t>15</w:t>
            </w:r>
          </w:p>
        </w:tc>
        <w:tc>
          <w:tcPr>
            <w:tcW w:w="6851" w:type="dxa"/>
            <w:tcBorders>
              <w:top w:val="single" w:color="auto" w:sz="4" w:space="0"/>
              <w:left w:val="nil"/>
              <w:bottom w:val="single" w:color="auto" w:sz="4" w:space="0"/>
              <w:right w:val="single" w:color="auto" w:sz="4" w:space="0"/>
            </w:tcBorders>
            <w:shd w:val="clear" w:color="auto" w:fill="FFFFFF"/>
            <w:vAlign w:val="center"/>
          </w:tcPr>
          <w:p>
            <w:pPr>
              <w:snapToGrid w:val="0"/>
              <w:spacing w:line="320" w:lineRule="exact"/>
            </w:pPr>
            <w:r>
              <w:rPr>
                <w:rFonts w:hint="eastAsia" w:ascii="仿宋_GB2312" w:eastAsia="仿宋_GB2312"/>
                <w:kern w:val="0"/>
                <w:sz w:val="24"/>
                <w:szCs w:val="24"/>
              </w:rPr>
              <w:t>在代理过程中对招标人、评标委员会、投标人的违法违规行为，不及时阻止或不主动报告的；</w:t>
            </w:r>
          </w:p>
        </w:tc>
        <w:tc>
          <w:tcPr>
            <w:tcW w:w="941" w:type="dxa"/>
            <w:tcBorders>
              <w:top w:val="single" w:color="auto" w:sz="4" w:space="0"/>
              <w:left w:val="nil"/>
              <w:bottom w:val="single" w:color="auto" w:sz="4" w:space="0"/>
              <w:right w:val="single" w:color="auto" w:sz="4" w:space="0"/>
            </w:tcBorders>
            <w:shd w:val="clear" w:color="auto" w:fill="FFFFFF"/>
            <w:vAlign w:val="center"/>
          </w:tcPr>
          <w:p>
            <w:pPr>
              <w:snapToGrid w:val="0"/>
              <w:spacing w:line="320" w:lineRule="exact"/>
              <w:jc w:val="center"/>
            </w:pPr>
            <w:r>
              <w:rPr>
                <w:rFonts w:hint="eastAsia" w:ascii="仿宋_GB2312" w:eastAsia="仿宋_GB2312"/>
                <w:kern w:val="0"/>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pPr>
            <w:r>
              <w:rPr>
                <w:rFonts w:hint="eastAsia" w:ascii="仿宋_GB2312" w:eastAsia="仿宋_GB2312"/>
                <w:kern w:val="0"/>
                <w:sz w:val="24"/>
                <w:szCs w:val="24"/>
              </w:rPr>
              <w:t>16</w:t>
            </w:r>
          </w:p>
        </w:tc>
        <w:tc>
          <w:tcPr>
            <w:tcW w:w="6851" w:type="dxa"/>
            <w:tcBorders>
              <w:top w:val="single" w:color="auto" w:sz="4" w:space="0"/>
              <w:left w:val="nil"/>
              <w:bottom w:val="single" w:color="auto" w:sz="4" w:space="0"/>
              <w:right w:val="single" w:color="auto" w:sz="4" w:space="0"/>
            </w:tcBorders>
            <w:shd w:val="clear" w:color="auto" w:fill="FFFFFF"/>
            <w:vAlign w:val="center"/>
          </w:tcPr>
          <w:p>
            <w:pPr>
              <w:snapToGrid w:val="0"/>
              <w:spacing w:line="320" w:lineRule="exact"/>
            </w:pPr>
            <w:r>
              <w:rPr>
                <w:rFonts w:hint="eastAsia" w:ascii="仿宋_GB2312" w:eastAsia="仿宋_GB2312"/>
                <w:kern w:val="0"/>
                <w:sz w:val="24"/>
                <w:szCs w:val="24"/>
              </w:rPr>
              <w:t>从事代理业务时，受到招投标相关当事人投诉举报，经核实确属代理人员工作不当引起的 ；</w:t>
            </w:r>
          </w:p>
        </w:tc>
        <w:tc>
          <w:tcPr>
            <w:tcW w:w="941" w:type="dxa"/>
            <w:tcBorders>
              <w:top w:val="single" w:color="auto" w:sz="4" w:space="0"/>
              <w:left w:val="nil"/>
              <w:bottom w:val="single" w:color="auto" w:sz="4" w:space="0"/>
              <w:right w:val="single" w:color="auto" w:sz="4" w:space="0"/>
            </w:tcBorders>
            <w:shd w:val="clear" w:color="auto" w:fill="FFFFFF"/>
            <w:vAlign w:val="center"/>
          </w:tcPr>
          <w:p>
            <w:pPr>
              <w:snapToGrid w:val="0"/>
              <w:spacing w:line="320" w:lineRule="exact"/>
              <w:jc w:val="center"/>
            </w:pPr>
            <w:r>
              <w:rPr>
                <w:rFonts w:hint="eastAsia" w:ascii="仿宋_GB2312" w:eastAsia="仿宋_GB2312"/>
                <w:kern w:val="0"/>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pPr>
            <w:r>
              <w:rPr>
                <w:rFonts w:hint="eastAsia" w:ascii="仿宋_GB2312" w:eastAsia="仿宋_GB2312"/>
                <w:kern w:val="0"/>
                <w:sz w:val="24"/>
                <w:szCs w:val="24"/>
              </w:rPr>
              <w:t>17</w:t>
            </w:r>
          </w:p>
        </w:tc>
        <w:tc>
          <w:tcPr>
            <w:tcW w:w="6851" w:type="dxa"/>
            <w:tcBorders>
              <w:top w:val="single" w:color="auto" w:sz="4" w:space="0"/>
              <w:left w:val="nil"/>
              <w:bottom w:val="single" w:color="auto" w:sz="4" w:space="0"/>
              <w:right w:val="single" w:color="auto" w:sz="4" w:space="0"/>
            </w:tcBorders>
            <w:shd w:val="clear" w:color="auto" w:fill="FFFFFF"/>
            <w:vAlign w:val="center"/>
          </w:tcPr>
          <w:p>
            <w:pPr>
              <w:snapToGrid w:val="0"/>
              <w:spacing w:line="320" w:lineRule="exact"/>
            </w:pPr>
            <w:r>
              <w:rPr>
                <w:rFonts w:hint="eastAsia" w:ascii="仿宋_GB2312" w:eastAsia="仿宋_GB2312"/>
                <w:kern w:val="0"/>
                <w:sz w:val="24"/>
                <w:szCs w:val="24"/>
              </w:rPr>
              <w:t>服务对象</w:t>
            </w:r>
            <w:r>
              <w:rPr>
                <w:rFonts w:hint="eastAsia" w:ascii="仿宋_GB2312" w:eastAsia="仿宋_GB2312"/>
                <w:kern w:val="0"/>
                <w:sz w:val="24"/>
                <w:szCs w:val="24"/>
                <w:lang w:eastAsia="zh-CN"/>
              </w:rPr>
              <w:t>反应或投诉业务水平、</w:t>
            </w:r>
            <w:r>
              <w:rPr>
                <w:rFonts w:hint="eastAsia" w:ascii="仿宋_GB2312" w:eastAsia="仿宋_GB2312"/>
                <w:kern w:val="0"/>
                <w:sz w:val="24"/>
                <w:szCs w:val="24"/>
              </w:rPr>
              <w:t>服务态度</w:t>
            </w:r>
            <w:r>
              <w:rPr>
                <w:rFonts w:hint="eastAsia" w:ascii="仿宋_GB2312" w:eastAsia="仿宋_GB2312"/>
                <w:kern w:val="0"/>
                <w:sz w:val="24"/>
                <w:szCs w:val="24"/>
                <w:lang w:eastAsia="zh-CN"/>
              </w:rPr>
              <w:t>等</w:t>
            </w:r>
            <w:r>
              <w:rPr>
                <w:rFonts w:hint="eastAsia" w:ascii="仿宋_GB2312" w:eastAsia="仿宋_GB2312"/>
                <w:kern w:val="0"/>
                <w:sz w:val="24"/>
                <w:szCs w:val="24"/>
              </w:rPr>
              <w:t>差的；</w:t>
            </w:r>
          </w:p>
        </w:tc>
        <w:tc>
          <w:tcPr>
            <w:tcW w:w="941" w:type="dxa"/>
            <w:tcBorders>
              <w:top w:val="single" w:color="auto" w:sz="4" w:space="0"/>
              <w:left w:val="nil"/>
              <w:bottom w:val="single" w:color="auto" w:sz="4" w:space="0"/>
              <w:right w:val="single" w:color="auto" w:sz="4" w:space="0"/>
            </w:tcBorders>
            <w:shd w:val="clear" w:color="auto" w:fill="FFFFFF"/>
            <w:vAlign w:val="center"/>
          </w:tcPr>
          <w:p>
            <w:pPr>
              <w:snapToGrid w:val="0"/>
              <w:spacing w:line="320" w:lineRule="exact"/>
              <w:jc w:val="center"/>
            </w:pPr>
            <w:r>
              <w:rPr>
                <w:rFonts w:hint="eastAsia" w:ascii="仿宋_GB2312" w:eastAsia="仿宋_GB2312"/>
                <w:kern w:val="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pPr>
            <w:r>
              <w:rPr>
                <w:rFonts w:hint="eastAsia" w:ascii="仿宋_GB2312" w:eastAsia="仿宋_GB2312"/>
                <w:kern w:val="0"/>
                <w:sz w:val="24"/>
                <w:szCs w:val="24"/>
              </w:rPr>
              <w:t>18</w:t>
            </w:r>
          </w:p>
        </w:tc>
        <w:tc>
          <w:tcPr>
            <w:tcW w:w="6851" w:type="dxa"/>
            <w:tcBorders>
              <w:top w:val="single" w:color="auto" w:sz="4" w:space="0"/>
              <w:left w:val="nil"/>
              <w:bottom w:val="single" w:color="auto" w:sz="4" w:space="0"/>
              <w:right w:val="single" w:color="auto" w:sz="4" w:space="0"/>
            </w:tcBorders>
            <w:shd w:val="clear" w:color="auto" w:fill="FFFFFF"/>
            <w:vAlign w:val="center"/>
          </w:tcPr>
          <w:p>
            <w:pPr>
              <w:snapToGrid w:val="0"/>
              <w:spacing w:line="320" w:lineRule="exact"/>
            </w:pPr>
            <w:r>
              <w:rPr>
                <w:rFonts w:hint="eastAsia" w:ascii="仿宋_GB2312" w:eastAsia="仿宋_GB2312"/>
                <w:kern w:val="0"/>
                <w:sz w:val="24"/>
                <w:szCs w:val="24"/>
              </w:rPr>
              <w:t>阻碍或不配合有关部门的检查或者不如实反映情况、提供材料；不配合有关部门处理招标投诉的；</w:t>
            </w:r>
          </w:p>
        </w:tc>
        <w:tc>
          <w:tcPr>
            <w:tcW w:w="941" w:type="dxa"/>
            <w:tcBorders>
              <w:top w:val="single" w:color="auto" w:sz="4" w:space="0"/>
              <w:left w:val="nil"/>
              <w:bottom w:val="single" w:color="auto" w:sz="4" w:space="0"/>
              <w:right w:val="single" w:color="auto" w:sz="4" w:space="0"/>
            </w:tcBorders>
            <w:shd w:val="clear" w:color="auto" w:fill="FFFFFF"/>
            <w:vAlign w:val="center"/>
          </w:tcPr>
          <w:p>
            <w:pPr>
              <w:snapToGrid w:val="0"/>
              <w:spacing w:line="320" w:lineRule="exact"/>
              <w:jc w:val="center"/>
            </w:pPr>
            <w:r>
              <w:rPr>
                <w:rFonts w:hint="eastAsia" w:ascii="仿宋_GB2312" w:eastAsia="仿宋_GB2312"/>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pPr>
            <w:r>
              <w:rPr>
                <w:rFonts w:hint="eastAsia" w:ascii="仿宋_GB2312" w:eastAsia="仿宋_GB2312"/>
                <w:kern w:val="0"/>
                <w:sz w:val="24"/>
                <w:szCs w:val="24"/>
              </w:rPr>
              <w:t>19</w:t>
            </w:r>
          </w:p>
        </w:tc>
        <w:tc>
          <w:tcPr>
            <w:tcW w:w="6851" w:type="dxa"/>
            <w:tcBorders>
              <w:top w:val="single" w:color="auto" w:sz="4" w:space="0"/>
              <w:left w:val="nil"/>
              <w:bottom w:val="single" w:color="auto" w:sz="4" w:space="0"/>
              <w:right w:val="single" w:color="auto" w:sz="4" w:space="0"/>
            </w:tcBorders>
            <w:shd w:val="clear" w:color="auto" w:fill="FFFFFF"/>
            <w:vAlign w:val="center"/>
          </w:tcPr>
          <w:p>
            <w:pPr>
              <w:snapToGrid w:val="0"/>
              <w:spacing w:line="320" w:lineRule="exact"/>
            </w:pPr>
            <w:r>
              <w:rPr>
                <w:rFonts w:hint="eastAsia" w:ascii="仿宋_GB2312" w:eastAsia="仿宋_GB2312"/>
                <w:kern w:val="0"/>
                <w:sz w:val="24"/>
                <w:szCs w:val="24"/>
              </w:rPr>
              <w:t>不按要求参加会议、学习和培训的；</w:t>
            </w:r>
          </w:p>
        </w:tc>
        <w:tc>
          <w:tcPr>
            <w:tcW w:w="941" w:type="dxa"/>
            <w:tcBorders>
              <w:top w:val="single" w:color="auto" w:sz="4" w:space="0"/>
              <w:left w:val="nil"/>
              <w:bottom w:val="single" w:color="auto" w:sz="4" w:space="0"/>
              <w:right w:val="single" w:color="auto" w:sz="4" w:space="0"/>
            </w:tcBorders>
            <w:shd w:val="clear" w:color="auto" w:fill="FFFFFF"/>
            <w:vAlign w:val="center"/>
          </w:tcPr>
          <w:p>
            <w:pPr>
              <w:snapToGrid w:val="0"/>
              <w:spacing w:line="320" w:lineRule="exact"/>
              <w:jc w:val="center"/>
            </w:pPr>
            <w:r>
              <w:rPr>
                <w:rFonts w:hint="eastAsia" w:ascii="仿宋_GB2312" w:eastAsia="仿宋_GB2312"/>
                <w:kern w:val="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pPr>
            <w:r>
              <w:rPr>
                <w:rFonts w:hint="eastAsia" w:ascii="仿宋_GB2312" w:eastAsia="仿宋_GB2312"/>
                <w:kern w:val="0"/>
                <w:sz w:val="24"/>
                <w:szCs w:val="24"/>
              </w:rPr>
              <w:t>20</w:t>
            </w:r>
          </w:p>
        </w:tc>
        <w:tc>
          <w:tcPr>
            <w:tcW w:w="6851" w:type="dxa"/>
            <w:tcBorders>
              <w:top w:val="single" w:color="auto" w:sz="4" w:space="0"/>
              <w:left w:val="nil"/>
              <w:bottom w:val="single" w:color="auto" w:sz="4" w:space="0"/>
              <w:right w:val="single" w:color="auto" w:sz="4" w:space="0"/>
            </w:tcBorders>
            <w:shd w:val="clear" w:color="auto" w:fill="FFFFFF"/>
            <w:vAlign w:val="center"/>
          </w:tcPr>
          <w:p>
            <w:pPr>
              <w:snapToGrid w:val="0"/>
              <w:spacing w:line="320" w:lineRule="exact"/>
            </w:pPr>
            <w:r>
              <w:rPr>
                <w:rFonts w:hint="eastAsia" w:ascii="仿宋_GB2312" w:eastAsia="仿宋_GB2312"/>
                <w:kern w:val="0"/>
                <w:sz w:val="24"/>
                <w:szCs w:val="24"/>
              </w:rPr>
              <w:t>有违反温岭市工程建设项目招标代理管理办法规定行为的；</w:t>
            </w:r>
          </w:p>
        </w:tc>
        <w:tc>
          <w:tcPr>
            <w:tcW w:w="941" w:type="dxa"/>
            <w:tcBorders>
              <w:top w:val="single" w:color="auto" w:sz="4" w:space="0"/>
              <w:left w:val="nil"/>
              <w:bottom w:val="single" w:color="auto" w:sz="4" w:space="0"/>
              <w:right w:val="single" w:color="auto" w:sz="4" w:space="0"/>
            </w:tcBorders>
            <w:shd w:val="clear" w:color="auto" w:fill="FFFFFF"/>
            <w:vAlign w:val="center"/>
          </w:tcPr>
          <w:p>
            <w:pPr>
              <w:snapToGrid w:val="0"/>
              <w:spacing w:line="320" w:lineRule="exact"/>
              <w:jc w:val="center"/>
            </w:pPr>
            <w:r>
              <w:rPr>
                <w:rFonts w:hint="eastAsia" w:ascii="仿宋_GB2312" w:eastAsia="仿宋_GB2312"/>
                <w:kern w:val="0"/>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hint="eastAsia" w:ascii="仿宋_GB2312" w:eastAsia="仿宋_GB2312"/>
                <w:kern w:val="0"/>
                <w:sz w:val="24"/>
                <w:szCs w:val="24"/>
              </w:rPr>
            </w:pPr>
            <w:r>
              <w:rPr>
                <w:rFonts w:hint="eastAsia" w:ascii="仿宋_GB2312" w:eastAsia="仿宋_GB2312"/>
                <w:kern w:val="0"/>
                <w:sz w:val="24"/>
                <w:szCs w:val="24"/>
              </w:rPr>
              <w:t>21</w:t>
            </w:r>
          </w:p>
        </w:tc>
        <w:tc>
          <w:tcPr>
            <w:tcW w:w="6851" w:type="dxa"/>
            <w:tcBorders>
              <w:top w:val="single" w:color="auto" w:sz="4" w:space="0"/>
              <w:left w:val="nil"/>
              <w:bottom w:val="single" w:color="auto" w:sz="4" w:space="0"/>
              <w:right w:val="single" w:color="auto" w:sz="4" w:space="0"/>
            </w:tcBorders>
            <w:shd w:val="clear" w:color="auto" w:fill="FFFFFF"/>
            <w:vAlign w:val="center"/>
          </w:tcPr>
          <w:p>
            <w:pPr>
              <w:snapToGrid w:val="0"/>
              <w:spacing w:line="320" w:lineRule="exact"/>
              <w:rPr>
                <w:rFonts w:hint="eastAsia" w:ascii="仿宋_GB2312" w:eastAsia="仿宋_GB2312"/>
                <w:kern w:val="0"/>
                <w:sz w:val="24"/>
                <w:szCs w:val="24"/>
                <w:lang w:eastAsia="zh-CN"/>
              </w:rPr>
            </w:pPr>
            <w:r>
              <w:rPr>
                <w:rFonts w:hint="eastAsia" w:ascii="仿宋_GB2312" w:eastAsia="仿宋_GB2312"/>
                <w:kern w:val="0"/>
                <w:sz w:val="24"/>
                <w:szCs w:val="24"/>
              </w:rPr>
              <w:t>在代理过程中发生程序性错误或其他重大失误的</w:t>
            </w:r>
            <w:r>
              <w:rPr>
                <w:rFonts w:hint="eastAsia" w:ascii="仿宋_GB2312" w:eastAsia="仿宋_GB2312"/>
                <w:kern w:val="0"/>
                <w:sz w:val="24"/>
                <w:szCs w:val="24"/>
                <w:lang w:eastAsia="zh-CN"/>
              </w:rPr>
              <w:t>；</w:t>
            </w:r>
          </w:p>
        </w:tc>
        <w:tc>
          <w:tcPr>
            <w:tcW w:w="941" w:type="dxa"/>
            <w:tcBorders>
              <w:top w:val="single" w:color="auto" w:sz="4" w:space="0"/>
              <w:left w:val="nil"/>
              <w:bottom w:val="single" w:color="auto" w:sz="4" w:space="0"/>
              <w:right w:val="single" w:color="auto" w:sz="4" w:space="0"/>
            </w:tcBorders>
            <w:shd w:val="clear" w:color="auto" w:fill="FFFFFF"/>
            <w:vAlign w:val="center"/>
          </w:tcPr>
          <w:p>
            <w:pPr>
              <w:snapToGrid w:val="0"/>
              <w:spacing w:line="320" w:lineRule="exact"/>
              <w:jc w:val="center"/>
              <w:rPr>
                <w:rFonts w:hint="default" w:ascii="仿宋_GB2312" w:eastAsia="仿宋_GB2312"/>
                <w:kern w:val="0"/>
                <w:sz w:val="24"/>
                <w:szCs w:val="24"/>
                <w:lang w:val="en-US" w:eastAsia="zh-CN"/>
              </w:rPr>
            </w:pPr>
            <w:r>
              <w:rPr>
                <w:rFonts w:hint="eastAsia" w:ascii="仿宋_GB2312" w:eastAsia="仿宋_GB2312"/>
                <w:kern w:val="0"/>
                <w:sz w:val="24"/>
                <w:szCs w:val="24"/>
                <w:lang w:val="en-US"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hint="default" w:eastAsia="宋体"/>
                <w:lang w:val="en-US" w:eastAsia="zh-CN"/>
              </w:rPr>
            </w:pPr>
            <w:r>
              <w:rPr>
                <w:rFonts w:hint="eastAsia" w:ascii="仿宋_GB2312" w:eastAsia="仿宋_GB2312"/>
                <w:kern w:val="0"/>
                <w:sz w:val="24"/>
                <w:szCs w:val="24"/>
                <w:lang w:val="en-US" w:eastAsia="zh-CN"/>
              </w:rPr>
              <w:t>22</w:t>
            </w:r>
          </w:p>
        </w:tc>
        <w:tc>
          <w:tcPr>
            <w:tcW w:w="6851" w:type="dxa"/>
            <w:tcBorders>
              <w:top w:val="single" w:color="auto" w:sz="4" w:space="0"/>
              <w:left w:val="nil"/>
              <w:bottom w:val="single" w:color="auto" w:sz="4" w:space="0"/>
              <w:right w:val="single" w:color="auto" w:sz="4" w:space="0"/>
            </w:tcBorders>
            <w:shd w:val="clear" w:color="auto" w:fill="FFFFFF"/>
            <w:vAlign w:val="center"/>
          </w:tcPr>
          <w:p>
            <w:pPr>
              <w:snapToGrid w:val="0"/>
              <w:spacing w:line="320" w:lineRule="exact"/>
            </w:pPr>
            <w:r>
              <w:rPr>
                <w:rFonts w:hint="eastAsia" w:ascii="仿宋_GB2312" w:eastAsia="仿宋_GB2312"/>
                <w:kern w:val="0"/>
                <w:sz w:val="24"/>
                <w:szCs w:val="24"/>
              </w:rPr>
              <w:t>其他招标代理过程中的</w:t>
            </w:r>
            <w:r>
              <w:rPr>
                <w:rFonts w:hint="eastAsia" w:ascii="仿宋_GB2312" w:eastAsia="仿宋_GB2312"/>
                <w:kern w:val="0"/>
                <w:sz w:val="24"/>
                <w:szCs w:val="24"/>
                <w:lang w:eastAsia="zh-CN"/>
              </w:rPr>
              <w:t>违法</w:t>
            </w:r>
            <w:r>
              <w:rPr>
                <w:rFonts w:hint="eastAsia" w:ascii="仿宋_GB2312" w:eastAsia="仿宋_GB2312"/>
                <w:kern w:val="0"/>
                <w:sz w:val="24"/>
                <w:szCs w:val="24"/>
              </w:rPr>
              <w:t>违规行为 。</w:t>
            </w:r>
          </w:p>
        </w:tc>
        <w:tc>
          <w:tcPr>
            <w:tcW w:w="941" w:type="dxa"/>
            <w:tcBorders>
              <w:top w:val="single" w:color="auto" w:sz="4" w:space="0"/>
              <w:left w:val="nil"/>
              <w:bottom w:val="single" w:color="auto" w:sz="4" w:space="0"/>
              <w:right w:val="single" w:color="auto" w:sz="4" w:space="0"/>
            </w:tcBorders>
            <w:shd w:val="clear" w:color="auto" w:fill="FFFFFF"/>
            <w:vAlign w:val="center"/>
          </w:tcPr>
          <w:p>
            <w:pPr>
              <w:snapToGrid w:val="0"/>
              <w:spacing w:line="320" w:lineRule="exact"/>
              <w:jc w:val="center"/>
              <w:rPr>
                <w:rFonts w:hint="eastAsia" w:eastAsia="仿宋_GB2312"/>
                <w:lang w:val="en-US" w:eastAsia="zh-CN"/>
              </w:rPr>
            </w:pPr>
            <w:r>
              <w:rPr>
                <w:rFonts w:hint="eastAsia" w:ascii="仿宋_GB2312" w:eastAsia="仿宋_GB2312"/>
                <w:kern w:val="0"/>
                <w:sz w:val="24"/>
                <w:szCs w:val="24"/>
              </w:rPr>
              <w:t>1-</w:t>
            </w:r>
            <w:r>
              <w:rPr>
                <w:rFonts w:hint="eastAsia" w:ascii="仿宋_GB2312" w:eastAsia="仿宋_GB2312"/>
                <w:kern w:val="0"/>
                <w:sz w:val="24"/>
                <w:szCs w:val="24"/>
                <w:lang w:val="en-US" w:eastAsia="zh-CN"/>
              </w:rPr>
              <w:t>5</w:t>
            </w:r>
          </w:p>
        </w:tc>
      </w:tr>
    </w:tbl>
    <w:p>
      <w:pPr>
        <w:snapToGrid w:val="0"/>
        <w:spacing w:line="600" w:lineRule="exact"/>
        <w:jc w:val="center"/>
      </w:pPr>
      <w:r>
        <w:rPr>
          <w:rFonts w:hint="eastAsia" w:ascii="华文中宋" w:hAnsi="华文中宋" w:eastAsia="华文中宋"/>
          <w:kern w:val="0"/>
          <w:sz w:val="40"/>
          <w:szCs w:val="40"/>
        </w:rPr>
        <w:t>温岭市招标代理人员扣分对照表</w:t>
      </w:r>
      <w:r>
        <w:rPr>
          <w:rFonts w:hint="eastAsia" w:ascii="黑体" w:hAnsi="黑体" w:eastAsia="黑体"/>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F7"/>
    <w:rsid w:val="00281CAA"/>
    <w:rsid w:val="005C0F72"/>
    <w:rsid w:val="007337EC"/>
    <w:rsid w:val="009B28FE"/>
    <w:rsid w:val="00B05E17"/>
    <w:rsid w:val="00D86FA9"/>
    <w:rsid w:val="00DC2176"/>
    <w:rsid w:val="00E8746C"/>
    <w:rsid w:val="00FB26F7"/>
    <w:rsid w:val="02CC25FC"/>
    <w:rsid w:val="0753359B"/>
    <w:rsid w:val="099414CD"/>
    <w:rsid w:val="0CFA4259"/>
    <w:rsid w:val="0FBC4EF9"/>
    <w:rsid w:val="11340731"/>
    <w:rsid w:val="11BF2AD4"/>
    <w:rsid w:val="12903E54"/>
    <w:rsid w:val="167E1C95"/>
    <w:rsid w:val="169B4384"/>
    <w:rsid w:val="17374910"/>
    <w:rsid w:val="18DB04FF"/>
    <w:rsid w:val="18EB4079"/>
    <w:rsid w:val="1A300001"/>
    <w:rsid w:val="1BA175C8"/>
    <w:rsid w:val="1DAA6F1A"/>
    <w:rsid w:val="1DE452EB"/>
    <w:rsid w:val="21675DA8"/>
    <w:rsid w:val="21AA69B1"/>
    <w:rsid w:val="21FD7118"/>
    <w:rsid w:val="23187734"/>
    <w:rsid w:val="232573FB"/>
    <w:rsid w:val="2599666B"/>
    <w:rsid w:val="26083CD8"/>
    <w:rsid w:val="277F27CC"/>
    <w:rsid w:val="2A127488"/>
    <w:rsid w:val="2C5676ED"/>
    <w:rsid w:val="2C9562C5"/>
    <w:rsid w:val="2CF143D8"/>
    <w:rsid w:val="2D7A3924"/>
    <w:rsid w:val="2D902988"/>
    <w:rsid w:val="2E0A6DC1"/>
    <w:rsid w:val="2F625E15"/>
    <w:rsid w:val="2F826FCE"/>
    <w:rsid w:val="313413AB"/>
    <w:rsid w:val="32B0403B"/>
    <w:rsid w:val="35441470"/>
    <w:rsid w:val="37532AAA"/>
    <w:rsid w:val="384535D9"/>
    <w:rsid w:val="38FE43B0"/>
    <w:rsid w:val="3972332B"/>
    <w:rsid w:val="39B77BEC"/>
    <w:rsid w:val="3C0E31B4"/>
    <w:rsid w:val="3C9C4607"/>
    <w:rsid w:val="3D670AE8"/>
    <w:rsid w:val="3F14045B"/>
    <w:rsid w:val="3FB339F2"/>
    <w:rsid w:val="40D82B69"/>
    <w:rsid w:val="42581E9C"/>
    <w:rsid w:val="43F701DD"/>
    <w:rsid w:val="45931DEF"/>
    <w:rsid w:val="45D34E07"/>
    <w:rsid w:val="46550C27"/>
    <w:rsid w:val="47A414D2"/>
    <w:rsid w:val="49836578"/>
    <w:rsid w:val="4ACA696C"/>
    <w:rsid w:val="4BAE1EB5"/>
    <w:rsid w:val="4C5C39A9"/>
    <w:rsid w:val="4DA1555A"/>
    <w:rsid w:val="4ED16964"/>
    <w:rsid w:val="51A7686E"/>
    <w:rsid w:val="56853A55"/>
    <w:rsid w:val="5700245C"/>
    <w:rsid w:val="577575A2"/>
    <w:rsid w:val="57CB014A"/>
    <w:rsid w:val="593D690E"/>
    <w:rsid w:val="5BE13340"/>
    <w:rsid w:val="5CBF0617"/>
    <w:rsid w:val="5F3953DD"/>
    <w:rsid w:val="61BF620D"/>
    <w:rsid w:val="63F32AD0"/>
    <w:rsid w:val="64B744A5"/>
    <w:rsid w:val="669A2533"/>
    <w:rsid w:val="66C75D6C"/>
    <w:rsid w:val="6B06515B"/>
    <w:rsid w:val="6B5B77B2"/>
    <w:rsid w:val="7153006A"/>
    <w:rsid w:val="72CA5F9C"/>
    <w:rsid w:val="72DE3D5E"/>
    <w:rsid w:val="746E4086"/>
    <w:rsid w:val="76E4013D"/>
    <w:rsid w:val="76EC4B70"/>
    <w:rsid w:val="7A704C9B"/>
    <w:rsid w:val="7D8E247E"/>
    <w:rsid w:val="7EF42652"/>
    <w:rsid w:val="7F2C26D6"/>
    <w:rsid w:val="7F955DC4"/>
    <w:rsid w:val="7FCA0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467</Words>
  <Characters>2664</Characters>
  <Lines>22</Lines>
  <Paragraphs>6</Paragraphs>
  <TotalTime>4</TotalTime>
  <ScaleCrop>false</ScaleCrop>
  <LinksUpToDate>false</LinksUpToDate>
  <CharactersWithSpaces>3125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2021-12-27T08:53:00Z</dcterms:created>
  <dc:creator>PC</dc:creator>
  <cp:lastModifiedBy>Administrator</cp:lastModifiedBy>
  <dcterms:modified xsi:type="dcterms:W3CDTF">2022-03-14T00:49:13Z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