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855" w:rsidRDefault="00B15E81">
      <w:pPr>
        <w:pStyle w:val="a6"/>
        <w:widowControl/>
        <w:snapToGrid w:val="0"/>
        <w:jc w:val="center"/>
        <w:rPr>
          <w:rFonts w:cs="宋体"/>
        </w:rPr>
      </w:pPr>
      <w:r>
        <w:rPr>
          <w:rStyle w:val="15"/>
          <w:rFonts w:ascii="黑体" w:eastAsia="黑体" w:hAnsi="宋体" w:cs="黑体" w:hint="eastAsia"/>
          <w:sz w:val="44"/>
          <w:szCs w:val="44"/>
        </w:rPr>
        <w:t xml:space="preserve">台州市温岭市人民政府城北街道办事处2019年度部门决算 </w:t>
      </w:r>
    </w:p>
    <w:p w:rsidR="005B6855" w:rsidRDefault="005B6855">
      <w:pPr>
        <w:pStyle w:val="a6"/>
        <w:widowControl/>
        <w:snapToGrid w:val="0"/>
        <w:rPr>
          <w:rFonts w:cs="宋体"/>
        </w:rPr>
      </w:pPr>
    </w:p>
    <w:p w:rsidR="005B6855" w:rsidRDefault="005B6855">
      <w:pPr>
        <w:pStyle w:val="a6"/>
        <w:widowControl/>
        <w:snapToGrid w:val="0"/>
        <w:rPr>
          <w:rFonts w:cs="宋体"/>
        </w:rPr>
      </w:pPr>
    </w:p>
    <w:p w:rsidR="005B6855" w:rsidRDefault="00B15E81">
      <w:pPr>
        <w:widowControl/>
        <w:snapToGrid w:val="0"/>
        <w:spacing w:line="600" w:lineRule="atLeast"/>
        <w:ind w:firstLine="640"/>
        <w:rPr>
          <w:rFonts w:ascii="宋体" w:eastAsia="宋体" w:hAnsi="宋体" w:cs="宋体"/>
          <w:kern w:val="0"/>
          <w:sz w:val="24"/>
        </w:rPr>
      </w:pPr>
      <w:r>
        <w:rPr>
          <w:rStyle w:val="15"/>
          <w:rFonts w:ascii="黑体" w:eastAsia="黑体" w:hAnsi="宋体" w:cs="黑体" w:hint="eastAsia"/>
          <w:kern w:val="0"/>
          <w:sz w:val="32"/>
          <w:szCs w:val="32"/>
        </w:rPr>
        <w:t>一、台州市温岭市人民政府城北街道办事处概况</w:t>
      </w:r>
    </w:p>
    <w:p w:rsidR="005B6855" w:rsidRDefault="00B15E81">
      <w:pPr>
        <w:widowControl/>
        <w:snapToGrid w:val="0"/>
        <w:spacing w:line="600" w:lineRule="atLeast"/>
        <w:ind w:firstLine="640"/>
        <w:rPr>
          <w:rFonts w:ascii="宋体" w:eastAsia="宋体" w:hAnsi="宋体" w:cs="宋体"/>
          <w:kern w:val="0"/>
          <w:sz w:val="24"/>
        </w:rPr>
      </w:pPr>
      <w:r>
        <w:rPr>
          <w:rStyle w:val="15"/>
          <w:rFonts w:ascii="楷体" w:eastAsia="楷体" w:hAnsi="楷体" w:cs="楷体" w:hint="eastAsia"/>
          <w:kern w:val="0"/>
          <w:sz w:val="32"/>
          <w:szCs w:val="32"/>
        </w:rPr>
        <w:t>（一）部门职责</w:t>
      </w:r>
    </w:p>
    <w:p w:rsidR="005B6855" w:rsidRDefault="00B15E81">
      <w:pPr>
        <w:widowControl/>
        <w:snapToGrid w:val="0"/>
        <w:spacing w:line="500" w:lineRule="exact"/>
        <w:ind w:firstLineChars="200" w:firstLine="640"/>
        <w:jc w:val="left"/>
        <w:rPr>
          <w:rFonts w:ascii="仿宋" w:eastAsia="仿宋" w:hAnsi="仿宋" w:cs="Arial"/>
          <w:kern w:val="0"/>
          <w:sz w:val="32"/>
          <w:szCs w:val="32"/>
        </w:rPr>
      </w:pPr>
      <w:r>
        <w:rPr>
          <w:rFonts w:ascii="仿宋" w:eastAsia="仿宋" w:hAnsi="仿宋" w:cs="Arial" w:hint="eastAsia"/>
          <w:kern w:val="0"/>
          <w:sz w:val="32"/>
          <w:szCs w:val="32"/>
        </w:rPr>
        <w:t xml:space="preserve">1. </w:t>
      </w:r>
      <w:r>
        <w:rPr>
          <w:rFonts w:ascii="仿宋" w:eastAsia="仿宋" w:hAnsi="仿宋" w:cs="仿宋" w:hint="eastAsia"/>
          <w:kern w:val="0"/>
          <w:sz w:val="32"/>
          <w:szCs w:val="32"/>
        </w:rPr>
        <w:t>制定和组织实施经济、科技和社会发展计划，促进经济发展。</w:t>
      </w:r>
    </w:p>
    <w:p w:rsidR="005B6855" w:rsidRDefault="00B15E81">
      <w:pPr>
        <w:widowControl/>
        <w:snapToGrid w:val="0"/>
        <w:spacing w:line="500" w:lineRule="exact"/>
        <w:ind w:firstLineChars="200" w:firstLine="640"/>
        <w:jc w:val="left"/>
        <w:rPr>
          <w:rFonts w:ascii="仿宋" w:eastAsia="仿宋" w:hAnsi="仿宋" w:cs="Arial"/>
          <w:kern w:val="0"/>
          <w:sz w:val="32"/>
          <w:szCs w:val="32"/>
        </w:rPr>
      </w:pPr>
      <w:r>
        <w:rPr>
          <w:rFonts w:ascii="仿宋" w:eastAsia="仿宋" w:hAnsi="仿宋" w:cs="Arial" w:hint="eastAsia"/>
          <w:kern w:val="0"/>
          <w:sz w:val="32"/>
          <w:szCs w:val="32"/>
        </w:rPr>
        <w:t>2.</w:t>
      </w:r>
      <w:r>
        <w:rPr>
          <w:rFonts w:ascii="仿宋" w:eastAsia="仿宋" w:hAnsi="仿宋" w:cs="仿宋" w:hint="eastAsia"/>
          <w:kern w:val="0"/>
          <w:sz w:val="32"/>
          <w:szCs w:val="32"/>
        </w:rPr>
        <w:t>制定并组织实施村镇建设规划，部署重点工程建设，地方道路建设等公共设施，水利设施的管理。</w:t>
      </w:r>
    </w:p>
    <w:p w:rsidR="005B6855" w:rsidRDefault="00B15E81">
      <w:pPr>
        <w:widowControl/>
        <w:snapToGrid w:val="0"/>
        <w:spacing w:line="500" w:lineRule="exact"/>
        <w:ind w:firstLineChars="200" w:firstLine="640"/>
        <w:jc w:val="left"/>
        <w:rPr>
          <w:rFonts w:ascii="仿宋" w:eastAsia="仿宋" w:hAnsi="仿宋" w:cs="Arial"/>
          <w:kern w:val="0"/>
          <w:sz w:val="32"/>
          <w:szCs w:val="32"/>
        </w:rPr>
      </w:pPr>
      <w:r>
        <w:rPr>
          <w:rFonts w:ascii="仿宋" w:eastAsia="仿宋" w:hAnsi="仿宋" w:cs="Arial" w:hint="eastAsia"/>
          <w:kern w:val="0"/>
          <w:sz w:val="32"/>
          <w:szCs w:val="32"/>
        </w:rPr>
        <w:t>3.</w:t>
      </w:r>
      <w:r>
        <w:rPr>
          <w:rFonts w:ascii="仿宋" w:eastAsia="仿宋" w:hAnsi="仿宋" w:cs="仿宋" w:hint="eastAsia"/>
          <w:kern w:val="0"/>
          <w:sz w:val="32"/>
          <w:szCs w:val="32"/>
        </w:rPr>
        <w:t>负责本行政区域内的民政、计划生育、文化教育、卫生、体育等社会公益事业的综合性工作。</w:t>
      </w:r>
    </w:p>
    <w:p w:rsidR="005B6855" w:rsidRDefault="00B15E81">
      <w:pPr>
        <w:widowControl/>
        <w:snapToGrid w:val="0"/>
        <w:spacing w:line="500" w:lineRule="exact"/>
        <w:ind w:firstLineChars="200" w:firstLine="640"/>
        <w:jc w:val="left"/>
        <w:rPr>
          <w:rFonts w:ascii="仿宋" w:eastAsia="仿宋" w:hAnsi="仿宋" w:cs="Arial"/>
          <w:kern w:val="0"/>
          <w:sz w:val="32"/>
          <w:szCs w:val="32"/>
        </w:rPr>
      </w:pPr>
      <w:r>
        <w:rPr>
          <w:rFonts w:ascii="仿宋" w:eastAsia="仿宋" w:hAnsi="仿宋" w:cs="Arial" w:hint="eastAsia"/>
          <w:kern w:val="0"/>
          <w:sz w:val="32"/>
          <w:szCs w:val="32"/>
        </w:rPr>
        <w:t>4.</w:t>
      </w:r>
      <w:r>
        <w:rPr>
          <w:rFonts w:ascii="仿宋" w:eastAsia="仿宋" w:hAnsi="仿宋" w:cs="仿宋" w:hint="eastAsia"/>
          <w:kern w:val="0"/>
          <w:sz w:val="32"/>
          <w:szCs w:val="32"/>
        </w:rPr>
        <w:t>按计划组织本级财政收入和地方税的征收，完成国家财政计划，不断培植税源，管好财政资金。增强财政实力。</w:t>
      </w:r>
    </w:p>
    <w:p w:rsidR="005B6855" w:rsidRDefault="00B15E81">
      <w:pPr>
        <w:widowControl/>
        <w:snapToGrid w:val="0"/>
        <w:spacing w:line="600" w:lineRule="atLeast"/>
        <w:ind w:firstLine="640"/>
        <w:rPr>
          <w:rFonts w:ascii="宋体" w:eastAsia="宋体" w:hAnsi="宋体" w:cs="宋体"/>
          <w:kern w:val="0"/>
          <w:sz w:val="24"/>
        </w:rPr>
      </w:pPr>
      <w:r>
        <w:rPr>
          <w:rFonts w:ascii="仿宋" w:eastAsia="仿宋" w:hAnsi="仿宋" w:cs="Arial" w:hint="eastAsia"/>
          <w:kern w:val="0"/>
          <w:sz w:val="32"/>
          <w:szCs w:val="32"/>
        </w:rPr>
        <w:t>5.</w:t>
      </w:r>
      <w:r>
        <w:rPr>
          <w:rFonts w:ascii="仿宋" w:eastAsia="仿宋" w:hAnsi="仿宋" w:cs="仿宋" w:hint="eastAsia"/>
          <w:kern w:val="0"/>
          <w:sz w:val="32"/>
          <w:szCs w:val="32"/>
        </w:rPr>
        <w:t>抓好精神文明建设，丰富群众文化生活，提倡移风易俗，反对封建迷信，破除陈规陋习，树立社会主义新风尚。</w:t>
      </w:r>
    </w:p>
    <w:p w:rsidR="005B6855" w:rsidRDefault="00B15E81">
      <w:pPr>
        <w:widowControl/>
        <w:snapToGrid w:val="0"/>
        <w:spacing w:line="600" w:lineRule="atLeast"/>
        <w:ind w:firstLine="640"/>
        <w:rPr>
          <w:rFonts w:ascii="宋体" w:eastAsia="宋体" w:hAnsi="宋体" w:cs="宋体"/>
          <w:kern w:val="0"/>
          <w:sz w:val="24"/>
        </w:rPr>
      </w:pPr>
      <w:r>
        <w:rPr>
          <w:rStyle w:val="15"/>
          <w:rFonts w:ascii="楷体" w:eastAsia="楷体" w:hAnsi="楷体" w:cs="楷体" w:hint="eastAsia"/>
          <w:kern w:val="0"/>
          <w:sz w:val="32"/>
          <w:szCs w:val="32"/>
        </w:rPr>
        <w:t>（二）机构设置</w:t>
      </w:r>
    </w:p>
    <w:p w:rsidR="005B6855" w:rsidRDefault="00B15E81">
      <w:pPr>
        <w:widowControl/>
        <w:snapToGrid w:val="0"/>
        <w:spacing w:line="600" w:lineRule="atLeast"/>
        <w:ind w:firstLine="640"/>
        <w:rPr>
          <w:rFonts w:ascii="仿宋" w:eastAsia="仿宋" w:hAnsi="仿宋" w:cs="仿宋"/>
          <w:kern w:val="0"/>
          <w:sz w:val="32"/>
          <w:szCs w:val="32"/>
        </w:rPr>
      </w:pPr>
      <w:r>
        <w:rPr>
          <w:rFonts w:ascii="仿宋" w:eastAsia="仿宋" w:hAnsi="仿宋" w:cs="仿宋" w:hint="eastAsia"/>
          <w:kern w:val="0"/>
          <w:sz w:val="32"/>
          <w:szCs w:val="32"/>
        </w:rPr>
        <w:t>从预算单位构成看，台州市温岭市人民政府城北街道办事处部门决算包括：本级决算</w:t>
      </w:r>
    </w:p>
    <w:p w:rsidR="005B6855" w:rsidRDefault="00B15E81">
      <w:pPr>
        <w:widowControl/>
        <w:snapToGrid w:val="0"/>
        <w:spacing w:line="600" w:lineRule="atLeast"/>
        <w:ind w:firstLine="640"/>
        <w:rPr>
          <w:rFonts w:ascii="仿宋" w:eastAsia="仿宋" w:hAnsi="仿宋" w:cs="Arial"/>
          <w:kern w:val="0"/>
          <w:sz w:val="32"/>
          <w:szCs w:val="32"/>
        </w:rPr>
      </w:pPr>
      <w:r>
        <w:rPr>
          <w:rFonts w:ascii="仿宋" w:eastAsia="仿宋" w:hAnsi="仿宋" w:cs="Arial" w:hint="eastAsia"/>
          <w:sz w:val="32"/>
          <w:szCs w:val="32"/>
        </w:rPr>
        <w:t>纳入台州市温岭市风景旅游管理局2019年度部门决算编制范围的二级预算单位包括：无</w:t>
      </w:r>
    </w:p>
    <w:p w:rsidR="005B6855" w:rsidRDefault="00B15E81">
      <w:pPr>
        <w:widowControl/>
        <w:snapToGrid w:val="0"/>
        <w:spacing w:line="600" w:lineRule="atLeast"/>
        <w:ind w:firstLine="640"/>
        <w:rPr>
          <w:rFonts w:ascii="宋体" w:eastAsia="宋体" w:hAnsi="宋体" w:cs="宋体"/>
          <w:kern w:val="0"/>
          <w:sz w:val="24"/>
        </w:rPr>
      </w:pPr>
      <w:r>
        <w:rPr>
          <w:rStyle w:val="15"/>
          <w:rFonts w:ascii="黑体" w:eastAsia="黑体" w:hAnsi="宋体" w:cs="黑体" w:hint="eastAsia"/>
          <w:kern w:val="0"/>
          <w:sz w:val="32"/>
          <w:szCs w:val="32"/>
        </w:rPr>
        <w:t>二、台州市温岭市人民政府城北街道办事处</w:t>
      </w:r>
      <w:r>
        <w:rPr>
          <w:rStyle w:val="15"/>
          <w:rFonts w:ascii="黑体" w:eastAsia="黑体" w:hAnsi="宋体" w:cs="Arial" w:hint="eastAsia"/>
          <w:kern w:val="0"/>
          <w:sz w:val="32"/>
          <w:szCs w:val="32"/>
        </w:rPr>
        <w:t>2019年度部门决算公开表</w:t>
      </w:r>
    </w:p>
    <w:p w:rsidR="005B6855" w:rsidRDefault="00B15E81">
      <w:pPr>
        <w:widowControl/>
        <w:snapToGrid w:val="0"/>
        <w:spacing w:line="600" w:lineRule="atLeast"/>
        <w:ind w:firstLine="640"/>
        <w:rPr>
          <w:rFonts w:ascii="宋体" w:eastAsia="宋体" w:hAnsi="宋体" w:cs="宋体"/>
          <w:kern w:val="0"/>
          <w:sz w:val="24"/>
        </w:rPr>
      </w:pPr>
      <w:r>
        <w:rPr>
          <w:rFonts w:ascii="仿宋" w:eastAsia="仿宋" w:hAnsi="仿宋" w:cs="仿宋" w:hint="eastAsia"/>
          <w:kern w:val="0"/>
          <w:sz w:val="32"/>
          <w:szCs w:val="32"/>
        </w:rPr>
        <w:t>详见附表。</w:t>
      </w:r>
    </w:p>
    <w:p w:rsidR="005B6855" w:rsidRDefault="00B15E81">
      <w:pPr>
        <w:widowControl/>
        <w:snapToGrid w:val="0"/>
        <w:spacing w:line="600" w:lineRule="atLeast"/>
        <w:ind w:firstLine="640"/>
        <w:rPr>
          <w:rFonts w:ascii="宋体" w:eastAsia="宋体" w:hAnsi="宋体" w:cs="宋体"/>
          <w:kern w:val="0"/>
          <w:sz w:val="24"/>
        </w:rPr>
      </w:pPr>
      <w:r>
        <w:rPr>
          <w:rStyle w:val="15"/>
          <w:rFonts w:ascii="黑体" w:eastAsia="黑体" w:hAnsi="宋体" w:cs="黑体" w:hint="eastAsia"/>
          <w:kern w:val="0"/>
          <w:sz w:val="32"/>
          <w:szCs w:val="32"/>
        </w:rPr>
        <w:lastRenderedPageBreak/>
        <w:t>三、台州市温岭市人民政府城北街道办事处</w:t>
      </w:r>
      <w:r>
        <w:rPr>
          <w:rStyle w:val="15"/>
          <w:rFonts w:ascii="黑体" w:eastAsia="黑体" w:hAnsi="宋体" w:cs="Arial" w:hint="eastAsia"/>
          <w:kern w:val="0"/>
          <w:sz w:val="32"/>
          <w:szCs w:val="32"/>
        </w:rPr>
        <w:t>2019年度部门决算情况说明</w:t>
      </w:r>
    </w:p>
    <w:p w:rsidR="005B6855" w:rsidRDefault="00B15E81">
      <w:pPr>
        <w:widowControl/>
        <w:snapToGrid w:val="0"/>
        <w:spacing w:line="600" w:lineRule="atLeast"/>
        <w:ind w:firstLine="640"/>
        <w:rPr>
          <w:rFonts w:ascii="宋体" w:eastAsia="宋体" w:hAnsi="宋体" w:cs="宋体"/>
          <w:kern w:val="0"/>
          <w:sz w:val="24"/>
        </w:rPr>
      </w:pPr>
      <w:r>
        <w:rPr>
          <w:rStyle w:val="15"/>
          <w:rFonts w:ascii="楷体" w:eastAsia="楷体" w:hAnsi="楷体" w:cs="楷体" w:hint="eastAsia"/>
          <w:kern w:val="0"/>
          <w:sz w:val="32"/>
          <w:szCs w:val="32"/>
        </w:rPr>
        <w:t>（一）收入支出决算总体情况说明</w:t>
      </w:r>
    </w:p>
    <w:p w:rsidR="005B6855" w:rsidRDefault="00B15E81">
      <w:pPr>
        <w:widowControl/>
        <w:snapToGrid w:val="0"/>
        <w:spacing w:line="600" w:lineRule="atLeast"/>
        <w:ind w:firstLine="640"/>
        <w:rPr>
          <w:rFonts w:ascii="宋体" w:eastAsia="仿宋" w:hAnsi="宋体" w:cs="宋体"/>
          <w:kern w:val="0"/>
          <w:sz w:val="24"/>
        </w:rPr>
      </w:pPr>
      <w:r>
        <w:rPr>
          <w:rFonts w:ascii="仿宋" w:eastAsia="仿宋" w:hAnsi="仿宋" w:cs="Arial" w:hint="eastAsia"/>
          <w:kern w:val="0"/>
          <w:sz w:val="32"/>
          <w:szCs w:val="32"/>
        </w:rPr>
        <w:t>2019年度收、支总计18,216.07万元，与2018年度相比，收、支总计各增加11849.65</w:t>
      </w:r>
      <w:r>
        <w:rPr>
          <w:rFonts w:ascii="仿宋" w:eastAsia="仿宋" w:hAnsi="仿宋" w:cs="仿宋" w:hint="eastAsia"/>
          <w:kern w:val="0"/>
          <w:sz w:val="32"/>
          <w:szCs w:val="32"/>
        </w:rPr>
        <w:t>万元，增长</w:t>
      </w:r>
      <w:r>
        <w:rPr>
          <w:rFonts w:ascii="仿宋" w:eastAsia="仿宋" w:hAnsi="仿宋" w:cs="Arial" w:hint="eastAsia"/>
          <w:kern w:val="0"/>
          <w:sz w:val="32"/>
          <w:szCs w:val="32"/>
        </w:rPr>
        <w:t>186.13%。主要原因是：</w:t>
      </w:r>
      <w:r>
        <w:rPr>
          <w:rFonts w:ascii="仿宋" w:eastAsia="仿宋" w:hAnsi="仿宋" w:cs="仿宋" w:hint="eastAsia"/>
          <w:kern w:val="0"/>
          <w:sz w:val="32"/>
          <w:szCs w:val="32"/>
        </w:rPr>
        <w:t>土地出让金收入增加。</w:t>
      </w:r>
    </w:p>
    <w:p w:rsidR="005B6855" w:rsidRDefault="00B15E81">
      <w:pPr>
        <w:widowControl/>
        <w:snapToGrid w:val="0"/>
        <w:spacing w:line="600" w:lineRule="atLeast"/>
        <w:ind w:firstLine="640"/>
        <w:rPr>
          <w:rFonts w:ascii="宋体" w:eastAsia="宋体" w:hAnsi="宋体" w:cs="宋体"/>
          <w:kern w:val="0"/>
          <w:sz w:val="24"/>
        </w:rPr>
      </w:pPr>
      <w:r>
        <w:rPr>
          <w:rStyle w:val="15"/>
          <w:rFonts w:ascii="楷体" w:eastAsia="楷体" w:hAnsi="楷体" w:cs="楷体" w:hint="eastAsia"/>
          <w:kern w:val="0"/>
          <w:sz w:val="32"/>
          <w:szCs w:val="32"/>
        </w:rPr>
        <w:t>（二）收入决算情况说明</w:t>
      </w:r>
    </w:p>
    <w:p w:rsidR="005B6855" w:rsidRDefault="00B15E81">
      <w:pPr>
        <w:widowControl/>
        <w:snapToGrid w:val="0"/>
        <w:spacing w:line="600" w:lineRule="atLeast"/>
        <w:ind w:firstLine="640"/>
        <w:rPr>
          <w:rFonts w:ascii="宋体" w:eastAsia="宋体" w:hAnsi="宋体" w:cs="宋体"/>
          <w:kern w:val="0"/>
          <w:sz w:val="24"/>
        </w:rPr>
      </w:pPr>
      <w:r>
        <w:rPr>
          <w:rFonts w:ascii="仿宋" w:eastAsia="仿宋" w:hAnsi="仿宋" w:cs="仿宋" w:hint="eastAsia"/>
          <w:kern w:val="0"/>
          <w:sz w:val="32"/>
          <w:szCs w:val="32"/>
        </w:rPr>
        <w:t>本年收入合计</w:t>
      </w:r>
      <w:r>
        <w:rPr>
          <w:rFonts w:ascii="仿宋" w:eastAsia="仿宋" w:hAnsi="仿宋" w:cs="Arial" w:hint="eastAsia"/>
          <w:kern w:val="0"/>
          <w:sz w:val="32"/>
          <w:szCs w:val="32"/>
        </w:rPr>
        <w:t>17,046.98万元；包括财政拨款收入17,046.98万元（其中，一般公共预算2,944.39万元，政府性基金预算14,102.58万元），占收入合计100.00%；上级补助收入0万元，占收入合计0%；事业收入0万元，占收入合计0%；经营收入0万元，占收入合计0%。附属单位上缴收入0万元，占收入合计0%。其他收入0万元，占收入合计0%。</w:t>
      </w:r>
    </w:p>
    <w:p w:rsidR="005B6855" w:rsidRDefault="00B15E81">
      <w:pPr>
        <w:widowControl/>
        <w:snapToGrid w:val="0"/>
        <w:spacing w:line="600" w:lineRule="atLeast"/>
        <w:ind w:firstLine="640"/>
        <w:rPr>
          <w:rFonts w:ascii="宋体" w:eastAsia="宋体" w:hAnsi="宋体" w:cs="宋体"/>
          <w:kern w:val="0"/>
          <w:sz w:val="24"/>
        </w:rPr>
      </w:pPr>
      <w:r>
        <w:rPr>
          <w:rStyle w:val="15"/>
          <w:rFonts w:ascii="楷体" w:eastAsia="楷体" w:hAnsi="楷体" w:cs="楷体" w:hint="eastAsia"/>
          <w:kern w:val="0"/>
          <w:sz w:val="32"/>
          <w:szCs w:val="32"/>
        </w:rPr>
        <w:t>（三）支出决算情况说明</w:t>
      </w:r>
    </w:p>
    <w:p w:rsidR="005B6855" w:rsidRDefault="00B15E81">
      <w:pPr>
        <w:widowControl/>
        <w:snapToGrid w:val="0"/>
        <w:spacing w:line="600" w:lineRule="atLeast"/>
        <w:ind w:firstLine="640"/>
        <w:rPr>
          <w:rFonts w:ascii="宋体" w:eastAsia="宋体" w:hAnsi="宋体" w:cs="宋体"/>
          <w:kern w:val="0"/>
          <w:sz w:val="24"/>
        </w:rPr>
      </w:pPr>
      <w:r>
        <w:rPr>
          <w:rFonts w:ascii="仿宋" w:eastAsia="仿宋" w:hAnsi="仿宋" w:cs="仿宋" w:hint="eastAsia"/>
          <w:kern w:val="0"/>
          <w:sz w:val="32"/>
          <w:szCs w:val="32"/>
        </w:rPr>
        <w:t>本年支出合计</w:t>
      </w:r>
      <w:r>
        <w:rPr>
          <w:rFonts w:ascii="仿宋" w:eastAsia="仿宋" w:hAnsi="仿宋" w:cs="Arial" w:hint="eastAsia"/>
          <w:kern w:val="0"/>
          <w:sz w:val="32"/>
          <w:szCs w:val="32"/>
        </w:rPr>
        <w:t>17,046.98万元，其中基本支出1,246.97万元，占7.31%；项目支出15,800.01万元，占92.69%；上缴上级支出0万元，占0%；经营支出0万元，占0%；对附属单位补助支出0万元，占0%。</w:t>
      </w:r>
    </w:p>
    <w:p w:rsidR="005B6855" w:rsidRDefault="00B15E81">
      <w:pPr>
        <w:widowControl/>
        <w:snapToGrid w:val="0"/>
        <w:spacing w:line="600" w:lineRule="atLeast"/>
        <w:ind w:firstLine="640"/>
        <w:rPr>
          <w:rFonts w:ascii="宋体" w:eastAsia="宋体" w:hAnsi="宋体" w:cs="宋体"/>
          <w:kern w:val="0"/>
          <w:sz w:val="24"/>
        </w:rPr>
      </w:pPr>
      <w:r>
        <w:rPr>
          <w:rStyle w:val="15"/>
          <w:rFonts w:ascii="楷体" w:eastAsia="楷体" w:hAnsi="楷体" w:cs="楷体" w:hint="eastAsia"/>
          <w:kern w:val="0"/>
          <w:sz w:val="32"/>
          <w:szCs w:val="32"/>
        </w:rPr>
        <w:t>（四）财政拨款收入支出决算总体情况说明</w:t>
      </w:r>
    </w:p>
    <w:p w:rsidR="005B6855" w:rsidRDefault="00B15E81">
      <w:pPr>
        <w:widowControl/>
        <w:snapToGrid w:val="0"/>
        <w:spacing w:line="600" w:lineRule="atLeast"/>
        <w:ind w:firstLine="640"/>
        <w:rPr>
          <w:rFonts w:ascii="宋体" w:eastAsia="仿宋" w:hAnsi="宋体" w:cs="宋体"/>
          <w:kern w:val="0"/>
          <w:sz w:val="24"/>
        </w:rPr>
      </w:pPr>
      <w:r>
        <w:rPr>
          <w:rFonts w:ascii="仿宋" w:eastAsia="仿宋" w:hAnsi="仿宋" w:cs="Arial" w:hint="eastAsia"/>
          <w:kern w:val="0"/>
          <w:sz w:val="32"/>
          <w:szCs w:val="32"/>
        </w:rPr>
        <w:t>2019年度财政拨款收、支总计18,216.07万元，与2018年相比，财政拨款收、支总计各增加11849.65</w:t>
      </w:r>
      <w:r>
        <w:rPr>
          <w:rFonts w:ascii="仿宋" w:eastAsia="仿宋" w:hAnsi="仿宋" w:cs="仿宋" w:hint="eastAsia"/>
          <w:kern w:val="0"/>
          <w:sz w:val="32"/>
          <w:szCs w:val="32"/>
        </w:rPr>
        <w:t>万元，增长</w:t>
      </w:r>
      <w:r>
        <w:rPr>
          <w:rFonts w:ascii="仿宋" w:eastAsia="仿宋" w:hAnsi="仿宋" w:cs="Arial" w:hint="eastAsia"/>
          <w:kern w:val="0"/>
          <w:sz w:val="32"/>
          <w:szCs w:val="32"/>
        </w:rPr>
        <w:t>186.13%。主要原因是：</w:t>
      </w:r>
      <w:r>
        <w:rPr>
          <w:rFonts w:ascii="仿宋" w:eastAsia="仿宋" w:hAnsi="仿宋" w:cs="仿宋" w:hint="eastAsia"/>
          <w:kern w:val="0"/>
          <w:sz w:val="32"/>
          <w:szCs w:val="32"/>
        </w:rPr>
        <w:t>土地出让金收入增加。</w:t>
      </w:r>
    </w:p>
    <w:p w:rsidR="005B6855" w:rsidRDefault="00B15E81">
      <w:pPr>
        <w:widowControl/>
        <w:snapToGrid w:val="0"/>
        <w:spacing w:line="600" w:lineRule="atLeast"/>
        <w:ind w:firstLineChars="100" w:firstLine="321"/>
        <w:rPr>
          <w:rFonts w:ascii="宋体" w:eastAsia="宋体" w:hAnsi="宋体" w:cs="宋体"/>
          <w:kern w:val="0"/>
          <w:sz w:val="24"/>
        </w:rPr>
      </w:pPr>
      <w:r>
        <w:rPr>
          <w:rStyle w:val="15"/>
          <w:rFonts w:ascii="楷体" w:eastAsia="楷体" w:hAnsi="楷体" w:cs="楷体" w:hint="eastAsia"/>
          <w:kern w:val="0"/>
          <w:sz w:val="32"/>
          <w:szCs w:val="32"/>
        </w:rPr>
        <w:lastRenderedPageBreak/>
        <w:t>（五）一般公共预算财政拨款支出决算情况说明</w:t>
      </w:r>
    </w:p>
    <w:p w:rsidR="005B6855" w:rsidRDefault="00B15E81">
      <w:pPr>
        <w:widowControl/>
        <w:snapToGrid w:val="0"/>
        <w:spacing w:line="600" w:lineRule="atLeast"/>
        <w:ind w:firstLine="640"/>
        <w:rPr>
          <w:rFonts w:ascii="宋体" w:eastAsia="宋体" w:hAnsi="宋体" w:cs="宋体"/>
          <w:kern w:val="0"/>
          <w:sz w:val="24"/>
        </w:rPr>
      </w:pPr>
      <w:r>
        <w:rPr>
          <w:rStyle w:val="15"/>
          <w:rFonts w:ascii="仿宋" w:eastAsia="仿宋" w:hAnsi="仿宋" w:cs="Arial" w:hint="eastAsia"/>
          <w:kern w:val="0"/>
          <w:sz w:val="32"/>
          <w:szCs w:val="32"/>
        </w:rPr>
        <w:t>1.一般公共预算财政拨款支出决算总体情况。</w:t>
      </w:r>
    </w:p>
    <w:p w:rsidR="005B6855" w:rsidRDefault="00B15E81">
      <w:pPr>
        <w:widowControl/>
        <w:snapToGrid w:val="0"/>
        <w:spacing w:line="600" w:lineRule="atLeast"/>
        <w:ind w:firstLine="640"/>
        <w:rPr>
          <w:rFonts w:ascii="宋体" w:eastAsia="仿宋" w:hAnsi="宋体" w:cs="宋体"/>
          <w:kern w:val="0"/>
          <w:sz w:val="24"/>
        </w:rPr>
      </w:pPr>
      <w:r>
        <w:rPr>
          <w:rFonts w:ascii="仿宋" w:eastAsia="仿宋" w:hAnsi="仿宋" w:cs="Arial" w:hint="eastAsia"/>
          <w:kern w:val="0"/>
          <w:sz w:val="32"/>
          <w:szCs w:val="32"/>
        </w:rPr>
        <w:t>2019年度一般公共预算财政拨款支出2,944.39万元，占本年支出合计的17.27%。与2018年相比，一般公共预算财政拨款支出减少833.4</w:t>
      </w:r>
      <w:r>
        <w:rPr>
          <w:rFonts w:ascii="仿宋" w:eastAsia="仿宋" w:hAnsi="仿宋" w:cs="仿宋" w:hint="eastAsia"/>
          <w:kern w:val="0"/>
          <w:sz w:val="32"/>
          <w:szCs w:val="32"/>
        </w:rPr>
        <w:t>万元，下降</w:t>
      </w:r>
      <w:r>
        <w:rPr>
          <w:rFonts w:ascii="仿宋" w:eastAsia="仿宋" w:hAnsi="仿宋" w:cs="Arial" w:hint="eastAsia"/>
          <w:kern w:val="0"/>
          <w:sz w:val="32"/>
          <w:szCs w:val="32"/>
        </w:rPr>
        <w:t>22.06%。主要原因是：</w:t>
      </w:r>
      <w:r>
        <w:rPr>
          <w:rFonts w:ascii="仿宋" w:eastAsia="仿宋" w:hAnsi="仿宋" w:cs="仿宋" w:hint="eastAsia"/>
          <w:kern w:val="0"/>
          <w:sz w:val="32"/>
          <w:szCs w:val="32"/>
        </w:rPr>
        <w:t>基础设施建设投入减少。</w:t>
      </w:r>
    </w:p>
    <w:p w:rsidR="005B6855" w:rsidRDefault="00B15E81">
      <w:pPr>
        <w:widowControl/>
        <w:snapToGrid w:val="0"/>
        <w:spacing w:line="600" w:lineRule="atLeast"/>
        <w:ind w:firstLine="640"/>
        <w:rPr>
          <w:rFonts w:ascii="宋体" w:eastAsia="宋体" w:hAnsi="宋体" w:cs="宋体"/>
          <w:kern w:val="0"/>
          <w:sz w:val="24"/>
        </w:rPr>
      </w:pPr>
      <w:r>
        <w:rPr>
          <w:rStyle w:val="15"/>
          <w:rFonts w:ascii="仿宋" w:eastAsia="仿宋" w:hAnsi="仿宋" w:cs="Arial" w:hint="eastAsia"/>
          <w:kern w:val="0"/>
          <w:sz w:val="32"/>
          <w:szCs w:val="32"/>
        </w:rPr>
        <w:t>2.一般公共预算财政拨款支出决算结构情况。</w:t>
      </w:r>
    </w:p>
    <w:p w:rsidR="005B6855" w:rsidRDefault="00B15E81">
      <w:pPr>
        <w:widowControl/>
        <w:snapToGrid w:val="0"/>
        <w:spacing w:line="600" w:lineRule="atLeast"/>
        <w:ind w:firstLine="640"/>
        <w:rPr>
          <w:rFonts w:ascii="宋体" w:eastAsia="宋体" w:hAnsi="宋体" w:cs="宋体"/>
          <w:kern w:val="0"/>
          <w:sz w:val="24"/>
        </w:rPr>
      </w:pPr>
      <w:r>
        <w:rPr>
          <w:rFonts w:ascii="仿宋" w:eastAsia="仿宋" w:hAnsi="仿宋" w:cs="Arial" w:hint="eastAsia"/>
          <w:kern w:val="0"/>
          <w:sz w:val="32"/>
          <w:szCs w:val="32"/>
        </w:rPr>
        <w:t>2019年度一般公共预算财政拨款支出2,944.39万元，主要用于以下方面：一般公共服务（类）支出691.51万元，占23.49%；国防（类）支出0万元,占0%；公共安全（类）支出0万元,占0%；教育（类）支出0万元,占0%；科学技术（类）支出0万元,占0%；文化旅游体育与传媒（类）支出41.60万元,占1.41%；社会保障和就业（类）支出680.81万元,占23.12%；卫生健康（类）支出72.55万元,占2.46%；节能环保（类）支出265.80万元,占9.03%；城乡社区（类）支出0万元,占0%；农林水（类）支出970.83万元,占32.97%；交通运输（类）支出0万元,占0%；资源勘探信息等（类）支出104.00万元,占3.53%；商业服务业等（类）支出0万元,占0%；金融（类）支出0万元,占0%；援助其他地区（类）支出0万元,占0%；自然资源海洋气象等（类）支出0万元,占0%；住房保障（类）支出0万元,占0%；粮油物资储备（类）支出0万元,占0%；灾害防治及应急管理（类）支出117.29万元，占3.98%；其他（类）支出0万元,占0%；债务还本</w:t>
      </w:r>
      <w:r>
        <w:rPr>
          <w:rFonts w:ascii="仿宋" w:eastAsia="仿宋" w:hAnsi="仿宋" w:cs="Arial" w:hint="eastAsia"/>
          <w:kern w:val="0"/>
          <w:sz w:val="32"/>
          <w:szCs w:val="32"/>
        </w:rPr>
        <w:lastRenderedPageBreak/>
        <w:t>（类）支出0万元,占0%；债务付息（类）支出0万元,占0%。</w:t>
      </w:r>
    </w:p>
    <w:p w:rsidR="005B6855" w:rsidRDefault="00B15E81">
      <w:pPr>
        <w:widowControl/>
        <w:snapToGrid w:val="0"/>
        <w:spacing w:line="600" w:lineRule="atLeast"/>
        <w:ind w:firstLine="640"/>
        <w:rPr>
          <w:rFonts w:ascii="宋体" w:eastAsia="宋体" w:hAnsi="宋体" w:cs="宋体"/>
          <w:kern w:val="0"/>
          <w:sz w:val="24"/>
        </w:rPr>
      </w:pPr>
      <w:r>
        <w:rPr>
          <w:rStyle w:val="15"/>
          <w:rFonts w:ascii="仿宋" w:eastAsia="仿宋" w:hAnsi="仿宋" w:cs="Arial" w:hint="eastAsia"/>
          <w:kern w:val="0"/>
          <w:sz w:val="32"/>
          <w:szCs w:val="32"/>
        </w:rPr>
        <w:t>3.一般公共预算财政拨款支出决算具体情况。</w:t>
      </w:r>
    </w:p>
    <w:p w:rsidR="005B6855" w:rsidRDefault="00B15E81">
      <w:pPr>
        <w:widowControl/>
        <w:snapToGrid w:val="0"/>
        <w:spacing w:line="600" w:lineRule="atLeast"/>
        <w:ind w:firstLine="640"/>
        <w:rPr>
          <w:rFonts w:ascii="仿宋" w:eastAsia="仿宋" w:hAnsi="仿宋" w:cs="Arial"/>
          <w:kern w:val="0"/>
          <w:sz w:val="32"/>
          <w:szCs w:val="32"/>
        </w:rPr>
      </w:pPr>
      <w:r>
        <w:rPr>
          <w:rFonts w:ascii="仿宋" w:eastAsia="仿宋" w:hAnsi="仿宋" w:cs="Arial" w:hint="eastAsia"/>
          <w:kern w:val="0"/>
          <w:sz w:val="32"/>
          <w:szCs w:val="32"/>
        </w:rPr>
        <w:t>2019年度一般公共预算财政拨款支出年初预算为1284.62</w:t>
      </w:r>
      <w:r>
        <w:rPr>
          <w:rFonts w:ascii="仿宋" w:eastAsia="仿宋" w:hAnsi="仿宋" w:cs="仿宋" w:hint="eastAsia"/>
          <w:kern w:val="0"/>
          <w:sz w:val="32"/>
          <w:szCs w:val="32"/>
        </w:rPr>
        <w:t>万元，支出决算为</w:t>
      </w:r>
      <w:r>
        <w:rPr>
          <w:rFonts w:ascii="仿宋" w:eastAsia="仿宋" w:hAnsi="仿宋" w:cs="Arial" w:hint="eastAsia"/>
          <w:kern w:val="0"/>
          <w:sz w:val="32"/>
          <w:szCs w:val="32"/>
        </w:rPr>
        <w:t>2,944.39万元,完成年初预算的229.2%</w:t>
      </w:r>
      <w:r>
        <w:rPr>
          <w:rFonts w:ascii="仿宋" w:eastAsia="仿宋" w:hAnsi="仿宋" w:cs="仿宋" w:hint="eastAsia"/>
          <w:kern w:val="0"/>
          <w:sz w:val="32"/>
          <w:szCs w:val="32"/>
        </w:rPr>
        <w:t>。</w:t>
      </w:r>
      <w:r>
        <w:rPr>
          <w:rFonts w:ascii="仿宋" w:eastAsia="仿宋" w:hAnsi="仿宋" w:cs="Arial" w:hint="eastAsia"/>
          <w:sz w:val="32"/>
          <w:szCs w:val="32"/>
        </w:rPr>
        <w:t>主要原因是</w:t>
      </w:r>
      <w:r>
        <w:rPr>
          <w:rFonts w:ascii="仿宋" w:eastAsia="仿宋" w:hAnsi="仿宋" w:cs="仿宋" w:hint="eastAsia"/>
          <w:sz w:val="32"/>
          <w:szCs w:val="32"/>
        </w:rPr>
        <w:t>追加民政低保、残联及退役军人优抚补助、考核奖预发及调资结算资金、病故人员一次性抚恤费及遗属补助、专职社区工作者经费、太平街道背街小巷、老旧小区整治提升工程等</w:t>
      </w:r>
      <w:r>
        <w:rPr>
          <w:rFonts w:ascii="仿宋" w:eastAsia="仿宋" w:hAnsi="仿宋" w:cs="仿宋" w:hint="eastAsia"/>
          <w:kern w:val="0"/>
          <w:sz w:val="32"/>
          <w:szCs w:val="32"/>
        </w:rPr>
        <w:t>其中：</w:t>
      </w:r>
    </w:p>
    <w:p w:rsidR="005B6855" w:rsidRDefault="00B15E81">
      <w:pPr>
        <w:widowControl/>
        <w:snapToGrid w:val="0"/>
        <w:spacing w:line="600" w:lineRule="atLeast"/>
        <w:ind w:firstLine="640"/>
        <w:rPr>
          <w:rFonts w:ascii="宋体" w:eastAsia="宋体" w:hAnsi="宋体" w:cs="宋体"/>
          <w:kern w:val="0"/>
          <w:sz w:val="24"/>
        </w:rPr>
      </w:pPr>
      <w:r>
        <w:rPr>
          <w:rFonts w:ascii="仿宋" w:eastAsia="仿宋" w:hAnsi="仿宋" w:cs="仿宋" w:hint="eastAsia"/>
          <w:kern w:val="0"/>
          <w:sz w:val="32"/>
          <w:szCs w:val="32"/>
        </w:rPr>
        <w:t>一般公共服务支出（类）人大事务（款）其他人大事务支出（项）。</w:t>
      </w:r>
      <w:r>
        <w:rPr>
          <w:rFonts w:ascii="仿宋" w:eastAsia="仿宋" w:hAnsi="仿宋" w:cs="Arial" w:hint="eastAsia"/>
          <w:kern w:val="0"/>
          <w:sz w:val="32"/>
          <w:szCs w:val="32"/>
        </w:rPr>
        <w:t>2019</w:t>
      </w:r>
      <w:r>
        <w:rPr>
          <w:rFonts w:ascii="仿宋" w:eastAsia="仿宋" w:hAnsi="仿宋" w:cs="仿宋" w:hint="eastAsia"/>
          <w:kern w:val="0"/>
          <w:sz w:val="32"/>
          <w:szCs w:val="32"/>
        </w:rPr>
        <w:t>年年初预算为</w:t>
      </w:r>
      <w:r>
        <w:rPr>
          <w:rFonts w:ascii="仿宋" w:eastAsia="仿宋" w:hAnsi="仿宋" w:cs="Arial" w:hint="eastAsia"/>
          <w:kern w:val="0"/>
          <w:sz w:val="32"/>
          <w:szCs w:val="32"/>
        </w:rPr>
        <w:t>63</w:t>
      </w:r>
      <w:r>
        <w:rPr>
          <w:rFonts w:ascii="仿宋" w:eastAsia="仿宋" w:hAnsi="仿宋" w:cs="仿宋" w:hint="eastAsia"/>
          <w:kern w:val="0"/>
          <w:sz w:val="32"/>
          <w:szCs w:val="32"/>
        </w:rPr>
        <w:t>万元，</w:t>
      </w:r>
      <w:r>
        <w:rPr>
          <w:rFonts w:ascii="仿宋" w:eastAsia="仿宋" w:hAnsi="仿宋" w:cs="Arial" w:hint="eastAsia"/>
          <w:kern w:val="0"/>
          <w:sz w:val="32"/>
          <w:szCs w:val="32"/>
        </w:rPr>
        <w:t>2019</w:t>
      </w:r>
      <w:r>
        <w:rPr>
          <w:rFonts w:ascii="仿宋" w:eastAsia="仿宋" w:hAnsi="仿宋" w:cs="仿宋" w:hint="eastAsia"/>
          <w:kern w:val="0"/>
          <w:sz w:val="32"/>
          <w:szCs w:val="32"/>
        </w:rPr>
        <w:t>年支出决算为</w:t>
      </w:r>
      <w:r>
        <w:rPr>
          <w:rFonts w:ascii="仿宋" w:eastAsia="仿宋" w:hAnsi="仿宋" w:cs="Arial" w:hint="eastAsia"/>
          <w:kern w:val="0"/>
          <w:sz w:val="32"/>
          <w:szCs w:val="32"/>
        </w:rPr>
        <w:t>63</w:t>
      </w:r>
      <w:r>
        <w:rPr>
          <w:rFonts w:ascii="仿宋" w:eastAsia="仿宋" w:hAnsi="仿宋" w:cs="仿宋" w:hint="eastAsia"/>
          <w:kern w:val="0"/>
          <w:sz w:val="32"/>
          <w:szCs w:val="32"/>
        </w:rPr>
        <w:t>万元，完成年初预算的</w:t>
      </w:r>
      <w:r>
        <w:rPr>
          <w:rFonts w:ascii="仿宋" w:eastAsia="仿宋" w:hAnsi="仿宋" w:cs="Arial" w:hint="eastAsia"/>
          <w:kern w:val="0"/>
          <w:sz w:val="32"/>
          <w:szCs w:val="32"/>
        </w:rPr>
        <w:t>100%，决算等于预算的主要原因是严格按照预算执行</w:t>
      </w:r>
      <w:r>
        <w:rPr>
          <w:rFonts w:ascii="仿宋" w:eastAsia="仿宋" w:hAnsi="仿宋" w:cs="仿宋" w:hint="eastAsia"/>
          <w:kern w:val="0"/>
          <w:sz w:val="32"/>
          <w:szCs w:val="32"/>
        </w:rPr>
        <w:t>。</w:t>
      </w:r>
    </w:p>
    <w:p w:rsidR="005B6855" w:rsidRDefault="00B15E81">
      <w:pPr>
        <w:spacing w:line="600" w:lineRule="atLeast"/>
        <w:ind w:firstLine="640"/>
        <w:rPr>
          <w:rFonts w:ascii="宋体" w:eastAsia="宋体" w:hAnsi="宋体" w:cs="宋体"/>
          <w:kern w:val="0"/>
          <w:sz w:val="24"/>
        </w:rPr>
      </w:pPr>
      <w:r>
        <w:rPr>
          <w:rFonts w:ascii="仿宋" w:eastAsia="仿宋" w:hAnsi="仿宋" w:cs="仿宋" w:hint="eastAsia"/>
          <w:kern w:val="0"/>
          <w:sz w:val="32"/>
          <w:szCs w:val="32"/>
        </w:rPr>
        <w:t>一般公共服务支出（类）政府办公厅（室）及相关机构事务（款）行政运行（项）。</w:t>
      </w:r>
      <w:r>
        <w:rPr>
          <w:rFonts w:ascii="仿宋" w:eastAsia="仿宋" w:hAnsi="仿宋" w:cs="Arial" w:hint="eastAsia"/>
          <w:kern w:val="0"/>
          <w:sz w:val="32"/>
          <w:szCs w:val="32"/>
        </w:rPr>
        <w:t>2019</w:t>
      </w:r>
      <w:r>
        <w:rPr>
          <w:rFonts w:ascii="仿宋" w:eastAsia="仿宋" w:hAnsi="仿宋" w:cs="仿宋" w:hint="eastAsia"/>
          <w:kern w:val="0"/>
          <w:sz w:val="32"/>
          <w:szCs w:val="32"/>
        </w:rPr>
        <w:t>年年初预算为</w:t>
      </w:r>
      <w:r>
        <w:rPr>
          <w:rFonts w:ascii="仿宋" w:eastAsia="仿宋" w:hAnsi="仿宋" w:cs="Arial" w:hint="eastAsia"/>
          <w:kern w:val="0"/>
          <w:sz w:val="32"/>
          <w:szCs w:val="32"/>
        </w:rPr>
        <w:t>264.15</w:t>
      </w:r>
      <w:r>
        <w:rPr>
          <w:rFonts w:ascii="仿宋" w:eastAsia="仿宋" w:hAnsi="仿宋" w:cs="仿宋" w:hint="eastAsia"/>
          <w:kern w:val="0"/>
          <w:sz w:val="32"/>
          <w:szCs w:val="32"/>
        </w:rPr>
        <w:t>万元，</w:t>
      </w:r>
      <w:r>
        <w:rPr>
          <w:rFonts w:ascii="仿宋" w:eastAsia="仿宋" w:hAnsi="仿宋" w:cs="Arial" w:hint="eastAsia"/>
          <w:kern w:val="0"/>
          <w:sz w:val="32"/>
          <w:szCs w:val="32"/>
        </w:rPr>
        <w:t>2019</w:t>
      </w:r>
      <w:r>
        <w:rPr>
          <w:rFonts w:ascii="仿宋" w:eastAsia="仿宋" w:hAnsi="仿宋" w:cs="仿宋" w:hint="eastAsia"/>
          <w:kern w:val="0"/>
          <w:sz w:val="32"/>
          <w:szCs w:val="32"/>
        </w:rPr>
        <w:t>年支出决算为</w:t>
      </w:r>
      <w:r>
        <w:rPr>
          <w:rFonts w:ascii="仿宋" w:eastAsia="仿宋" w:hAnsi="仿宋" w:cs="Arial" w:hint="eastAsia"/>
          <w:kern w:val="0"/>
          <w:sz w:val="32"/>
          <w:szCs w:val="32"/>
        </w:rPr>
        <w:t>273</w:t>
      </w:r>
      <w:r>
        <w:rPr>
          <w:rFonts w:ascii="仿宋" w:eastAsia="仿宋" w:hAnsi="仿宋" w:cs="仿宋" w:hint="eastAsia"/>
          <w:kern w:val="0"/>
          <w:sz w:val="32"/>
          <w:szCs w:val="32"/>
        </w:rPr>
        <w:t>万元，完成年初预算的</w:t>
      </w:r>
      <w:r>
        <w:rPr>
          <w:rFonts w:ascii="仿宋" w:eastAsia="仿宋" w:hAnsi="仿宋" w:cs="Arial" w:hint="eastAsia"/>
          <w:kern w:val="0"/>
          <w:sz w:val="32"/>
          <w:szCs w:val="32"/>
        </w:rPr>
        <w:t>93.04%</w:t>
      </w:r>
      <w:r>
        <w:rPr>
          <w:rFonts w:ascii="仿宋" w:eastAsia="仿宋" w:hAnsi="仿宋" w:cs="仿宋" w:hint="eastAsia"/>
          <w:kern w:val="0"/>
          <w:sz w:val="32"/>
          <w:szCs w:val="32"/>
        </w:rPr>
        <w:t>。</w:t>
      </w:r>
      <w:r>
        <w:rPr>
          <w:rFonts w:ascii="仿宋" w:eastAsia="仿宋" w:hAnsi="仿宋" w:cs="Arial" w:hint="eastAsia"/>
          <w:sz w:val="32"/>
          <w:szCs w:val="32"/>
        </w:rPr>
        <w:t>决算数小于预算数的主要原因在于公用经费有结余。</w:t>
      </w:r>
    </w:p>
    <w:p w:rsidR="005B6855" w:rsidRDefault="00B15E81">
      <w:pPr>
        <w:widowControl/>
        <w:snapToGrid w:val="0"/>
        <w:spacing w:line="600" w:lineRule="atLeast"/>
        <w:ind w:firstLine="640"/>
        <w:rPr>
          <w:rFonts w:ascii="宋体" w:eastAsia="宋体" w:hAnsi="宋体" w:cs="宋体"/>
          <w:kern w:val="0"/>
          <w:sz w:val="24"/>
        </w:rPr>
      </w:pPr>
      <w:r>
        <w:rPr>
          <w:rFonts w:ascii="仿宋" w:eastAsia="仿宋" w:hAnsi="仿宋" w:cs="仿宋" w:hint="eastAsia"/>
          <w:kern w:val="0"/>
          <w:sz w:val="32"/>
          <w:szCs w:val="32"/>
        </w:rPr>
        <w:t>一般公共服务支出（类）政府办公厅（室）及相关机构事务（款）其他政府办公厅（室）及相关机构事务支出（项）。</w:t>
      </w:r>
      <w:r>
        <w:rPr>
          <w:rFonts w:ascii="仿宋" w:eastAsia="仿宋" w:hAnsi="仿宋" w:cs="Arial" w:hint="eastAsia"/>
          <w:kern w:val="0"/>
          <w:sz w:val="32"/>
          <w:szCs w:val="32"/>
        </w:rPr>
        <w:t>2019</w:t>
      </w:r>
      <w:r>
        <w:rPr>
          <w:rFonts w:ascii="仿宋" w:eastAsia="仿宋" w:hAnsi="仿宋" w:cs="仿宋" w:hint="eastAsia"/>
          <w:kern w:val="0"/>
          <w:sz w:val="32"/>
          <w:szCs w:val="32"/>
        </w:rPr>
        <w:t>年年初预算为</w:t>
      </w:r>
      <w:r>
        <w:rPr>
          <w:rFonts w:ascii="仿宋" w:eastAsia="仿宋" w:hAnsi="仿宋" w:cs="Arial" w:hint="eastAsia"/>
          <w:kern w:val="0"/>
          <w:sz w:val="32"/>
          <w:szCs w:val="32"/>
        </w:rPr>
        <w:t>10.1</w:t>
      </w:r>
      <w:r>
        <w:rPr>
          <w:rFonts w:ascii="仿宋" w:eastAsia="仿宋" w:hAnsi="仿宋" w:cs="仿宋" w:hint="eastAsia"/>
          <w:kern w:val="0"/>
          <w:sz w:val="32"/>
          <w:szCs w:val="32"/>
        </w:rPr>
        <w:t>万元，</w:t>
      </w:r>
      <w:r>
        <w:rPr>
          <w:rFonts w:ascii="仿宋" w:eastAsia="仿宋" w:hAnsi="仿宋" w:cs="Arial" w:hint="eastAsia"/>
          <w:kern w:val="0"/>
          <w:sz w:val="32"/>
          <w:szCs w:val="32"/>
        </w:rPr>
        <w:t>2019</w:t>
      </w:r>
      <w:r>
        <w:rPr>
          <w:rFonts w:ascii="仿宋" w:eastAsia="仿宋" w:hAnsi="仿宋" w:cs="仿宋" w:hint="eastAsia"/>
          <w:kern w:val="0"/>
          <w:sz w:val="32"/>
          <w:szCs w:val="32"/>
        </w:rPr>
        <w:t>年支出决算为</w:t>
      </w:r>
      <w:r>
        <w:rPr>
          <w:rFonts w:ascii="仿宋" w:eastAsia="仿宋" w:hAnsi="仿宋" w:cs="Arial" w:hint="eastAsia"/>
          <w:kern w:val="0"/>
          <w:sz w:val="32"/>
          <w:szCs w:val="32"/>
        </w:rPr>
        <w:t>12.61</w:t>
      </w:r>
      <w:r>
        <w:rPr>
          <w:rFonts w:ascii="仿宋" w:eastAsia="仿宋" w:hAnsi="仿宋" w:cs="仿宋" w:hint="eastAsia"/>
          <w:kern w:val="0"/>
          <w:sz w:val="32"/>
          <w:szCs w:val="32"/>
        </w:rPr>
        <w:t>万元，完成年初预算的</w:t>
      </w:r>
      <w:r>
        <w:rPr>
          <w:rFonts w:ascii="仿宋" w:eastAsia="仿宋" w:hAnsi="仿宋" w:cs="Arial" w:hint="eastAsia"/>
          <w:kern w:val="0"/>
          <w:sz w:val="32"/>
          <w:szCs w:val="32"/>
        </w:rPr>
        <w:t>124.85%</w:t>
      </w:r>
      <w:r>
        <w:rPr>
          <w:rFonts w:ascii="仿宋" w:eastAsia="仿宋" w:hAnsi="仿宋" w:cs="仿宋" w:hint="eastAsia"/>
          <w:kern w:val="0"/>
          <w:sz w:val="32"/>
          <w:szCs w:val="32"/>
        </w:rPr>
        <w:t>。</w:t>
      </w:r>
      <w:r>
        <w:rPr>
          <w:rFonts w:ascii="仿宋" w:eastAsia="仿宋" w:hAnsi="仿宋" w:cs="Arial" w:hint="eastAsia"/>
          <w:sz w:val="32"/>
          <w:szCs w:val="32"/>
        </w:rPr>
        <w:t>决算数大于预算数的主要原因在于政府采购指标有结余。</w:t>
      </w:r>
    </w:p>
    <w:p w:rsidR="005B6855" w:rsidRDefault="00B15E81">
      <w:pPr>
        <w:widowControl/>
        <w:snapToGrid w:val="0"/>
        <w:spacing w:line="600" w:lineRule="atLeast"/>
        <w:ind w:firstLine="640"/>
        <w:rPr>
          <w:rFonts w:ascii="宋体" w:eastAsia="宋体" w:hAnsi="宋体" w:cs="宋体"/>
          <w:kern w:val="0"/>
          <w:sz w:val="24"/>
        </w:rPr>
      </w:pPr>
      <w:r>
        <w:rPr>
          <w:rFonts w:ascii="仿宋" w:eastAsia="仿宋" w:hAnsi="仿宋" w:cs="仿宋" w:hint="eastAsia"/>
          <w:kern w:val="0"/>
          <w:sz w:val="32"/>
          <w:szCs w:val="32"/>
        </w:rPr>
        <w:lastRenderedPageBreak/>
        <w:t>一般公共服务支出（类）统计事务管理（款）统计管理（项）。</w:t>
      </w:r>
      <w:r>
        <w:rPr>
          <w:rFonts w:ascii="仿宋" w:eastAsia="仿宋" w:hAnsi="仿宋" w:cs="Arial" w:hint="eastAsia"/>
          <w:kern w:val="0"/>
          <w:sz w:val="32"/>
          <w:szCs w:val="32"/>
        </w:rPr>
        <w:t>2019</w:t>
      </w:r>
      <w:r>
        <w:rPr>
          <w:rFonts w:ascii="仿宋" w:eastAsia="仿宋" w:hAnsi="仿宋" w:cs="仿宋" w:hint="eastAsia"/>
          <w:kern w:val="0"/>
          <w:sz w:val="32"/>
          <w:szCs w:val="32"/>
        </w:rPr>
        <w:t>年年初预算为</w:t>
      </w:r>
      <w:r>
        <w:rPr>
          <w:rFonts w:ascii="仿宋" w:eastAsia="仿宋" w:hAnsi="仿宋" w:cs="Arial" w:hint="eastAsia"/>
          <w:kern w:val="0"/>
          <w:sz w:val="32"/>
          <w:szCs w:val="32"/>
        </w:rPr>
        <w:t>62.4</w:t>
      </w:r>
      <w:r>
        <w:rPr>
          <w:rFonts w:ascii="仿宋" w:eastAsia="仿宋" w:hAnsi="仿宋" w:cs="仿宋" w:hint="eastAsia"/>
          <w:kern w:val="0"/>
          <w:sz w:val="32"/>
          <w:szCs w:val="32"/>
        </w:rPr>
        <w:t>万元，</w:t>
      </w:r>
      <w:r>
        <w:rPr>
          <w:rFonts w:ascii="仿宋" w:eastAsia="仿宋" w:hAnsi="仿宋" w:cs="Arial" w:hint="eastAsia"/>
          <w:kern w:val="0"/>
          <w:sz w:val="32"/>
          <w:szCs w:val="32"/>
        </w:rPr>
        <w:t>2019</w:t>
      </w:r>
      <w:r>
        <w:rPr>
          <w:rFonts w:ascii="仿宋" w:eastAsia="仿宋" w:hAnsi="仿宋" w:cs="仿宋" w:hint="eastAsia"/>
          <w:kern w:val="0"/>
          <w:sz w:val="32"/>
          <w:szCs w:val="32"/>
        </w:rPr>
        <w:t>年支出决算为</w:t>
      </w:r>
      <w:r>
        <w:rPr>
          <w:rFonts w:ascii="仿宋" w:eastAsia="仿宋" w:hAnsi="仿宋" w:cs="Arial" w:hint="eastAsia"/>
          <w:kern w:val="0"/>
          <w:sz w:val="32"/>
          <w:szCs w:val="32"/>
        </w:rPr>
        <w:t>62.4</w:t>
      </w:r>
      <w:r>
        <w:rPr>
          <w:rFonts w:ascii="仿宋" w:eastAsia="仿宋" w:hAnsi="仿宋" w:cs="仿宋" w:hint="eastAsia"/>
          <w:kern w:val="0"/>
          <w:sz w:val="32"/>
          <w:szCs w:val="32"/>
        </w:rPr>
        <w:t>万元，完成年初预算的</w:t>
      </w:r>
      <w:r>
        <w:rPr>
          <w:rFonts w:ascii="仿宋" w:eastAsia="仿宋" w:hAnsi="仿宋" w:cs="Arial" w:hint="eastAsia"/>
          <w:kern w:val="0"/>
          <w:sz w:val="32"/>
          <w:szCs w:val="32"/>
        </w:rPr>
        <w:t>100%，决算等于预算的主要原因是严格按照预算执行</w:t>
      </w:r>
      <w:r>
        <w:rPr>
          <w:rFonts w:ascii="仿宋" w:eastAsia="仿宋" w:hAnsi="仿宋" w:cs="仿宋" w:hint="eastAsia"/>
          <w:kern w:val="0"/>
          <w:sz w:val="32"/>
          <w:szCs w:val="32"/>
        </w:rPr>
        <w:t>。</w:t>
      </w:r>
    </w:p>
    <w:p w:rsidR="005B6855" w:rsidRDefault="00B15E81">
      <w:pPr>
        <w:widowControl/>
        <w:snapToGrid w:val="0"/>
        <w:spacing w:line="600" w:lineRule="atLeast"/>
        <w:ind w:firstLine="640"/>
        <w:rPr>
          <w:rFonts w:ascii="宋体" w:eastAsia="宋体" w:hAnsi="宋体" w:cs="宋体"/>
          <w:kern w:val="0"/>
          <w:sz w:val="24"/>
        </w:rPr>
      </w:pPr>
      <w:r>
        <w:rPr>
          <w:rFonts w:ascii="仿宋" w:eastAsia="仿宋" w:hAnsi="仿宋" w:cs="仿宋" w:hint="eastAsia"/>
          <w:kern w:val="0"/>
          <w:sz w:val="32"/>
          <w:szCs w:val="32"/>
        </w:rPr>
        <w:t>一般公共服务支出（类）群众团体事务（款）其他群众团体事务支出（项）。</w:t>
      </w:r>
      <w:r>
        <w:rPr>
          <w:rFonts w:ascii="仿宋" w:eastAsia="仿宋" w:hAnsi="仿宋" w:cs="Arial" w:hint="eastAsia"/>
          <w:kern w:val="0"/>
          <w:sz w:val="32"/>
          <w:szCs w:val="32"/>
        </w:rPr>
        <w:t>2019</w:t>
      </w:r>
      <w:r>
        <w:rPr>
          <w:rFonts w:ascii="仿宋" w:eastAsia="仿宋" w:hAnsi="仿宋" w:cs="仿宋" w:hint="eastAsia"/>
          <w:kern w:val="0"/>
          <w:sz w:val="32"/>
          <w:szCs w:val="32"/>
        </w:rPr>
        <w:t>年年初预算为</w:t>
      </w:r>
      <w:r>
        <w:rPr>
          <w:rFonts w:ascii="仿宋" w:eastAsia="仿宋" w:hAnsi="仿宋" w:cs="Arial" w:hint="eastAsia"/>
          <w:kern w:val="0"/>
          <w:sz w:val="32"/>
          <w:szCs w:val="32"/>
        </w:rPr>
        <w:t>0</w:t>
      </w:r>
      <w:r>
        <w:rPr>
          <w:rFonts w:ascii="仿宋" w:eastAsia="仿宋" w:hAnsi="仿宋" w:cs="仿宋" w:hint="eastAsia"/>
          <w:kern w:val="0"/>
          <w:sz w:val="32"/>
          <w:szCs w:val="32"/>
        </w:rPr>
        <w:t>万元，</w:t>
      </w:r>
      <w:r>
        <w:rPr>
          <w:rFonts w:ascii="仿宋" w:eastAsia="仿宋" w:hAnsi="仿宋" w:cs="Arial" w:hint="eastAsia"/>
          <w:kern w:val="0"/>
          <w:sz w:val="32"/>
          <w:szCs w:val="32"/>
        </w:rPr>
        <w:t>2019</w:t>
      </w:r>
      <w:r>
        <w:rPr>
          <w:rFonts w:ascii="仿宋" w:eastAsia="仿宋" w:hAnsi="仿宋" w:cs="仿宋" w:hint="eastAsia"/>
          <w:kern w:val="0"/>
          <w:sz w:val="32"/>
          <w:szCs w:val="32"/>
        </w:rPr>
        <w:t>年支出决算为</w:t>
      </w:r>
      <w:r>
        <w:rPr>
          <w:rFonts w:ascii="仿宋" w:eastAsia="仿宋" w:hAnsi="仿宋" w:cs="Arial" w:hint="eastAsia"/>
          <w:kern w:val="0"/>
          <w:sz w:val="32"/>
          <w:szCs w:val="32"/>
        </w:rPr>
        <w:t>42</w:t>
      </w:r>
      <w:r>
        <w:rPr>
          <w:rFonts w:ascii="仿宋" w:eastAsia="仿宋" w:hAnsi="仿宋" w:cs="仿宋" w:hint="eastAsia"/>
          <w:kern w:val="0"/>
          <w:sz w:val="32"/>
          <w:szCs w:val="32"/>
        </w:rPr>
        <w:t>万元，完成年初预算的</w:t>
      </w:r>
      <w:r>
        <w:rPr>
          <w:rFonts w:ascii="仿宋" w:eastAsia="仿宋" w:hAnsi="仿宋" w:cs="Arial" w:hint="eastAsia"/>
          <w:kern w:val="0"/>
          <w:sz w:val="32"/>
          <w:szCs w:val="32"/>
        </w:rPr>
        <w:t>100%，决算等于预算的主要原因是严格按照预算执行</w:t>
      </w:r>
      <w:r>
        <w:rPr>
          <w:rFonts w:ascii="仿宋" w:eastAsia="仿宋" w:hAnsi="仿宋" w:cs="仿宋" w:hint="eastAsia"/>
          <w:kern w:val="0"/>
          <w:sz w:val="32"/>
          <w:szCs w:val="32"/>
        </w:rPr>
        <w:t>。</w:t>
      </w:r>
    </w:p>
    <w:p w:rsidR="005B6855" w:rsidRDefault="00B15E81">
      <w:pPr>
        <w:widowControl/>
        <w:snapToGrid w:val="0"/>
        <w:spacing w:line="600" w:lineRule="atLeast"/>
        <w:ind w:firstLine="640"/>
        <w:rPr>
          <w:rFonts w:ascii="宋体" w:eastAsia="宋体" w:hAnsi="宋体" w:cs="宋体"/>
          <w:kern w:val="0"/>
          <w:sz w:val="24"/>
        </w:rPr>
      </w:pPr>
      <w:r>
        <w:rPr>
          <w:rFonts w:ascii="仿宋" w:eastAsia="仿宋" w:hAnsi="仿宋" w:cs="仿宋" w:hint="eastAsia"/>
          <w:kern w:val="0"/>
          <w:sz w:val="32"/>
          <w:szCs w:val="32"/>
        </w:rPr>
        <w:t>一般公共服务支出（类）其他共产党事务支出（款）其他共产党事务支出（项）。</w:t>
      </w:r>
      <w:r>
        <w:rPr>
          <w:rFonts w:ascii="仿宋" w:eastAsia="仿宋" w:hAnsi="仿宋" w:cs="Arial" w:hint="eastAsia"/>
          <w:kern w:val="0"/>
          <w:sz w:val="32"/>
          <w:szCs w:val="32"/>
        </w:rPr>
        <w:t>2019</w:t>
      </w:r>
      <w:r>
        <w:rPr>
          <w:rFonts w:ascii="仿宋" w:eastAsia="仿宋" w:hAnsi="仿宋" w:cs="仿宋" w:hint="eastAsia"/>
          <w:kern w:val="0"/>
          <w:sz w:val="32"/>
          <w:szCs w:val="32"/>
        </w:rPr>
        <w:t>年年初预算为</w:t>
      </w:r>
      <w:r>
        <w:rPr>
          <w:rFonts w:ascii="仿宋" w:eastAsia="仿宋" w:hAnsi="仿宋" w:cs="Arial" w:hint="eastAsia"/>
          <w:kern w:val="0"/>
          <w:sz w:val="32"/>
          <w:szCs w:val="32"/>
        </w:rPr>
        <w:t>168</w:t>
      </w:r>
      <w:r>
        <w:rPr>
          <w:rFonts w:ascii="仿宋" w:eastAsia="仿宋" w:hAnsi="仿宋" w:cs="仿宋" w:hint="eastAsia"/>
          <w:kern w:val="0"/>
          <w:sz w:val="32"/>
          <w:szCs w:val="32"/>
        </w:rPr>
        <w:t>万元，</w:t>
      </w:r>
      <w:r>
        <w:rPr>
          <w:rFonts w:ascii="仿宋" w:eastAsia="仿宋" w:hAnsi="仿宋" w:cs="Arial" w:hint="eastAsia"/>
          <w:kern w:val="0"/>
          <w:sz w:val="32"/>
          <w:szCs w:val="32"/>
        </w:rPr>
        <w:t>2019</w:t>
      </w:r>
      <w:r>
        <w:rPr>
          <w:rFonts w:ascii="仿宋" w:eastAsia="仿宋" w:hAnsi="仿宋" w:cs="仿宋" w:hint="eastAsia"/>
          <w:kern w:val="0"/>
          <w:sz w:val="32"/>
          <w:szCs w:val="32"/>
        </w:rPr>
        <w:t>年支出决算为</w:t>
      </w:r>
      <w:r>
        <w:rPr>
          <w:rFonts w:ascii="仿宋" w:eastAsia="仿宋" w:hAnsi="仿宋" w:cs="Arial" w:hint="eastAsia"/>
          <w:kern w:val="0"/>
          <w:sz w:val="32"/>
          <w:szCs w:val="32"/>
        </w:rPr>
        <w:t>168</w:t>
      </w:r>
      <w:r>
        <w:rPr>
          <w:rFonts w:ascii="仿宋" w:eastAsia="仿宋" w:hAnsi="仿宋" w:cs="仿宋" w:hint="eastAsia"/>
          <w:kern w:val="0"/>
          <w:sz w:val="32"/>
          <w:szCs w:val="32"/>
        </w:rPr>
        <w:t>万元，完成年初预算的</w:t>
      </w:r>
      <w:r>
        <w:rPr>
          <w:rFonts w:ascii="仿宋" w:eastAsia="仿宋" w:hAnsi="仿宋" w:cs="Arial" w:hint="eastAsia"/>
          <w:kern w:val="0"/>
          <w:sz w:val="32"/>
          <w:szCs w:val="32"/>
        </w:rPr>
        <w:t>100%，决算等于预算的主要原因是严格按照预算执行</w:t>
      </w:r>
      <w:r>
        <w:rPr>
          <w:rFonts w:ascii="仿宋" w:eastAsia="仿宋" w:hAnsi="仿宋" w:cs="仿宋" w:hint="eastAsia"/>
          <w:kern w:val="0"/>
          <w:sz w:val="32"/>
          <w:szCs w:val="32"/>
        </w:rPr>
        <w:t>。</w:t>
      </w:r>
    </w:p>
    <w:p w:rsidR="005B6855" w:rsidRDefault="00B15E81">
      <w:pPr>
        <w:widowControl/>
        <w:snapToGrid w:val="0"/>
        <w:spacing w:line="600" w:lineRule="atLeast"/>
        <w:ind w:firstLine="640"/>
        <w:rPr>
          <w:rFonts w:ascii="仿宋" w:eastAsia="仿宋" w:hAnsi="仿宋" w:cs="Arial"/>
          <w:kern w:val="0"/>
          <w:sz w:val="32"/>
          <w:szCs w:val="32"/>
        </w:rPr>
      </w:pPr>
      <w:r>
        <w:rPr>
          <w:rFonts w:ascii="仿宋" w:eastAsia="仿宋" w:hAnsi="仿宋" w:cs="仿宋" w:hint="eastAsia"/>
          <w:kern w:val="0"/>
          <w:sz w:val="32"/>
          <w:szCs w:val="32"/>
        </w:rPr>
        <w:t>一般公共服务支出（类）其他一般公共服务支出（款）其他一般公共服务支出（项）。</w:t>
      </w:r>
      <w:r>
        <w:rPr>
          <w:rFonts w:ascii="仿宋" w:eastAsia="仿宋" w:hAnsi="仿宋" w:cs="Arial" w:hint="eastAsia"/>
          <w:kern w:val="0"/>
          <w:sz w:val="32"/>
          <w:szCs w:val="32"/>
        </w:rPr>
        <w:t>2019</w:t>
      </w:r>
      <w:r>
        <w:rPr>
          <w:rFonts w:ascii="仿宋" w:eastAsia="仿宋" w:hAnsi="仿宋" w:cs="仿宋" w:hint="eastAsia"/>
          <w:kern w:val="0"/>
          <w:sz w:val="32"/>
          <w:szCs w:val="32"/>
        </w:rPr>
        <w:t>年年初预算为</w:t>
      </w:r>
      <w:r>
        <w:rPr>
          <w:rFonts w:ascii="仿宋" w:eastAsia="仿宋" w:hAnsi="仿宋" w:cs="Arial" w:hint="eastAsia"/>
          <w:kern w:val="0"/>
          <w:sz w:val="32"/>
          <w:szCs w:val="32"/>
        </w:rPr>
        <w:t>0</w:t>
      </w:r>
      <w:r>
        <w:rPr>
          <w:rFonts w:ascii="仿宋" w:eastAsia="仿宋" w:hAnsi="仿宋" w:cs="仿宋" w:hint="eastAsia"/>
          <w:kern w:val="0"/>
          <w:sz w:val="32"/>
          <w:szCs w:val="32"/>
        </w:rPr>
        <w:t>万元，</w:t>
      </w:r>
      <w:r>
        <w:rPr>
          <w:rFonts w:ascii="仿宋" w:eastAsia="仿宋" w:hAnsi="仿宋" w:cs="Arial" w:hint="eastAsia"/>
          <w:kern w:val="0"/>
          <w:sz w:val="32"/>
          <w:szCs w:val="32"/>
        </w:rPr>
        <w:t>2019</w:t>
      </w:r>
      <w:r>
        <w:rPr>
          <w:rFonts w:ascii="仿宋" w:eastAsia="仿宋" w:hAnsi="仿宋" w:cs="仿宋" w:hint="eastAsia"/>
          <w:kern w:val="0"/>
          <w:sz w:val="32"/>
          <w:szCs w:val="32"/>
        </w:rPr>
        <w:t>年支出决算为</w:t>
      </w:r>
      <w:r>
        <w:rPr>
          <w:rFonts w:ascii="仿宋" w:eastAsia="仿宋" w:hAnsi="仿宋" w:cs="Arial" w:hint="eastAsia"/>
          <w:kern w:val="0"/>
          <w:sz w:val="32"/>
          <w:szCs w:val="32"/>
        </w:rPr>
        <w:t>70.5</w:t>
      </w:r>
      <w:r>
        <w:rPr>
          <w:rFonts w:ascii="仿宋" w:eastAsia="仿宋" w:hAnsi="仿宋" w:cs="仿宋" w:hint="eastAsia"/>
          <w:kern w:val="0"/>
          <w:sz w:val="32"/>
          <w:szCs w:val="32"/>
        </w:rPr>
        <w:t>万元，完成年初预算的</w:t>
      </w:r>
      <w:r>
        <w:rPr>
          <w:rFonts w:ascii="仿宋" w:eastAsia="仿宋" w:hAnsi="仿宋" w:cs="Arial" w:hint="eastAsia"/>
          <w:kern w:val="0"/>
          <w:sz w:val="32"/>
          <w:szCs w:val="32"/>
        </w:rPr>
        <w:t>100%，决算等于预算的主要原因是严格按照预算执行</w:t>
      </w:r>
      <w:r>
        <w:rPr>
          <w:rFonts w:ascii="仿宋" w:eastAsia="仿宋" w:hAnsi="仿宋" w:cs="仿宋" w:hint="eastAsia"/>
          <w:kern w:val="0"/>
          <w:sz w:val="32"/>
          <w:szCs w:val="32"/>
        </w:rPr>
        <w:t>。</w:t>
      </w:r>
    </w:p>
    <w:p w:rsidR="005B6855" w:rsidRDefault="00B15E81">
      <w:pPr>
        <w:widowControl/>
        <w:snapToGrid w:val="0"/>
        <w:spacing w:line="600" w:lineRule="atLeast"/>
        <w:ind w:firstLine="640"/>
        <w:rPr>
          <w:rFonts w:ascii="宋体" w:eastAsia="宋体" w:hAnsi="宋体" w:cs="宋体"/>
          <w:kern w:val="0"/>
          <w:sz w:val="24"/>
        </w:rPr>
      </w:pPr>
      <w:r>
        <w:rPr>
          <w:rFonts w:ascii="仿宋" w:eastAsia="仿宋" w:hAnsi="仿宋" w:cs="仿宋" w:hint="eastAsia"/>
          <w:kern w:val="0"/>
          <w:sz w:val="32"/>
          <w:szCs w:val="32"/>
        </w:rPr>
        <w:t>文化旅游体育与传媒支出（类）文化和旅游（款）群众文化（项）。</w:t>
      </w:r>
      <w:r>
        <w:rPr>
          <w:rFonts w:ascii="仿宋" w:eastAsia="仿宋" w:hAnsi="仿宋" w:cs="Arial" w:hint="eastAsia"/>
          <w:kern w:val="0"/>
          <w:sz w:val="32"/>
          <w:szCs w:val="32"/>
        </w:rPr>
        <w:t>2019</w:t>
      </w:r>
      <w:r>
        <w:rPr>
          <w:rFonts w:ascii="仿宋" w:eastAsia="仿宋" w:hAnsi="仿宋" w:cs="仿宋" w:hint="eastAsia"/>
          <w:kern w:val="0"/>
          <w:sz w:val="32"/>
          <w:szCs w:val="32"/>
        </w:rPr>
        <w:t>年年初预算为</w:t>
      </w:r>
      <w:r>
        <w:rPr>
          <w:rFonts w:ascii="仿宋" w:eastAsia="仿宋" w:hAnsi="仿宋" w:cs="Arial" w:hint="eastAsia"/>
          <w:kern w:val="0"/>
          <w:sz w:val="32"/>
          <w:szCs w:val="32"/>
        </w:rPr>
        <w:t>41.6</w:t>
      </w:r>
      <w:r>
        <w:rPr>
          <w:rFonts w:ascii="仿宋" w:eastAsia="仿宋" w:hAnsi="仿宋" w:cs="仿宋" w:hint="eastAsia"/>
          <w:kern w:val="0"/>
          <w:sz w:val="32"/>
          <w:szCs w:val="32"/>
        </w:rPr>
        <w:t>万元，</w:t>
      </w:r>
      <w:r>
        <w:rPr>
          <w:rFonts w:ascii="仿宋" w:eastAsia="仿宋" w:hAnsi="仿宋" w:cs="Arial" w:hint="eastAsia"/>
          <w:kern w:val="0"/>
          <w:sz w:val="32"/>
          <w:szCs w:val="32"/>
        </w:rPr>
        <w:t>2019</w:t>
      </w:r>
      <w:r>
        <w:rPr>
          <w:rFonts w:ascii="仿宋" w:eastAsia="仿宋" w:hAnsi="仿宋" w:cs="仿宋" w:hint="eastAsia"/>
          <w:kern w:val="0"/>
          <w:sz w:val="32"/>
          <w:szCs w:val="32"/>
        </w:rPr>
        <w:t>年支出决算为</w:t>
      </w:r>
      <w:r>
        <w:rPr>
          <w:rFonts w:ascii="仿宋" w:eastAsia="仿宋" w:hAnsi="仿宋" w:cs="Arial" w:hint="eastAsia"/>
          <w:kern w:val="0"/>
          <w:sz w:val="32"/>
          <w:szCs w:val="32"/>
        </w:rPr>
        <w:t>41.6</w:t>
      </w:r>
      <w:r>
        <w:rPr>
          <w:rFonts w:ascii="仿宋" w:eastAsia="仿宋" w:hAnsi="仿宋" w:cs="仿宋" w:hint="eastAsia"/>
          <w:kern w:val="0"/>
          <w:sz w:val="32"/>
          <w:szCs w:val="32"/>
        </w:rPr>
        <w:t>万元，完成年初预算的</w:t>
      </w:r>
      <w:r>
        <w:rPr>
          <w:rFonts w:ascii="仿宋" w:eastAsia="仿宋" w:hAnsi="仿宋" w:cs="Arial" w:hint="eastAsia"/>
          <w:kern w:val="0"/>
          <w:sz w:val="32"/>
          <w:szCs w:val="32"/>
        </w:rPr>
        <w:t>100%，决算等于预算的主要原因是严格按照预算执行</w:t>
      </w:r>
      <w:r>
        <w:rPr>
          <w:rFonts w:ascii="仿宋" w:eastAsia="仿宋" w:hAnsi="仿宋" w:cs="仿宋" w:hint="eastAsia"/>
          <w:kern w:val="0"/>
          <w:sz w:val="32"/>
          <w:szCs w:val="32"/>
        </w:rPr>
        <w:t>。</w:t>
      </w:r>
    </w:p>
    <w:p w:rsidR="005B6855" w:rsidRDefault="00B15E81">
      <w:pPr>
        <w:widowControl/>
        <w:snapToGrid w:val="0"/>
        <w:spacing w:line="600" w:lineRule="atLeast"/>
        <w:ind w:firstLine="640"/>
        <w:rPr>
          <w:rFonts w:ascii="仿宋" w:eastAsia="仿宋" w:hAnsi="仿宋" w:cs="Arial"/>
          <w:kern w:val="0"/>
          <w:sz w:val="32"/>
          <w:szCs w:val="32"/>
        </w:rPr>
      </w:pPr>
      <w:r>
        <w:rPr>
          <w:rFonts w:ascii="仿宋" w:eastAsia="仿宋" w:hAnsi="仿宋" w:cs="仿宋" w:hint="eastAsia"/>
          <w:kern w:val="0"/>
          <w:sz w:val="32"/>
          <w:szCs w:val="32"/>
        </w:rPr>
        <w:t>社会保障和就业支出（类）人力资源和社会保障管理事务（款）劳动保障监察（项）。</w:t>
      </w:r>
      <w:r>
        <w:rPr>
          <w:rFonts w:ascii="仿宋" w:eastAsia="仿宋" w:hAnsi="仿宋" w:cs="Arial" w:hint="eastAsia"/>
          <w:kern w:val="0"/>
          <w:sz w:val="32"/>
          <w:szCs w:val="32"/>
        </w:rPr>
        <w:t>2019</w:t>
      </w:r>
      <w:r>
        <w:rPr>
          <w:rFonts w:ascii="仿宋" w:eastAsia="仿宋" w:hAnsi="仿宋" w:cs="仿宋" w:hint="eastAsia"/>
          <w:kern w:val="0"/>
          <w:sz w:val="32"/>
          <w:szCs w:val="32"/>
        </w:rPr>
        <w:t>年年初预算为</w:t>
      </w:r>
      <w:r>
        <w:rPr>
          <w:rFonts w:ascii="仿宋" w:eastAsia="仿宋" w:hAnsi="仿宋" w:cs="Arial" w:hint="eastAsia"/>
          <w:kern w:val="0"/>
          <w:sz w:val="32"/>
          <w:szCs w:val="32"/>
        </w:rPr>
        <w:t>83.2</w:t>
      </w:r>
      <w:r>
        <w:rPr>
          <w:rFonts w:ascii="仿宋" w:eastAsia="仿宋" w:hAnsi="仿宋" w:cs="仿宋" w:hint="eastAsia"/>
          <w:kern w:val="0"/>
          <w:sz w:val="32"/>
          <w:szCs w:val="32"/>
        </w:rPr>
        <w:t>万</w:t>
      </w:r>
      <w:r>
        <w:rPr>
          <w:rFonts w:ascii="仿宋" w:eastAsia="仿宋" w:hAnsi="仿宋" w:cs="仿宋" w:hint="eastAsia"/>
          <w:kern w:val="0"/>
          <w:sz w:val="32"/>
          <w:szCs w:val="32"/>
        </w:rPr>
        <w:lastRenderedPageBreak/>
        <w:t>元，</w:t>
      </w:r>
      <w:r>
        <w:rPr>
          <w:rFonts w:ascii="仿宋" w:eastAsia="仿宋" w:hAnsi="仿宋" w:cs="Arial" w:hint="eastAsia"/>
          <w:kern w:val="0"/>
          <w:sz w:val="32"/>
          <w:szCs w:val="32"/>
        </w:rPr>
        <w:t>2015</w:t>
      </w:r>
      <w:r>
        <w:rPr>
          <w:rFonts w:ascii="仿宋" w:eastAsia="仿宋" w:hAnsi="仿宋" w:cs="仿宋" w:hint="eastAsia"/>
          <w:kern w:val="0"/>
          <w:sz w:val="32"/>
          <w:szCs w:val="32"/>
        </w:rPr>
        <w:t>年支出决算为</w:t>
      </w:r>
      <w:r>
        <w:rPr>
          <w:rFonts w:ascii="仿宋" w:eastAsia="仿宋" w:hAnsi="仿宋" w:cs="Arial" w:hint="eastAsia"/>
          <w:kern w:val="0"/>
          <w:sz w:val="32"/>
          <w:szCs w:val="32"/>
        </w:rPr>
        <w:t>83.2</w:t>
      </w:r>
      <w:r>
        <w:rPr>
          <w:rFonts w:ascii="仿宋" w:eastAsia="仿宋" w:hAnsi="仿宋" w:cs="仿宋" w:hint="eastAsia"/>
          <w:kern w:val="0"/>
          <w:sz w:val="32"/>
          <w:szCs w:val="32"/>
        </w:rPr>
        <w:t>万元，完成年初预算的</w:t>
      </w:r>
      <w:r>
        <w:rPr>
          <w:rFonts w:ascii="仿宋" w:eastAsia="仿宋" w:hAnsi="仿宋" w:cs="Arial" w:hint="eastAsia"/>
          <w:kern w:val="0"/>
          <w:sz w:val="32"/>
          <w:szCs w:val="32"/>
        </w:rPr>
        <w:t>100%，决算等于预算的主要原因是严格按照预算执行</w:t>
      </w:r>
      <w:r>
        <w:rPr>
          <w:rFonts w:ascii="仿宋" w:eastAsia="仿宋" w:hAnsi="仿宋" w:cs="仿宋" w:hint="eastAsia"/>
          <w:kern w:val="0"/>
          <w:sz w:val="32"/>
          <w:szCs w:val="32"/>
        </w:rPr>
        <w:t>。</w:t>
      </w:r>
    </w:p>
    <w:p w:rsidR="005B6855" w:rsidRDefault="00B15E81">
      <w:pPr>
        <w:widowControl/>
        <w:snapToGrid w:val="0"/>
        <w:spacing w:line="600" w:lineRule="atLeast"/>
        <w:ind w:firstLine="640"/>
        <w:rPr>
          <w:rFonts w:ascii="仿宋" w:eastAsia="仿宋" w:hAnsi="仿宋" w:cs="仿宋"/>
          <w:kern w:val="0"/>
          <w:sz w:val="32"/>
          <w:szCs w:val="32"/>
        </w:rPr>
      </w:pPr>
      <w:r>
        <w:rPr>
          <w:rFonts w:ascii="仿宋" w:eastAsia="仿宋" w:hAnsi="仿宋" w:cs="仿宋" w:hint="eastAsia"/>
          <w:kern w:val="0"/>
          <w:sz w:val="32"/>
          <w:szCs w:val="32"/>
        </w:rPr>
        <w:t>社会保障和就业支出（类）民政管理事务（款）其他民政管理事务支出（项）。</w:t>
      </w:r>
      <w:r>
        <w:rPr>
          <w:rFonts w:ascii="仿宋" w:eastAsia="仿宋" w:hAnsi="仿宋" w:cs="Arial" w:hint="eastAsia"/>
          <w:kern w:val="0"/>
          <w:sz w:val="32"/>
          <w:szCs w:val="32"/>
        </w:rPr>
        <w:t>2019</w:t>
      </w:r>
      <w:r>
        <w:rPr>
          <w:rFonts w:ascii="仿宋" w:eastAsia="仿宋" w:hAnsi="仿宋" w:cs="仿宋" w:hint="eastAsia"/>
          <w:kern w:val="0"/>
          <w:sz w:val="32"/>
          <w:szCs w:val="32"/>
        </w:rPr>
        <w:t>年年初预算为</w:t>
      </w:r>
      <w:r>
        <w:rPr>
          <w:rFonts w:ascii="仿宋" w:eastAsia="仿宋" w:hAnsi="仿宋" w:cs="Arial" w:hint="eastAsia"/>
          <w:kern w:val="0"/>
          <w:sz w:val="32"/>
          <w:szCs w:val="32"/>
        </w:rPr>
        <w:t>5.08</w:t>
      </w:r>
      <w:r>
        <w:rPr>
          <w:rFonts w:ascii="仿宋" w:eastAsia="仿宋" w:hAnsi="仿宋" w:cs="仿宋" w:hint="eastAsia"/>
          <w:kern w:val="0"/>
          <w:sz w:val="32"/>
          <w:szCs w:val="32"/>
        </w:rPr>
        <w:t>万元，</w:t>
      </w:r>
      <w:r>
        <w:rPr>
          <w:rFonts w:ascii="仿宋" w:eastAsia="仿宋" w:hAnsi="仿宋" w:cs="Arial" w:hint="eastAsia"/>
          <w:kern w:val="0"/>
          <w:sz w:val="32"/>
          <w:szCs w:val="32"/>
        </w:rPr>
        <w:t>2019</w:t>
      </w:r>
      <w:r>
        <w:rPr>
          <w:rFonts w:ascii="仿宋" w:eastAsia="仿宋" w:hAnsi="仿宋" w:cs="仿宋" w:hint="eastAsia"/>
          <w:kern w:val="0"/>
          <w:sz w:val="32"/>
          <w:szCs w:val="32"/>
        </w:rPr>
        <w:t>年支出决算为</w:t>
      </w:r>
      <w:r>
        <w:rPr>
          <w:rFonts w:ascii="仿宋" w:eastAsia="仿宋" w:hAnsi="仿宋" w:cs="Arial" w:hint="eastAsia"/>
          <w:kern w:val="0"/>
          <w:sz w:val="32"/>
          <w:szCs w:val="32"/>
        </w:rPr>
        <w:t>5.08</w:t>
      </w:r>
      <w:r>
        <w:rPr>
          <w:rFonts w:ascii="仿宋" w:eastAsia="仿宋" w:hAnsi="仿宋" w:cs="仿宋" w:hint="eastAsia"/>
          <w:kern w:val="0"/>
          <w:sz w:val="32"/>
          <w:szCs w:val="32"/>
        </w:rPr>
        <w:t>万元，完成年初预算的</w:t>
      </w:r>
      <w:r>
        <w:rPr>
          <w:rFonts w:ascii="仿宋" w:eastAsia="仿宋" w:hAnsi="仿宋" w:cs="Arial" w:hint="eastAsia"/>
          <w:kern w:val="0"/>
          <w:sz w:val="32"/>
          <w:szCs w:val="32"/>
        </w:rPr>
        <w:t>100%，决算等于预算的主要原因是严格按照预算执行</w:t>
      </w:r>
      <w:r>
        <w:rPr>
          <w:rFonts w:ascii="仿宋" w:eastAsia="仿宋" w:hAnsi="仿宋" w:cs="仿宋" w:hint="eastAsia"/>
          <w:kern w:val="0"/>
          <w:sz w:val="32"/>
          <w:szCs w:val="32"/>
        </w:rPr>
        <w:t>。</w:t>
      </w:r>
    </w:p>
    <w:p w:rsidR="005B6855" w:rsidRDefault="00B15E81">
      <w:pPr>
        <w:widowControl/>
        <w:snapToGrid w:val="0"/>
        <w:spacing w:line="600" w:lineRule="atLeast"/>
        <w:ind w:firstLine="640"/>
        <w:rPr>
          <w:rFonts w:ascii="仿宋" w:eastAsia="仿宋" w:hAnsi="仿宋" w:cs="仿宋"/>
          <w:kern w:val="0"/>
          <w:sz w:val="32"/>
          <w:szCs w:val="32"/>
        </w:rPr>
      </w:pPr>
      <w:r>
        <w:rPr>
          <w:rFonts w:ascii="仿宋" w:eastAsia="仿宋" w:hAnsi="仿宋" w:cs="仿宋" w:hint="eastAsia"/>
          <w:kern w:val="0"/>
          <w:sz w:val="32"/>
          <w:szCs w:val="32"/>
        </w:rPr>
        <w:t>社会保障和就业支出（类）抚恤（款）伤残抚恤（项）。</w:t>
      </w:r>
    </w:p>
    <w:p w:rsidR="005B6855" w:rsidRDefault="00B15E81">
      <w:pPr>
        <w:widowControl/>
        <w:snapToGrid w:val="0"/>
        <w:spacing w:line="600" w:lineRule="atLeast"/>
        <w:rPr>
          <w:rFonts w:ascii="仿宋" w:eastAsia="仿宋" w:hAnsi="仿宋" w:cs="Arial"/>
          <w:kern w:val="0"/>
          <w:sz w:val="32"/>
          <w:szCs w:val="32"/>
        </w:rPr>
      </w:pPr>
      <w:r>
        <w:rPr>
          <w:rFonts w:ascii="仿宋" w:eastAsia="仿宋" w:hAnsi="仿宋" w:cs="Arial" w:hint="eastAsia"/>
          <w:kern w:val="0"/>
          <w:sz w:val="32"/>
          <w:szCs w:val="32"/>
        </w:rPr>
        <w:t>2019</w:t>
      </w:r>
      <w:r>
        <w:rPr>
          <w:rFonts w:ascii="仿宋" w:eastAsia="仿宋" w:hAnsi="仿宋" w:cs="仿宋" w:hint="eastAsia"/>
          <w:kern w:val="0"/>
          <w:sz w:val="32"/>
          <w:szCs w:val="32"/>
        </w:rPr>
        <w:t>年年初预算为</w:t>
      </w:r>
      <w:r>
        <w:rPr>
          <w:rFonts w:ascii="仿宋" w:eastAsia="仿宋" w:hAnsi="仿宋" w:cs="Arial" w:hint="eastAsia"/>
          <w:kern w:val="0"/>
          <w:sz w:val="32"/>
          <w:szCs w:val="32"/>
        </w:rPr>
        <w:t>0</w:t>
      </w:r>
      <w:r>
        <w:rPr>
          <w:rFonts w:ascii="仿宋" w:eastAsia="仿宋" w:hAnsi="仿宋" w:cs="仿宋" w:hint="eastAsia"/>
          <w:kern w:val="0"/>
          <w:sz w:val="32"/>
          <w:szCs w:val="32"/>
        </w:rPr>
        <w:t>万元，</w:t>
      </w:r>
      <w:r>
        <w:rPr>
          <w:rFonts w:ascii="仿宋" w:eastAsia="仿宋" w:hAnsi="仿宋" w:cs="Arial" w:hint="eastAsia"/>
          <w:kern w:val="0"/>
          <w:sz w:val="32"/>
          <w:szCs w:val="32"/>
        </w:rPr>
        <w:t>2019</w:t>
      </w:r>
      <w:r>
        <w:rPr>
          <w:rFonts w:ascii="仿宋" w:eastAsia="仿宋" w:hAnsi="仿宋" w:cs="仿宋" w:hint="eastAsia"/>
          <w:kern w:val="0"/>
          <w:sz w:val="32"/>
          <w:szCs w:val="32"/>
        </w:rPr>
        <w:t>年支出决算为</w:t>
      </w:r>
      <w:r>
        <w:rPr>
          <w:rFonts w:ascii="仿宋" w:eastAsia="仿宋" w:hAnsi="仿宋" w:cs="Arial" w:hint="eastAsia"/>
          <w:kern w:val="0"/>
          <w:sz w:val="32"/>
          <w:szCs w:val="32"/>
        </w:rPr>
        <w:t>38.83</w:t>
      </w:r>
      <w:r>
        <w:rPr>
          <w:rFonts w:ascii="仿宋" w:eastAsia="仿宋" w:hAnsi="仿宋" w:cs="仿宋" w:hint="eastAsia"/>
          <w:kern w:val="0"/>
          <w:sz w:val="32"/>
          <w:szCs w:val="32"/>
        </w:rPr>
        <w:t>万元，决算数大于预算数的主要原因在于年度财政追加预算。</w:t>
      </w:r>
    </w:p>
    <w:p w:rsidR="005B6855" w:rsidRDefault="00B15E81">
      <w:pPr>
        <w:widowControl/>
        <w:snapToGrid w:val="0"/>
        <w:spacing w:line="600" w:lineRule="atLeast"/>
        <w:ind w:firstLine="640"/>
        <w:rPr>
          <w:rFonts w:ascii="仿宋" w:eastAsia="仿宋" w:hAnsi="仿宋" w:cs="Arial"/>
          <w:kern w:val="0"/>
          <w:sz w:val="32"/>
          <w:szCs w:val="32"/>
        </w:rPr>
      </w:pPr>
      <w:r>
        <w:rPr>
          <w:rFonts w:ascii="仿宋" w:eastAsia="仿宋" w:hAnsi="仿宋" w:cs="仿宋" w:hint="eastAsia"/>
          <w:kern w:val="0"/>
          <w:sz w:val="32"/>
          <w:szCs w:val="32"/>
        </w:rPr>
        <w:t>社会保障和就业支出（类）抚恤（款）在乡复员、退伍军人生活补助（项）。</w:t>
      </w:r>
      <w:r>
        <w:rPr>
          <w:rFonts w:ascii="仿宋" w:eastAsia="仿宋" w:hAnsi="仿宋" w:cs="Arial" w:hint="eastAsia"/>
          <w:kern w:val="0"/>
          <w:sz w:val="32"/>
          <w:szCs w:val="32"/>
        </w:rPr>
        <w:t>2019</w:t>
      </w:r>
      <w:r>
        <w:rPr>
          <w:rFonts w:ascii="仿宋" w:eastAsia="仿宋" w:hAnsi="仿宋" w:cs="仿宋" w:hint="eastAsia"/>
          <w:kern w:val="0"/>
          <w:sz w:val="32"/>
          <w:szCs w:val="32"/>
        </w:rPr>
        <w:t>年年初预算为</w:t>
      </w:r>
      <w:r>
        <w:rPr>
          <w:rFonts w:ascii="仿宋" w:eastAsia="仿宋" w:hAnsi="仿宋" w:cs="Arial" w:hint="eastAsia"/>
          <w:kern w:val="0"/>
          <w:sz w:val="32"/>
          <w:szCs w:val="32"/>
        </w:rPr>
        <w:t>0</w:t>
      </w:r>
      <w:r>
        <w:rPr>
          <w:rFonts w:ascii="仿宋" w:eastAsia="仿宋" w:hAnsi="仿宋" w:cs="仿宋" w:hint="eastAsia"/>
          <w:kern w:val="0"/>
          <w:sz w:val="32"/>
          <w:szCs w:val="32"/>
        </w:rPr>
        <w:t>万元，</w:t>
      </w:r>
      <w:r>
        <w:rPr>
          <w:rFonts w:ascii="仿宋" w:eastAsia="仿宋" w:hAnsi="仿宋" w:cs="Arial" w:hint="eastAsia"/>
          <w:kern w:val="0"/>
          <w:sz w:val="32"/>
          <w:szCs w:val="32"/>
        </w:rPr>
        <w:t>2019</w:t>
      </w:r>
      <w:r>
        <w:rPr>
          <w:rFonts w:ascii="仿宋" w:eastAsia="仿宋" w:hAnsi="仿宋" w:cs="仿宋" w:hint="eastAsia"/>
          <w:kern w:val="0"/>
          <w:sz w:val="32"/>
          <w:szCs w:val="32"/>
        </w:rPr>
        <w:t>年支出决算为</w:t>
      </w:r>
      <w:r>
        <w:rPr>
          <w:rFonts w:ascii="仿宋" w:eastAsia="仿宋" w:hAnsi="仿宋" w:cs="Arial" w:hint="eastAsia"/>
          <w:kern w:val="0"/>
          <w:sz w:val="32"/>
          <w:szCs w:val="32"/>
        </w:rPr>
        <w:t>8.41</w:t>
      </w:r>
      <w:r>
        <w:rPr>
          <w:rFonts w:ascii="仿宋" w:eastAsia="仿宋" w:hAnsi="仿宋" w:cs="仿宋" w:hint="eastAsia"/>
          <w:kern w:val="0"/>
          <w:sz w:val="32"/>
          <w:szCs w:val="32"/>
        </w:rPr>
        <w:t>万元，决算数大于预算数的主要原因在于年度财政追加预算。</w:t>
      </w:r>
    </w:p>
    <w:p w:rsidR="005B6855" w:rsidRDefault="00B15E81">
      <w:pPr>
        <w:widowControl/>
        <w:snapToGrid w:val="0"/>
        <w:spacing w:line="600" w:lineRule="atLeast"/>
        <w:ind w:firstLine="640"/>
        <w:rPr>
          <w:rFonts w:ascii="仿宋" w:eastAsia="仿宋" w:hAnsi="仿宋" w:cs="Arial"/>
          <w:kern w:val="0"/>
          <w:sz w:val="32"/>
          <w:szCs w:val="32"/>
        </w:rPr>
      </w:pPr>
      <w:r>
        <w:rPr>
          <w:rFonts w:ascii="仿宋" w:eastAsia="仿宋" w:hAnsi="仿宋" w:cs="仿宋" w:hint="eastAsia"/>
          <w:kern w:val="0"/>
          <w:sz w:val="32"/>
          <w:szCs w:val="32"/>
        </w:rPr>
        <w:t>社会保障和就业支出（类）抚恤（款）义务兵优待（项）。</w:t>
      </w:r>
      <w:r>
        <w:rPr>
          <w:rFonts w:ascii="仿宋" w:eastAsia="仿宋" w:hAnsi="仿宋" w:cs="Arial" w:hint="eastAsia"/>
          <w:kern w:val="0"/>
          <w:sz w:val="32"/>
          <w:szCs w:val="32"/>
        </w:rPr>
        <w:t>2019</w:t>
      </w:r>
      <w:r>
        <w:rPr>
          <w:rFonts w:ascii="仿宋" w:eastAsia="仿宋" w:hAnsi="仿宋" w:cs="仿宋" w:hint="eastAsia"/>
          <w:kern w:val="0"/>
          <w:sz w:val="32"/>
          <w:szCs w:val="32"/>
        </w:rPr>
        <w:t>年年初预算为</w:t>
      </w:r>
      <w:r>
        <w:rPr>
          <w:rFonts w:ascii="仿宋" w:eastAsia="仿宋" w:hAnsi="仿宋" w:cs="Arial" w:hint="eastAsia"/>
          <w:kern w:val="0"/>
          <w:sz w:val="32"/>
          <w:szCs w:val="32"/>
        </w:rPr>
        <w:t>66.34</w:t>
      </w:r>
      <w:r>
        <w:rPr>
          <w:rFonts w:ascii="仿宋" w:eastAsia="仿宋" w:hAnsi="仿宋" w:cs="仿宋" w:hint="eastAsia"/>
          <w:kern w:val="0"/>
          <w:sz w:val="32"/>
          <w:szCs w:val="32"/>
        </w:rPr>
        <w:t>万元，</w:t>
      </w:r>
      <w:r>
        <w:rPr>
          <w:rFonts w:ascii="仿宋" w:eastAsia="仿宋" w:hAnsi="仿宋" w:cs="Arial" w:hint="eastAsia"/>
          <w:kern w:val="0"/>
          <w:sz w:val="32"/>
          <w:szCs w:val="32"/>
        </w:rPr>
        <w:t>2019</w:t>
      </w:r>
      <w:r>
        <w:rPr>
          <w:rFonts w:ascii="仿宋" w:eastAsia="仿宋" w:hAnsi="仿宋" w:cs="仿宋" w:hint="eastAsia"/>
          <w:kern w:val="0"/>
          <w:sz w:val="32"/>
          <w:szCs w:val="32"/>
        </w:rPr>
        <w:t>年支出决算为</w:t>
      </w:r>
      <w:r>
        <w:rPr>
          <w:rFonts w:ascii="仿宋" w:eastAsia="仿宋" w:hAnsi="仿宋" w:cs="Arial" w:hint="eastAsia"/>
          <w:kern w:val="0"/>
          <w:sz w:val="32"/>
          <w:szCs w:val="32"/>
        </w:rPr>
        <w:t>66.34</w:t>
      </w:r>
      <w:r>
        <w:rPr>
          <w:rFonts w:ascii="仿宋" w:eastAsia="仿宋" w:hAnsi="仿宋" w:cs="仿宋" w:hint="eastAsia"/>
          <w:kern w:val="0"/>
          <w:sz w:val="32"/>
          <w:szCs w:val="32"/>
        </w:rPr>
        <w:t>万元，完成年初预算的</w:t>
      </w:r>
      <w:r>
        <w:rPr>
          <w:rFonts w:ascii="仿宋" w:eastAsia="仿宋" w:hAnsi="仿宋" w:cs="Arial" w:hint="eastAsia"/>
          <w:kern w:val="0"/>
          <w:sz w:val="32"/>
          <w:szCs w:val="32"/>
        </w:rPr>
        <w:t>100%，决算等于预算的主要原因是严格按照预算执行</w:t>
      </w:r>
    </w:p>
    <w:p w:rsidR="005B6855" w:rsidRDefault="00B15E81">
      <w:pPr>
        <w:widowControl/>
        <w:snapToGrid w:val="0"/>
        <w:spacing w:line="600" w:lineRule="atLeast"/>
        <w:ind w:firstLine="640"/>
        <w:rPr>
          <w:rFonts w:ascii="仿宋" w:eastAsia="仿宋" w:hAnsi="仿宋" w:cs="Arial"/>
          <w:kern w:val="0"/>
          <w:sz w:val="32"/>
          <w:szCs w:val="32"/>
        </w:rPr>
      </w:pPr>
      <w:r>
        <w:rPr>
          <w:rFonts w:ascii="仿宋" w:eastAsia="仿宋" w:hAnsi="仿宋" w:cs="仿宋" w:hint="eastAsia"/>
          <w:kern w:val="0"/>
          <w:sz w:val="32"/>
          <w:szCs w:val="32"/>
        </w:rPr>
        <w:t>社会保障和就业支出（类）抚恤（款）农村籍退役士兵老年生活补助（项）。</w:t>
      </w:r>
      <w:r>
        <w:rPr>
          <w:rFonts w:ascii="仿宋" w:eastAsia="仿宋" w:hAnsi="仿宋" w:cs="Arial" w:hint="eastAsia"/>
          <w:kern w:val="0"/>
          <w:sz w:val="32"/>
          <w:szCs w:val="32"/>
        </w:rPr>
        <w:t>2019</w:t>
      </w:r>
      <w:r>
        <w:rPr>
          <w:rFonts w:ascii="仿宋" w:eastAsia="仿宋" w:hAnsi="仿宋" w:cs="仿宋" w:hint="eastAsia"/>
          <w:kern w:val="0"/>
          <w:sz w:val="32"/>
          <w:szCs w:val="32"/>
        </w:rPr>
        <w:t>年年初预算为</w:t>
      </w:r>
      <w:r>
        <w:rPr>
          <w:rFonts w:ascii="仿宋" w:eastAsia="仿宋" w:hAnsi="仿宋" w:cs="Arial" w:hint="eastAsia"/>
          <w:kern w:val="0"/>
          <w:sz w:val="32"/>
          <w:szCs w:val="32"/>
        </w:rPr>
        <w:t>0</w:t>
      </w:r>
      <w:r>
        <w:rPr>
          <w:rFonts w:ascii="仿宋" w:eastAsia="仿宋" w:hAnsi="仿宋" w:cs="仿宋" w:hint="eastAsia"/>
          <w:kern w:val="0"/>
          <w:sz w:val="32"/>
          <w:szCs w:val="32"/>
        </w:rPr>
        <w:t>万元，</w:t>
      </w:r>
      <w:r>
        <w:rPr>
          <w:rFonts w:ascii="仿宋" w:eastAsia="仿宋" w:hAnsi="仿宋" w:cs="Arial" w:hint="eastAsia"/>
          <w:kern w:val="0"/>
          <w:sz w:val="32"/>
          <w:szCs w:val="32"/>
        </w:rPr>
        <w:t>2019</w:t>
      </w:r>
      <w:r>
        <w:rPr>
          <w:rFonts w:ascii="仿宋" w:eastAsia="仿宋" w:hAnsi="仿宋" w:cs="仿宋" w:hint="eastAsia"/>
          <w:kern w:val="0"/>
          <w:sz w:val="32"/>
          <w:szCs w:val="32"/>
        </w:rPr>
        <w:t>年支出决算为0.75万元，决算数大于预算数的主要原因在于年度财政追加预算。</w:t>
      </w:r>
    </w:p>
    <w:p w:rsidR="005B6855" w:rsidRDefault="00B15E81">
      <w:pPr>
        <w:widowControl/>
        <w:snapToGrid w:val="0"/>
        <w:spacing w:line="600" w:lineRule="atLeast"/>
        <w:ind w:firstLine="640"/>
        <w:rPr>
          <w:rFonts w:ascii="仿宋" w:eastAsia="仿宋" w:hAnsi="仿宋" w:cs="Arial"/>
          <w:kern w:val="0"/>
          <w:sz w:val="32"/>
          <w:szCs w:val="32"/>
        </w:rPr>
      </w:pPr>
      <w:r>
        <w:rPr>
          <w:rFonts w:ascii="仿宋" w:eastAsia="仿宋" w:hAnsi="仿宋" w:cs="仿宋" w:hint="eastAsia"/>
          <w:kern w:val="0"/>
          <w:sz w:val="32"/>
          <w:szCs w:val="32"/>
        </w:rPr>
        <w:t>社会保障和就业支出（类）抚恤（款）其他优抚支出（项）。</w:t>
      </w:r>
      <w:r>
        <w:rPr>
          <w:rFonts w:ascii="仿宋" w:eastAsia="仿宋" w:hAnsi="仿宋" w:cs="Arial" w:hint="eastAsia"/>
          <w:kern w:val="0"/>
          <w:sz w:val="32"/>
          <w:szCs w:val="32"/>
        </w:rPr>
        <w:t>2019</w:t>
      </w:r>
      <w:r>
        <w:rPr>
          <w:rFonts w:ascii="仿宋" w:eastAsia="仿宋" w:hAnsi="仿宋" w:cs="仿宋" w:hint="eastAsia"/>
          <w:kern w:val="0"/>
          <w:sz w:val="32"/>
          <w:szCs w:val="32"/>
        </w:rPr>
        <w:t>年年初预算为</w:t>
      </w:r>
      <w:r>
        <w:rPr>
          <w:rFonts w:ascii="仿宋" w:eastAsia="仿宋" w:hAnsi="仿宋" w:cs="Arial" w:hint="eastAsia"/>
          <w:kern w:val="0"/>
          <w:sz w:val="32"/>
          <w:szCs w:val="32"/>
        </w:rPr>
        <w:t>63.3</w:t>
      </w:r>
      <w:r>
        <w:rPr>
          <w:rFonts w:ascii="仿宋" w:eastAsia="仿宋" w:hAnsi="仿宋" w:cs="仿宋" w:hint="eastAsia"/>
          <w:kern w:val="0"/>
          <w:sz w:val="32"/>
          <w:szCs w:val="32"/>
        </w:rPr>
        <w:t>万元，</w:t>
      </w:r>
      <w:r>
        <w:rPr>
          <w:rFonts w:ascii="仿宋" w:eastAsia="仿宋" w:hAnsi="仿宋" w:cs="Arial" w:hint="eastAsia"/>
          <w:kern w:val="0"/>
          <w:sz w:val="32"/>
          <w:szCs w:val="32"/>
        </w:rPr>
        <w:t>2019</w:t>
      </w:r>
      <w:r>
        <w:rPr>
          <w:rFonts w:ascii="仿宋" w:eastAsia="仿宋" w:hAnsi="仿宋" w:cs="仿宋" w:hint="eastAsia"/>
          <w:kern w:val="0"/>
          <w:sz w:val="32"/>
          <w:szCs w:val="32"/>
        </w:rPr>
        <w:t>年支出决算为</w:t>
      </w:r>
      <w:r>
        <w:rPr>
          <w:rFonts w:ascii="仿宋" w:eastAsia="仿宋" w:hAnsi="仿宋" w:cs="Arial" w:hint="eastAsia"/>
          <w:kern w:val="0"/>
          <w:sz w:val="32"/>
          <w:szCs w:val="32"/>
        </w:rPr>
        <w:t>63.30</w:t>
      </w:r>
      <w:r>
        <w:rPr>
          <w:rFonts w:ascii="仿宋" w:eastAsia="仿宋" w:hAnsi="仿宋" w:cs="仿宋" w:hint="eastAsia"/>
          <w:kern w:val="0"/>
          <w:sz w:val="32"/>
          <w:szCs w:val="32"/>
        </w:rPr>
        <w:t>万</w:t>
      </w:r>
      <w:r>
        <w:rPr>
          <w:rFonts w:ascii="仿宋" w:eastAsia="仿宋" w:hAnsi="仿宋" w:cs="仿宋" w:hint="eastAsia"/>
          <w:kern w:val="0"/>
          <w:sz w:val="32"/>
          <w:szCs w:val="32"/>
        </w:rPr>
        <w:lastRenderedPageBreak/>
        <w:t>元，完成年初预算的</w:t>
      </w:r>
      <w:r>
        <w:rPr>
          <w:rFonts w:ascii="仿宋" w:eastAsia="仿宋" w:hAnsi="仿宋" w:cs="Arial" w:hint="eastAsia"/>
          <w:kern w:val="0"/>
          <w:sz w:val="32"/>
          <w:szCs w:val="32"/>
        </w:rPr>
        <w:t>100%，决算等于预算的主要原因是严格按照预算执行</w:t>
      </w:r>
      <w:r>
        <w:rPr>
          <w:rFonts w:ascii="仿宋" w:eastAsia="仿宋" w:hAnsi="仿宋" w:cs="仿宋" w:hint="eastAsia"/>
          <w:kern w:val="0"/>
          <w:sz w:val="32"/>
          <w:szCs w:val="32"/>
        </w:rPr>
        <w:t>。</w:t>
      </w:r>
    </w:p>
    <w:p w:rsidR="005B6855" w:rsidRDefault="00B15E81">
      <w:pPr>
        <w:widowControl/>
        <w:snapToGrid w:val="0"/>
        <w:spacing w:line="600" w:lineRule="atLeast"/>
        <w:ind w:firstLine="640"/>
        <w:rPr>
          <w:rFonts w:ascii="仿宋" w:eastAsia="仿宋" w:hAnsi="仿宋" w:cs="Arial"/>
          <w:kern w:val="0"/>
          <w:sz w:val="32"/>
          <w:szCs w:val="32"/>
        </w:rPr>
      </w:pPr>
      <w:r>
        <w:rPr>
          <w:rFonts w:ascii="仿宋" w:eastAsia="仿宋" w:hAnsi="仿宋" w:cs="仿宋" w:hint="eastAsia"/>
          <w:kern w:val="0"/>
          <w:sz w:val="32"/>
          <w:szCs w:val="32"/>
        </w:rPr>
        <w:t>社会保障和就业支出（类）退役安置（款）退役士兵安置（项）。</w:t>
      </w:r>
      <w:r>
        <w:rPr>
          <w:rFonts w:ascii="仿宋" w:eastAsia="仿宋" w:hAnsi="仿宋" w:cs="Arial" w:hint="eastAsia"/>
          <w:kern w:val="0"/>
          <w:sz w:val="32"/>
          <w:szCs w:val="32"/>
        </w:rPr>
        <w:t>2019</w:t>
      </w:r>
      <w:r>
        <w:rPr>
          <w:rFonts w:ascii="仿宋" w:eastAsia="仿宋" w:hAnsi="仿宋" w:cs="仿宋" w:hint="eastAsia"/>
          <w:kern w:val="0"/>
          <w:sz w:val="32"/>
          <w:szCs w:val="32"/>
        </w:rPr>
        <w:t>年年初预算为</w:t>
      </w:r>
      <w:r>
        <w:rPr>
          <w:rFonts w:ascii="仿宋" w:eastAsia="仿宋" w:hAnsi="仿宋" w:cs="Arial" w:hint="eastAsia"/>
          <w:kern w:val="0"/>
          <w:sz w:val="32"/>
          <w:szCs w:val="32"/>
        </w:rPr>
        <w:t>0</w:t>
      </w:r>
      <w:r>
        <w:rPr>
          <w:rFonts w:ascii="仿宋" w:eastAsia="仿宋" w:hAnsi="仿宋" w:cs="仿宋" w:hint="eastAsia"/>
          <w:kern w:val="0"/>
          <w:sz w:val="32"/>
          <w:szCs w:val="32"/>
        </w:rPr>
        <w:t>万元，</w:t>
      </w:r>
      <w:r>
        <w:rPr>
          <w:rFonts w:ascii="仿宋" w:eastAsia="仿宋" w:hAnsi="仿宋" w:cs="Arial" w:hint="eastAsia"/>
          <w:kern w:val="0"/>
          <w:sz w:val="32"/>
          <w:szCs w:val="32"/>
        </w:rPr>
        <w:t>2019</w:t>
      </w:r>
      <w:r>
        <w:rPr>
          <w:rFonts w:ascii="仿宋" w:eastAsia="仿宋" w:hAnsi="仿宋" w:cs="仿宋" w:hint="eastAsia"/>
          <w:kern w:val="0"/>
          <w:sz w:val="32"/>
          <w:szCs w:val="32"/>
        </w:rPr>
        <w:t>年支出决算为</w:t>
      </w:r>
      <w:r>
        <w:rPr>
          <w:rFonts w:ascii="仿宋" w:eastAsia="仿宋" w:hAnsi="仿宋" w:cs="Arial" w:hint="eastAsia"/>
          <w:kern w:val="0"/>
          <w:sz w:val="32"/>
          <w:szCs w:val="32"/>
        </w:rPr>
        <w:t>20.48</w:t>
      </w:r>
      <w:r>
        <w:rPr>
          <w:rFonts w:ascii="仿宋" w:eastAsia="仿宋" w:hAnsi="仿宋" w:cs="仿宋" w:hint="eastAsia"/>
          <w:kern w:val="0"/>
          <w:sz w:val="32"/>
          <w:szCs w:val="32"/>
        </w:rPr>
        <w:t>万元，决算数大于预算数的主要原因在于年度财政追加预算。</w:t>
      </w:r>
    </w:p>
    <w:p w:rsidR="005B6855" w:rsidRDefault="00B15E81">
      <w:pPr>
        <w:widowControl/>
        <w:snapToGrid w:val="0"/>
        <w:spacing w:line="600" w:lineRule="atLeast"/>
        <w:ind w:firstLine="640"/>
        <w:rPr>
          <w:rFonts w:ascii="仿宋" w:eastAsia="仿宋" w:hAnsi="仿宋" w:cs="Arial"/>
          <w:kern w:val="0"/>
          <w:sz w:val="32"/>
          <w:szCs w:val="32"/>
        </w:rPr>
      </w:pPr>
      <w:r>
        <w:rPr>
          <w:rFonts w:ascii="仿宋" w:eastAsia="仿宋" w:hAnsi="仿宋" w:cs="仿宋" w:hint="eastAsia"/>
          <w:kern w:val="0"/>
          <w:sz w:val="32"/>
          <w:szCs w:val="32"/>
        </w:rPr>
        <w:t>社会保障和就业支出（类）社会福利（款）儿童福利（项）。</w:t>
      </w:r>
      <w:r>
        <w:rPr>
          <w:rFonts w:ascii="仿宋" w:eastAsia="仿宋" w:hAnsi="仿宋" w:cs="Arial" w:hint="eastAsia"/>
          <w:kern w:val="0"/>
          <w:sz w:val="32"/>
          <w:szCs w:val="32"/>
        </w:rPr>
        <w:t>2019</w:t>
      </w:r>
      <w:r>
        <w:rPr>
          <w:rFonts w:ascii="仿宋" w:eastAsia="仿宋" w:hAnsi="仿宋" w:cs="仿宋" w:hint="eastAsia"/>
          <w:kern w:val="0"/>
          <w:sz w:val="32"/>
          <w:szCs w:val="32"/>
        </w:rPr>
        <w:t>年年初预算为</w:t>
      </w:r>
      <w:r>
        <w:rPr>
          <w:rFonts w:ascii="仿宋" w:eastAsia="仿宋" w:hAnsi="仿宋" w:cs="Arial" w:hint="eastAsia"/>
          <w:kern w:val="0"/>
          <w:sz w:val="32"/>
          <w:szCs w:val="32"/>
        </w:rPr>
        <w:t>0</w:t>
      </w:r>
      <w:r>
        <w:rPr>
          <w:rFonts w:ascii="仿宋" w:eastAsia="仿宋" w:hAnsi="仿宋" w:cs="仿宋" w:hint="eastAsia"/>
          <w:kern w:val="0"/>
          <w:sz w:val="32"/>
          <w:szCs w:val="32"/>
        </w:rPr>
        <w:t>万元，</w:t>
      </w:r>
      <w:r>
        <w:rPr>
          <w:rFonts w:ascii="仿宋" w:eastAsia="仿宋" w:hAnsi="仿宋" w:cs="Arial" w:hint="eastAsia"/>
          <w:kern w:val="0"/>
          <w:sz w:val="32"/>
          <w:szCs w:val="32"/>
        </w:rPr>
        <w:t>2019</w:t>
      </w:r>
      <w:r>
        <w:rPr>
          <w:rFonts w:ascii="仿宋" w:eastAsia="仿宋" w:hAnsi="仿宋" w:cs="仿宋" w:hint="eastAsia"/>
          <w:kern w:val="0"/>
          <w:sz w:val="32"/>
          <w:szCs w:val="32"/>
        </w:rPr>
        <w:t>年支出决算为</w:t>
      </w:r>
      <w:r>
        <w:rPr>
          <w:rFonts w:ascii="仿宋" w:eastAsia="仿宋" w:hAnsi="仿宋" w:cs="Arial" w:hint="eastAsia"/>
          <w:kern w:val="0"/>
          <w:sz w:val="32"/>
          <w:szCs w:val="32"/>
        </w:rPr>
        <w:t>11.62</w:t>
      </w:r>
      <w:r>
        <w:rPr>
          <w:rFonts w:ascii="仿宋" w:eastAsia="仿宋" w:hAnsi="仿宋" w:cs="仿宋" w:hint="eastAsia"/>
          <w:kern w:val="0"/>
          <w:sz w:val="32"/>
          <w:szCs w:val="32"/>
        </w:rPr>
        <w:t>万元，决算数大于预算数的主要原因在于年度财政追加预算。</w:t>
      </w:r>
    </w:p>
    <w:p w:rsidR="005B6855" w:rsidRDefault="00B15E81">
      <w:pPr>
        <w:widowControl/>
        <w:snapToGrid w:val="0"/>
        <w:spacing w:line="600" w:lineRule="atLeast"/>
        <w:ind w:firstLine="640"/>
        <w:rPr>
          <w:rFonts w:ascii="仿宋" w:eastAsia="仿宋" w:hAnsi="仿宋" w:cs="Arial"/>
          <w:kern w:val="0"/>
          <w:sz w:val="32"/>
          <w:szCs w:val="32"/>
        </w:rPr>
      </w:pPr>
      <w:r>
        <w:rPr>
          <w:rFonts w:ascii="仿宋" w:eastAsia="仿宋" w:hAnsi="仿宋" w:cs="仿宋" w:hint="eastAsia"/>
          <w:kern w:val="0"/>
          <w:sz w:val="32"/>
          <w:szCs w:val="32"/>
        </w:rPr>
        <w:t>社会保障和就业支出（类）社会福利（款）老年福利（项）。</w:t>
      </w:r>
      <w:r>
        <w:rPr>
          <w:rFonts w:ascii="仿宋" w:eastAsia="仿宋" w:hAnsi="仿宋" w:cs="Arial" w:hint="eastAsia"/>
          <w:kern w:val="0"/>
          <w:sz w:val="32"/>
          <w:szCs w:val="32"/>
        </w:rPr>
        <w:t>2019</w:t>
      </w:r>
      <w:r>
        <w:rPr>
          <w:rFonts w:ascii="仿宋" w:eastAsia="仿宋" w:hAnsi="仿宋" w:cs="仿宋" w:hint="eastAsia"/>
          <w:kern w:val="0"/>
          <w:sz w:val="32"/>
          <w:szCs w:val="32"/>
        </w:rPr>
        <w:t>年年初预算为</w:t>
      </w:r>
      <w:r>
        <w:rPr>
          <w:rFonts w:ascii="仿宋" w:eastAsia="仿宋" w:hAnsi="仿宋" w:cs="Arial" w:hint="eastAsia"/>
          <w:kern w:val="0"/>
          <w:sz w:val="32"/>
          <w:szCs w:val="32"/>
        </w:rPr>
        <w:t>4.23</w:t>
      </w:r>
      <w:r>
        <w:rPr>
          <w:rFonts w:ascii="仿宋" w:eastAsia="仿宋" w:hAnsi="仿宋" w:cs="仿宋" w:hint="eastAsia"/>
          <w:kern w:val="0"/>
          <w:sz w:val="32"/>
          <w:szCs w:val="32"/>
        </w:rPr>
        <w:t>万元，</w:t>
      </w:r>
      <w:r>
        <w:rPr>
          <w:rFonts w:ascii="仿宋" w:eastAsia="仿宋" w:hAnsi="仿宋" w:cs="Arial" w:hint="eastAsia"/>
          <w:kern w:val="0"/>
          <w:sz w:val="32"/>
          <w:szCs w:val="32"/>
        </w:rPr>
        <w:t>2019</w:t>
      </w:r>
      <w:r>
        <w:rPr>
          <w:rFonts w:ascii="仿宋" w:eastAsia="仿宋" w:hAnsi="仿宋" w:cs="仿宋" w:hint="eastAsia"/>
          <w:kern w:val="0"/>
          <w:sz w:val="32"/>
          <w:szCs w:val="32"/>
        </w:rPr>
        <w:t>年支出决算为</w:t>
      </w:r>
      <w:r>
        <w:rPr>
          <w:rFonts w:ascii="仿宋" w:eastAsia="仿宋" w:hAnsi="仿宋" w:cs="Arial" w:hint="eastAsia"/>
          <w:kern w:val="0"/>
          <w:sz w:val="32"/>
          <w:szCs w:val="32"/>
        </w:rPr>
        <w:t>4.23</w:t>
      </w:r>
      <w:r>
        <w:rPr>
          <w:rFonts w:ascii="仿宋" w:eastAsia="仿宋" w:hAnsi="仿宋" w:cs="仿宋" w:hint="eastAsia"/>
          <w:kern w:val="0"/>
          <w:sz w:val="32"/>
          <w:szCs w:val="32"/>
        </w:rPr>
        <w:t>万元，完成年初预算的</w:t>
      </w:r>
      <w:r>
        <w:rPr>
          <w:rFonts w:ascii="仿宋" w:eastAsia="仿宋" w:hAnsi="仿宋" w:cs="Arial" w:hint="eastAsia"/>
          <w:kern w:val="0"/>
          <w:sz w:val="32"/>
          <w:szCs w:val="32"/>
        </w:rPr>
        <w:t>100%，决算等于预算的主要原因是严格按照预算执行</w:t>
      </w:r>
      <w:r>
        <w:rPr>
          <w:rFonts w:ascii="仿宋" w:eastAsia="仿宋" w:hAnsi="仿宋" w:cs="仿宋" w:hint="eastAsia"/>
          <w:kern w:val="0"/>
          <w:sz w:val="32"/>
          <w:szCs w:val="32"/>
        </w:rPr>
        <w:t>。</w:t>
      </w:r>
    </w:p>
    <w:p w:rsidR="005B6855" w:rsidRDefault="00B15E81">
      <w:pPr>
        <w:widowControl/>
        <w:snapToGrid w:val="0"/>
        <w:spacing w:line="600" w:lineRule="atLeast"/>
        <w:ind w:firstLine="640"/>
        <w:rPr>
          <w:rFonts w:ascii="仿宋" w:eastAsia="仿宋" w:hAnsi="仿宋" w:cs="Arial"/>
          <w:kern w:val="0"/>
          <w:sz w:val="32"/>
          <w:szCs w:val="32"/>
        </w:rPr>
      </w:pPr>
      <w:r>
        <w:rPr>
          <w:rFonts w:ascii="仿宋" w:eastAsia="仿宋" w:hAnsi="仿宋" w:cs="仿宋" w:hint="eastAsia"/>
          <w:kern w:val="0"/>
          <w:sz w:val="32"/>
          <w:szCs w:val="32"/>
        </w:rPr>
        <w:t>社会保障和就业支出（类）社会福利（款）其他社会福利支出（项）。</w:t>
      </w:r>
      <w:r>
        <w:rPr>
          <w:rFonts w:ascii="仿宋" w:eastAsia="仿宋" w:hAnsi="仿宋" w:cs="Arial" w:hint="eastAsia"/>
          <w:kern w:val="0"/>
          <w:sz w:val="32"/>
          <w:szCs w:val="32"/>
        </w:rPr>
        <w:t>2019</w:t>
      </w:r>
      <w:r>
        <w:rPr>
          <w:rFonts w:ascii="仿宋" w:eastAsia="仿宋" w:hAnsi="仿宋" w:cs="仿宋" w:hint="eastAsia"/>
          <w:kern w:val="0"/>
          <w:sz w:val="32"/>
          <w:szCs w:val="32"/>
        </w:rPr>
        <w:t>年年初预算为</w:t>
      </w:r>
      <w:r>
        <w:rPr>
          <w:rFonts w:ascii="仿宋" w:eastAsia="仿宋" w:hAnsi="仿宋" w:cs="Arial" w:hint="eastAsia"/>
          <w:kern w:val="0"/>
          <w:sz w:val="32"/>
          <w:szCs w:val="32"/>
        </w:rPr>
        <w:t>0</w:t>
      </w:r>
      <w:r>
        <w:rPr>
          <w:rFonts w:ascii="仿宋" w:eastAsia="仿宋" w:hAnsi="仿宋" w:cs="仿宋" w:hint="eastAsia"/>
          <w:kern w:val="0"/>
          <w:sz w:val="32"/>
          <w:szCs w:val="32"/>
        </w:rPr>
        <w:t>万元，</w:t>
      </w:r>
      <w:r>
        <w:rPr>
          <w:rFonts w:ascii="仿宋" w:eastAsia="仿宋" w:hAnsi="仿宋" w:cs="Arial" w:hint="eastAsia"/>
          <w:kern w:val="0"/>
          <w:sz w:val="32"/>
          <w:szCs w:val="32"/>
        </w:rPr>
        <w:t>2019</w:t>
      </w:r>
      <w:r>
        <w:rPr>
          <w:rFonts w:ascii="仿宋" w:eastAsia="仿宋" w:hAnsi="仿宋" w:cs="仿宋" w:hint="eastAsia"/>
          <w:kern w:val="0"/>
          <w:sz w:val="32"/>
          <w:szCs w:val="32"/>
        </w:rPr>
        <w:t>年支出决算为</w:t>
      </w:r>
      <w:r>
        <w:rPr>
          <w:rFonts w:ascii="仿宋" w:eastAsia="仿宋" w:hAnsi="仿宋" w:cs="Arial" w:hint="eastAsia"/>
          <w:kern w:val="0"/>
          <w:sz w:val="32"/>
          <w:szCs w:val="32"/>
        </w:rPr>
        <w:t>124.8</w:t>
      </w:r>
      <w:r>
        <w:rPr>
          <w:rFonts w:ascii="仿宋" w:eastAsia="仿宋" w:hAnsi="仿宋" w:cs="仿宋" w:hint="eastAsia"/>
          <w:kern w:val="0"/>
          <w:sz w:val="32"/>
          <w:szCs w:val="32"/>
        </w:rPr>
        <w:t>万元，完成年初预算的</w:t>
      </w:r>
      <w:r>
        <w:rPr>
          <w:rFonts w:ascii="仿宋" w:eastAsia="仿宋" w:hAnsi="仿宋" w:cs="Arial" w:hint="eastAsia"/>
          <w:kern w:val="0"/>
          <w:sz w:val="32"/>
          <w:szCs w:val="32"/>
        </w:rPr>
        <w:t>100%</w:t>
      </w:r>
      <w:r>
        <w:rPr>
          <w:rFonts w:ascii="仿宋" w:eastAsia="仿宋" w:hAnsi="仿宋" w:cs="仿宋" w:hint="eastAsia"/>
          <w:kern w:val="0"/>
          <w:sz w:val="32"/>
          <w:szCs w:val="32"/>
        </w:rPr>
        <w:t>，决算数小于预算数的主要原因在于殡葬管理人员经费有结余。</w:t>
      </w:r>
    </w:p>
    <w:p w:rsidR="005B6855" w:rsidRDefault="00B15E81">
      <w:pPr>
        <w:widowControl/>
        <w:snapToGrid w:val="0"/>
        <w:spacing w:line="600" w:lineRule="atLeast"/>
        <w:ind w:firstLine="640"/>
        <w:rPr>
          <w:rFonts w:ascii="仿宋" w:eastAsia="仿宋" w:hAnsi="仿宋" w:cs="Arial"/>
          <w:kern w:val="0"/>
          <w:sz w:val="32"/>
          <w:szCs w:val="32"/>
        </w:rPr>
      </w:pPr>
      <w:r>
        <w:rPr>
          <w:rFonts w:ascii="仿宋" w:eastAsia="仿宋" w:hAnsi="仿宋" w:cs="仿宋" w:hint="eastAsia"/>
          <w:kern w:val="0"/>
          <w:sz w:val="32"/>
          <w:szCs w:val="32"/>
        </w:rPr>
        <w:t>社会保障和就业支出（类）残疾人事业（款）残疾人康复（项）。</w:t>
      </w:r>
      <w:r>
        <w:rPr>
          <w:rFonts w:ascii="仿宋" w:eastAsia="仿宋" w:hAnsi="仿宋" w:cs="Arial" w:hint="eastAsia"/>
          <w:kern w:val="0"/>
          <w:sz w:val="32"/>
          <w:szCs w:val="32"/>
        </w:rPr>
        <w:t>2019</w:t>
      </w:r>
      <w:r>
        <w:rPr>
          <w:rFonts w:ascii="仿宋" w:eastAsia="仿宋" w:hAnsi="仿宋" w:cs="仿宋" w:hint="eastAsia"/>
          <w:kern w:val="0"/>
          <w:sz w:val="32"/>
          <w:szCs w:val="32"/>
        </w:rPr>
        <w:t>年年初预算为</w:t>
      </w:r>
      <w:r>
        <w:rPr>
          <w:rFonts w:ascii="仿宋" w:eastAsia="仿宋" w:hAnsi="仿宋" w:cs="Arial" w:hint="eastAsia"/>
          <w:kern w:val="0"/>
          <w:sz w:val="32"/>
          <w:szCs w:val="32"/>
        </w:rPr>
        <w:t>0</w:t>
      </w:r>
      <w:r>
        <w:rPr>
          <w:rFonts w:ascii="仿宋" w:eastAsia="仿宋" w:hAnsi="仿宋" w:cs="仿宋" w:hint="eastAsia"/>
          <w:kern w:val="0"/>
          <w:sz w:val="32"/>
          <w:szCs w:val="32"/>
        </w:rPr>
        <w:t>万元，</w:t>
      </w:r>
      <w:r>
        <w:rPr>
          <w:rFonts w:ascii="仿宋" w:eastAsia="仿宋" w:hAnsi="仿宋" w:cs="Arial" w:hint="eastAsia"/>
          <w:kern w:val="0"/>
          <w:sz w:val="32"/>
          <w:szCs w:val="32"/>
        </w:rPr>
        <w:t>2019</w:t>
      </w:r>
      <w:r>
        <w:rPr>
          <w:rFonts w:ascii="仿宋" w:eastAsia="仿宋" w:hAnsi="仿宋" w:cs="仿宋" w:hint="eastAsia"/>
          <w:kern w:val="0"/>
          <w:sz w:val="32"/>
          <w:szCs w:val="32"/>
        </w:rPr>
        <w:t>年支出决算为</w:t>
      </w:r>
      <w:r>
        <w:rPr>
          <w:rFonts w:ascii="仿宋" w:eastAsia="仿宋" w:hAnsi="仿宋" w:cs="Arial" w:hint="eastAsia"/>
          <w:kern w:val="0"/>
          <w:sz w:val="32"/>
          <w:szCs w:val="32"/>
        </w:rPr>
        <w:t>6.45</w:t>
      </w:r>
      <w:r>
        <w:rPr>
          <w:rFonts w:ascii="仿宋" w:eastAsia="仿宋" w:hAnsi="仿宋" w:cs="仿宋" w:hint="eastAsia"/>
          <w:kern w:val="0"/>
          <w:sz w:val="32"/>
          <w:szCs w:val="32"/>
        </w:rPr>
        <w:t>万元，决算数大于预算数的主要原因在于年度财政追加预算。</w:t>
      </w:r>
    </w:p>
    <w:p w:rsidR="005B6855" w:rsidRDefault="00B15E81">
      <w:pPr>
        <w:widowControl/>
        <w:snapToGrid w:val="0"/>
        <w:spacing w:line="600" w:lineRule="atLeast"/>
        <w:ind w:firstLine="640"/>
        <w:rPr>
          <w:rFonts w:ascii="仿宋" w:eastAsia="仿宋" w:hAnsi="仿宋" w:cs="Arial"/>
          <w:kern w:val="0"/>
          <w:sz w:val="32"/>
          <w:szCs w:val="32"/>
        </w:rPr>
      </w:pPr>
      <w:r>
        <w:rPr>
          <w:rFonts w:ascii="仿宋" w:eastAsia="仿宋" w:hAnsi="仿宋" w:cs="仿宋" w:hint="eastAsia"/>
          <w:kern w:val="0"/>
          <w:sz w:val="32"/>
          <w:szCs w:val="32"/>
        </w:rPr>
        <w:t>社会保障和就业支出（类）残疾人事业（款）残疾人就业和扶贫（项）。</w:t>
      </w:r>
      <w:r>
        <w:rPr>
          <w:rFonts w:ascii="仿宋" w:eastAsia="仿宋" w:hAnsi="仿宋" w:cs="Arial" w:hint="eastAsia"/>
          <w:kern w:val="0"/>
          <w:sz w:val="32"/>
          <w:szCs w:val="32"/>
        </w:rPr>
        <w:t>2019</w:t>
      </w:r>
      <w:r>
        <w:rPr>
          <w:rFonts w:ascii="仿宋" w:eastAsia="仿宋" w:hAnsi="仿宋" w:cs="仿宋" w:hint="eastAsia"/>
          <w:kern w:val="0"/>
          <w:sz w:val="32"/>
          <w:szCs w:val="32"/>
        </w:rPr>
        <w:t>年年初预算为</w:t>
      </w:r>
      <w:r>
        <w:rPr>
          <w:rFonts w:ascii="仿宋" w:eastAsia="仿宋" w:hAnsi="仿宋" w:cs="Arial" w:hint="eastAsia"/>
          <w:kern w:val="0"/>
          <w:sz w:val="32"/>
          <w:szCs w:val="32"/>
        </w:rPr>
        <w:t>0</w:t>
      </w:r>
      <w:r>
        <w:rPr>
          <w:rFonts w:ascii="仿宋" w:eastAsia="仿宋" w:hAnsi="仿宋" w:cs="仿宋" w:hint="eastAsia"/>
          <w:kern w:val="0"/>
          <w:sz w:val="32"/>
          <w:szCs w:val="32"/>
        </w:rPr>
        <w:t>万元，</w:t>
      </w:r>
      <w:r>
        <w:rPr>
          <w:rFonts w:ascii="仿宋" w:eastAsia="仿宋" w:hAnsi="仿宋" w:cs="Arial" w:hint="eastAsia"/>
          <w:kern w:val="0"/>
          <w:sz w:val="32"/>
          <w:szCs w:val="32"/>
        </w:rPr>
        <w:t>2019</w:t>
      </w:r>
      <w:r>
        <w:rPr>
          <w:rFonts w:ascii="仿宋" w:eastAsia="仿宋" w:hAnsi="仿宋" w:cs="仿宋" w:hint="eastAsia"/>
          <w:kern w:val="0"/>
          <w:sz w:val="32"/>
          <w:szCs w:val="32"/>
        </w:rPr>
        <w:t>年支出</w:t>
      </w:r>
      <w:r>
        <w:rPr>
          <w:rFonts w:ascii="仿宋" w:eastAsia="仿宋" w:hAnsi="仿宋" w:cs="仿宋" w:hint="eastAsia"/>
          <w:kern w:val="0"/>
          <w:sz w:val="32"/>
          <w:szCs w:val="32"/>
        </w:rPr>
        <w:lastRenderedPageBreak/>
        <w:t>决算为</w:t>
      </w:r>
      <w:r>
        <w:rPr>
          <w:rFonts w:ascii="仿宋" w:eastAsia="仿宋" w:hAnsi="仿宋" w:cs="Arial" w:hint="eastAsia"/>
          <w:kern w:val="0"/>
          <w:sz w:val="32"/>
          <w:szCs w:val="32"/>
        </w:rPr>
        <w:t>31.91</w:t>
      </w:r>
      <w:r>
        <w:rPr>
          <w:rFonts w:ascii="仿宋" w:eastAsia="仿宋" w:hAnsi="仿宋" w:cs="仿宋" w:hint="eastAsia"/>
          <w:kern w:val="0"/>
          <w:sz w:val="32"/>
          <w:szCs w:val="32"/>
        </w:rPr>
        <w:t>万元，决算数大于预算数的主要原因在于年度财政追加预算。</w:t>
      </w:r>
    </w:p>
    <w:p w:rsidR="005B6855" w:rsidRDefault="00B15E81">
      <w:pPr>
        <w:widowControl/>
        <w:snapToGrid w:val="0"/>
        <w:spacing w:line="600" w:lineRule="atLeast"/>
        <w:ind w:firstLine="640"/>
        <w:rPr>
          <w:rFonts w:ascii="仿宋" w:eastAsia="仿宋" w:hAnsi="仿宋" w:cs="Arial"/>
          <w:kern w:val="0"/>
          <w:sz w:val="32"/>
          <w:szCs w:val="32"/>
        </w:rPr>
      </w:pPr>
      <w:r>
        <w:rPr>
          <w:rFonts w:ascii="仿宋" w:eastAsia="仿宋" w:hAnsi="仿宋" w:cs="仿宋" w:hint="eastAsia"/>
          <w:kern w:val="0"/>
          <w:sz w:val="32"/>
          <w:szCs w:val="32"/>
        </w:rPr>
        <w:t>社会保障和就业支出（类）残疾人事业（款）残疾人生活和护理补贴（项）。</w:t>
      </w:r>
      <w:r>
        <w:rPr>
          <w:rFonts w:ascii="仿宋" w:eastAsia="仿宋" w:hAnsi="仿宋" w:cs="Arial" w:hint="eastAsia"/>
          <w:kern w:val="0"/>
          <w:sz w:val="32"/>
          <w:szCs w:val="32"/>
        </w:rPr>
        <w:t>2019</w:t>
      </w:r>
      <w:r>
        <w:rPr>
          <w:rFonts w:ascii="仿宋" w:eastAsia="仿宋" w:hAnsi="仿宋" w:cs="仿宋" w:hint="eastAsia"/>
          <w:kern w:val="0"/>
          <w:sz w:val="32"/>
          <w:szCs w:val="32"/>
        </w:rPr>
        <w:t>年年初预算为</w:t>
      </w:r>
      <w:r>
        <w:rPr>
          <w:rFonts w:ascii="仿宋" w:eastAsia="仿宋" w:hAnsi="仿宋" w:cs="Arial" w:hint="eastAsia"/>
          <w:kern w:val="0"/>
          <w:sz w:val="32"/>
          <w:szCs w:val="32"/>
        </w:rPr>
        <w:t>0</w:t>
      </w:r>
      <w:r>
        <w:rPr>
          <w:rFonts w:ascii="仿宋" w:eastAsia="仿宋" w:hAnsi="仿宋" w:cs="仿宋" w:hint="eastAsia"/>
          <w:kern w:val="0"/>
          <w:sz w:val="32"/>
          <w:szCs w:val="32"/>
        </w:rPr>
        <w:t>万元，</w:t>
      </w:r>
      <w:r>
        <w:rPr>
          <w:rFonts w:ascii="仿宋" w:eastAsia="仿宋" w:hAnsi="仿宋" w:cs="Arial" w:hint="eastAsia"/>
          <w:kern w:val="0"/>
          <w:sz w:val="32"/>
          <w:szCs w:val="32"/>
        </w:rPr>
        <w:t>2019</w:t>
      </w:r>
      <w:r>
        <w:rPr>
          <w:rFonts w:ascii="仿宋" w:eastAsia="仿宋" w:hAnsi="仿宋" w:cs="仿宋" w:hint="eastAsia"/>
          <w:kern w:val="0"/>
          <w:sz w:val="32"/>
          <w:szCs w:val="32"/>
        </w:rPr>
        <w:t>年支出决算为</w:t>
      </w:r>
      <w:r>
        <w:rPr>
          <w:rFonts w:ascii="仿宋" w:eastAsia="仿宋" w:hAnsi="仿宋" w:cs="Arial" w:hint="eastAsia"/>
          <w:kern w:val="0"/>
          <w:sz w:val="32"/>
          <w:szCs w:val="32"/>
        </w:rPr>
        <w:t>61.67</w:t>
      </w:r>
      <w:r>
        <w:rPr>
          <w:rFonts w:ascii="仿宋" w:eastAsia="仿宋" w:hAnsi="仿宋" w:cs="仿宋" w:hint="eastAsia"/>
          <w:kern w:val="0"/>
          <w:sz w:val="32"/>
          <w:szCs w:val="32"/>
        </w:rPr>
        <w:t>万元，决算数大于预算数的主要原因在于年度财政追加预算。</w:t>
      </w:r>
    </w:p>
    <w:p w:rsidR="005B6855" w:rsidRDefault="00B15E81">
      <w:pPr>
        <w:widowControl/>
        <w:snapToGrid w:val="0"/>
        <w:spacing w:line="600" w:lineRule="atLeast"/>
        <w:ind w:firstLine="640"/>
        <w:rPr>
          <w:rFonts w:ascii="仿宋" w:eastAsia="仿宋" w:hAnsi="仿宋" w:cs="Arial"/>
          <w:kern w:val="0"/>
          <w:sz w:val="32"/>
          <w:szCs w:val="32"/>
        </w:rPr>
      </w:pPr>
      <w:r>
        <w:rPr>
          <w:rFonts w:ascii="仿宋" w:eastAsia="仿宋" w:hAnsi="仿宋" w:cs="仿宋" w:hint="eastAsia"/>
          <w:kern w:val="0"/>
          <w:sz w:val="32"/>
          <w:szCs w:val="32"/>
        </w:rPr>
        <w:t>社会保障和就业支出（类）残疾人事业（款）其他残疾人事业支出（项）。</w:t>
      </w:r>
      <w:r>
        <w:rPr>
          <w:rFonts w:ascii="仿宋" w:eastAsia="仿宋" w:hAnsi="仿宋" w:cs="Arial" w:hint="eastAsia"/>
          <w:kern w:val="0"/>
          <w:sz w:val="32"/>
          <w:szCs w:val="32"/>
        </w:rPr>
        <w:t>2019</w:t>
      </w:r>
      <w:r>
        <w:rPr>
          <w:rFonts w:ascii="仿宋" w:eastAsia="仿宋" w:hAnsi="仿宋" w:cs="仿宋" w:hint="eastAsia"/>
          <w:kern w:val="0"/>
          <w:sz w:val="32"/>
          <w:szCs w:val="32"/>
        </w:rPr>
        <w:t>年年初预算为</w:t>
      </w:r>
      <w:r>
        <w:rPr>
          <w:rFonts w:ascii="仿宋" w:eastAsia="仿宋" w:hAnsi="仿宋" w:cs="Arial" w:hint="eastAsia"/>
          <w:kern w:val="0"/>
          <w:sz w:val="32"/>
          <w:szCs w:val="32"/>
        </w:rPr>
        <w:t>0</w:t>
      </w:r>
      <w:r>
        <w:rPr>
          <w:rFonts w:ascii="仿宋" w:eastAsia="仿宋" w:hAnsi="仿宋" w:cs="仿宋" w:hint="eastAsia"/>
          <w:kern w:val="0"/>
          <w:sz w:val="32"/>
          <w:szCs w:val="32"/>
        </w:rPr>
        <w:t>万元，</w:t>
      </w:r>
      <w:r>
        <w:rPr>
          <w:rFonts w:ascii="仿宋" w:eastAsia="仿宋" w:hAnsi="仿宋" w:cs="Arial" w:hint="eastAsia"/>
          <w:kern w:val="0"/>
          <w:sz w:val="32"/>
          <w:szCs w:val="32"/>
        </w:rPr>
        <w:t>2019</w:t>
      </w:r>
      <w:r>
        <w:rPr>
          <w:rFonts w:ascii="仿宋" w:eastAsia="仿宋" w:hAnsi="仿宋" w:cs="仿宋" w:hint="eastAsia"/>
          <w:kern w:val="0"/>
          <w:sz w:val="32"/>
          <w:szCs w:val="32"/>
        </w:rPr>
        <w:t>年支出决算为</w:t>
      </w:r>
      <w:r>
        <w:rPr>
          <w:rFonts w:ascii="仿宋" w:eastAsia="仿宋" w:hAnsi="仿宋" w:cs="Arial" w:hint="eastAsia"/>
          <w:kern w:val="0"/>
          <w:sz w:val="32"/>
          <w:szCs w:val="32"/>
        </w:rPr>
        <w:t>2.5</w:t>
      </w:r>
      <w:r>
        <w:rPr>
          <w:rFonts w:ascii="仿宋" w:eastAsia="仿宋" w:hAnsi="仿宋" w:cs="仿宋" w:hint="eastAsia"/>
          <w:kern w:val="0"/>
          <w:sz w:val="32"/>
          <w:szCs w:val="32"/>
        </w:rPr>
        <w:t>万元，决算数大于预算数的主要原因在于年度财政追加预算。</w:t>
      </w:r>
    </w:p>
    <w:p w:rsidR="005B6855" w:rsidRDefault="00B15E81">
      <w:pPr>
        <w:widowControl/>
        <w:snapToGrid w:val="0"/>
        <w:spacing w:line="600" w:lineRule="atLeast"/>
        <w:ind w:firstLine="640"/>
        <w:rPr>
          <w:rFonts w:ascii="仿宋" w:eastAsia="仿宋" w:hAnsi="仿宋" w:cs="Arial"/>
          <w:kern w:val="0"/>
          <w:sz w:val="32"/>
          <w:szCs w:val="32"/>
        </w:rPr>
      </w:pPr>
      <w:r>
        <w:rPr>
          <w:rFonts w:ascii="仿宋" w:eastAsia="仿宋" w:hAnsi="仿宋" w:cs="仿宋" w:hint="eastAsia"/>
          <w:kern w:val="0"/>
          <w:sz w:val="32"/>
          <w:szCs w:val="32"/>
        </w:rPr>
        <w:t>社会保障和就业支出（类）最低生活保障（款）城市最低生活保障金支出（项）。</w:t>
      </w:r>
      <w:r>
        <w:rPr>
          <w:rFonts w:ascii="仿宋" w:eastAsia="仿宋" w:hAnsi="仿宋" w:cs="Arial" w:hint="eastAsia"/>
          <w:kern w:val="0"/>
          <w:sz w:val="32"/>
          <w:szCs w:val="32"/>
        </w:rPr>
        <w:t>2019</w:t>
      </w:r>
      <w:r>
        <w:rPr>
          <w:rFonts w:ascii="仿宋" w:eastAsia="仿宋" w:hAnsi="仿宋" w:cs="仿宋" w:hint="eastAsia"/>
          <w:kern w:val="0"/>
          <w:sz w:val="32"/>
          <w:szCs w:val="32"/>
        </w:rPr>
        <w:t>年年初预算为</w:t>
      </w:r>
      <w:r>
        <w:rPr>
          <w:rFonts w:ascii="仿宋" w:eastAsia="仿宋" w:hAnsi="仿宋" w:cs="Arial" w:hint="eastAsia"/>
          <w:kern w:val="0"/>
          <w:sz w:val="32"/>
          <w:szCs w:val="32"/>
        </w:rPr>
        <w:t>0</w:t>
      </w:r>
      <w:r>
        <w:rPr>
          <w:rFonts w:ascii="仿宋" w:eastAsia="仿宋" w:hAnsi="仿宋" w:cs="仿宋" w:hint="eastAsia"/>
          <w:kern w:val="0"/>
          <w:sz w:val="32"/>
          <w:szCs w:val="32"/>
        </w:rPr>
        <w:t>万元，</w:t>
      </w:r>
      <w:r>
        <w:rPr>
          <w:rFonts w:ascii="仿宋" w:eastAsia="仿宋" w:hAnsi="仿宋" w:cs="Arial" w:hint="eastAsia"/>
          <w:kern w:val="0"/>
          <w:sz w:val="32"/>
          <w:szCs w:val="32"/>
        </w:rPr>
        <w:t>2019</w:t>
      </w:r>
      <w:r>
        <w:rPr>
          <w:rFonts w:ascii="仿宋" w:eastAsia="仿宋" w:hAnsi="仿宋" w:cs="仿宋" w:hint="eastAsia"/>
          <w:kern w:val="0"/>
          <w:sz w:val="32"/>
          <w:szCs w:val="32"/>
        </w:rPr>
        <w:t>年支出决算为</w:t>
      </w:r>
      <w:r>
        <w:rPr>
          <w:rFonts w:ascii="仿宋" w:eastAsia="仿宋" w:hAnsi="仿宋" w:cs="Arial" w:hint="eastAsia"/>
          <w:kern w:val="0"/>
          <w:sz w:val="32"/>
          <w:szCs w:val="32"/>
        </w:rPr>
        <w:t>118.22</w:t>
      </w:r>
      <w:r>
        <w:rPr>
          <w:rFonts w:ascii="仿宋" w:eastAsia="仿宋" w:hAnsi="仿宋" w:cs="仿宋" w:hint="eastAsia"/>
          <w:kern w:val="0"/>
          <w:sz w:val="32"/>
          <w:szCs w:val="32"/>
        </w:rPr>
        <w:t>万元，决算数大于预算数的主要原因在于年度财政追加预算。</w:t>
      </w:r>
    </w:p>
    <w:p w:rsidR="005B6855" w:rsidRDefault="00B15E81">
      <w:pPr>
        <w:widowControl/>
        <w:snapToGrid w:val="0"/>
        <w:spacing w:line="600" w:lineRule="atLeast"/>
        <w:ind w:firstLine="640"/>
        <w:rPr>
          <w:rFonts w:ascii="仿宋" w:eastAsia="仿宋" w:hAnsi="仿宋" w:cs="Arial"/>
          <w:kern w:val="0"/>
          <w:sz w:val="32"/>
          <w:szCs w:val="32"/>
        </w:rPr>
      </w:pPr>
      <w:r>
        <w:rPr>
          <w:rFonts w:ascii="仿宋" w:eastAsia="仿宋" w:hAnsi="仿宋" w:cs="仿宋" w:hint="eastAsia"/>
          <w:kern w:val="0"/>
          <w:sz w:val="32"/>
          <w:szCs w:val="32"/>
        </w:rPr>
        <w:t>社会保障和就业支出（类）临时救助（款）临时救助支出（项）。</w:t>
      </w:r>
      <w:r>
        <w:rPr>
          <w:rFonts w:ascii="仿宋" w:eastAsia="仿宋" w:hAnsi="仿宋" w:cs="Arial" w:hint="eastAsia"/>
          <w:kern w:val="0"/>
          <w:sz w:val="32"/>
          <w:szCs w:val="32"/>
        </w:rPr>
        <w:t>2019</w:t>
      </w:r>
      <w:r>
        <w:rPr>
          <w:rFonts w:ascii="仿宋" w:eastAsia="仿宋" w:hAnsi="仿宋" w:cs="仿宋" w:hint="eastAsia"/>
          <w:kern w:val="0"/>
          <w:sz w:val="32"/>
          <w:szCs w:val="32"/>
        </w:rPr>
        <w:t>年年初预算为</w:t>
      </w:r>
      <w:r>
        <w:rPr>
          <w:rFonts w:ascii="仿宋" w:eastAsia="仿宋" w:hAnsi="仿宋" w:cs="Arial" w:hint="eastAsia"/>
          <w:kern w:val="0"/>
          <w:sz w:val="32"/>
          <w:szCs w:val="32"/>
        </w:rPr>
        <w:t>0</w:t>
      </w:r>
      <w:r>
        <w:rPr>
          <w:rFonts w:ascii="仿宋" w:eastAsia="仿宋" w:hAnsi="仿宋" w:cs="仿宋" w:hint="eastAsia"/>
          <w:kern w:val="0"/>
          <w:sz w:val="32"/>
          <w:szCs w:val="32"/>
        </w:rPr>
        <w:t>万元，</w:t>
      </w:r>
      <w:r>
        <w:rPr>
          <w:rFonts w:ascii="仿宋" w:eastAsia="仿宋" w:hAnsi="仿宋" w:cs="Arial" w:hint="eastAsia"/>
          <w:kern w:val="0"/>
          <w:sz w:val="32"/>
          <w:szCs w:val="32"/>
        </w:rPr>
        <w:t>2019</w:t>
      </w:r>
      <w:r>
        <w:rPr>
          <w:rFonts w:ascii="仿宋" w:eastAsia="仿宋" w:hAnsi="仿宋" w:cs="仿宋" w:hint="eastAsia"/>
          <w:kern w:val="0"/>
          <w:sz w:val="32"/>
          <w:szCs w:val="32"/>
        </w:rPr>
        <w:t>年支出决算为</w:t>
      </w:r>
      <w:r>
        <w:rPr>
          <w:rFonts w:ascii="仿宋" w:eastAsia="仿宋" w:hAnsi="仿宋" w:cs="Arial" w:hint="eastAsia"/>
          <w:kern w:val="0"/>
          <w:sz w:val="32"/>
          <w:szCs w:val="32"/>
        </w:rPr>
        <w:t>12.77</w:t>
      </w:r>
      <w:r>
        <w:rPr>
          <w:rFonts w:ascii="仿宋" w:eastAsia="仿宋" w:hAnsi="仿宋" w:cs="仿宋" w:hint="eastAsia"/>
          <w:kern w:val="0"/>
          <w:sz w:val="32"/>
          <w:szCs w:val="32"/>
        </w:rPr>
        <w:t>万元，决算数大于预算数的主要原因在于年度财政追加预算。</w:t>
      </w:r>
    </w:p>
    <w:p w:rsidR="005B6855" w:rsidRDefault="00B15E81">
      <w:pPr>
        <w:widowControl/>
        <w:snapToGrid w:val="0"/>
        <w:spacing w:line="600" w:lineRule="atLeast"/>
        <w:ind w:firstLine="640"/>
        <w:rPr>
          <w:rFonts w:ascii="仿宋" w:eastAsia="仿宋" w:hAnsi="仿宋" w:cs="Arial"/>
          <w:kern w:val="0"/>
          <w:sz w:val="32"/>
          <w:szCs w:val="32"/>
        </w:rPr>
      </w:pPr>
      <w:r>
        <w:rPr>
          <w:rFonts w:ascii="仿宋" w:eastAsia="仿宋" w:hAnsi="仿宋" w:cs="仿宋" w:hint="eastAsia"/>
          <w:kern w:val="0"/>
          <w:sz w:val="32"/>
          <w:szCs w:val="32"/>
        </w:rPr>
        <w:t>社会保障和就业支出（类）特困人员救助供养（款）城市特困人员救助供养支出（项）。</w:t>
      </w:r>
      <w:r>
        <w:rPr>
          <w:rFonts w:ascii="仿宋" w:eastAsia="仿宋" w:hAnsi="仿宋" w:cs="Arial" w:hint="eastAsia"/>
          <w:kern w:val="0"/>
          <w:sz w:val="32"/>
          <w:szCs w:val="32"/>
        </w:rPr>
        <w:t>2019</w:t>
      </w:r>
      <w:r>
        <w:rPr>
          <w:rFonts w:ascii="仿宋" w:eastAsia="仿宋" w:hAnsi="仿宋" w:cs="仿宋" w:hint="eastAsia"/>
          <w:kern w:val="0"/>
          <w:sz w:val="32"/>
          <w:szCs w:val="32"/>
        </w:rPr>
        <w:t>年年初预算为</w:t>
      </w:r>
      <w:r>
        <w:rPr>
          <w:rFonts w:ascii="仿宋" w:eastAsia="仿宋" w:hAnsi="仿宋" w:cs="Arial" w:hint="eastAsia"/>
          <w:kern w:val="0"/>
          <w:sz w:val="32"/>
          <w:szCs w:val="32"/>
        </w:rPr>
        <w:t>1.85</w:t>
      </w:r>
      <w:r>
        <w:rPr>
          <w:rFonts w:ascii="仿宋" w:eastAsia="仿宋" w:hAnsi="仿宋" w:cs="仿宋" w:hint="eastAsia"/>
          <w:kern w:val="0"/>
          <w:sz w:val="32"/>
          <w:szCs w:val="32"/>
        </w:rPr>
        <w:t>万元，</w:t>
      </w:r>
      <w:r>
        <w:rPr>
          <w:rFonts w:ascii="仿宋" w:eastAsia="仿宋" w:hAnsi="仿宋" w:cs="Arial" w:hint="eastAsia"/>
          <w:kern w:val="0"/>
          <w:sz w:val="32"/>
          <w:szCs w:val="32"/>
        </w:rPr>
        <w:t>2019</w:t>
      </w:r>
      <w:r>
        <w:rPr>
          <w:rFonts w:ascii="仿宋" w:eastAsia="仿宋" w:hAnsi="仿宋" w:cs="仿宋" w:hint="eastAsia"/>
          <w:kern w:val="0"/>
          <w:sz w:val="32"/>
          <w:szCs w:val="32"/>
        </w:rPr>
        <w:t>年支出决算为</w:t>
      </w:r>
      <w:r>
        <w:rPr>
          <w:rFonts w:ascii="仿宋" w:eastAsia="仿宋" w:hAnsi="仿宋" w:cs="Arial" w:hint="eastAsia"/>
          <w:kern w:val="0"/>
          <w:sz w:val="32"/>
          <w:szCs w:val="32"/>
        </w:rPr>
        <w:t>4.18</w:t>
      </w:r>
      <w:r>
        <w:rPr>
          <w:rFonts w:ascii="仿宋" w:eastAsia="仿宋" w:hAnsi="仿宋" w:cs="仿宋" w:hint="eastAsia"/>
          <w:kern w:val="0"/>
          <w:sz w:val="32"/>
          <w:szCs w:val="32"/>
        </w:rPr>
        <w:t>万元，决算数大于预算数的主要原因在于年度财政追加预算。</w:t>
      </w:r>
    </w:p>
    <w:p w:rsidR="005B6855" w:rsidRDefault="00B15E81">
      <w:pPr>
        <w:widowControl/>
        <w:snapToGrid w:val="0"/>
        <w:spacing w:line="600" w:lineRule="atLeast"/>
        <w:ind w:firstLine="640"/>
        <w:rPr>
          <w:rFonts w:ascii="仿宋" w:eastAsia="仿宋" w:hAnsi="仿宋" w:cs="Arial"/>
          <w:kern w:val="0"/>
          <w:sz w:val="32"/>
          <w:szCs w:val="32"/>
        </w:rPr>
      </w:pPr>
      <w:r>
        <w:rPr>
          <w:rFonts w:ascii="仿宋" w:eastAsia="仿宋" w:hAnsi="仿宋" w:cs="仿宋" w:hint="eastAsia"/>
          <w:kern w:val="0"/>
          <w:sz w:val="32"/>
          <w:szCs w:val="32"/>
        </w:rPr>
        <w:lastRenderedPageBreak/>
        <w:t>社会保障和就业支出（类）其他生活救助（款）其他城市生活救助（项）。</w:t>
      </w:r>
      <w:r>
        <w:rPr>
          <w:rFonts w:ascii="仿宋" w:eastAsia="仿宋" w:hAnsi="仿宋" w:cs="Arial" w:hint="eastAsia"/>
          <w:kern w:val="0"/>
          <w:sz w:val="32"/>
          <w:szCs w:val="32"/>
        </w:rPr>
        <w:t>2019</w:t>
      </w:r>
      <w:r>
        <w:rPr>
          <w:rFonts w:ascii="仿宋" w:eastAsia="仿宋" w:hAnsi="仿宋" w:cs="仿宋" w:hint="eastAsia"/>
          <w:kern w:val="0"/>
          <w:sz w:val="32"/>
          <w:szCs w:val="32"/>
        </w:rPr>
        <w:t>年年初预算为</w:t>
      </w:r>
      <w:r>
        <w:rPr>
          <w:rFonts w:ascii="仿宋" w:eastAsia="仿宋" w:hAnsi="仿宋" w:cs="Arial" w:hint="eastAsia"/>
          <w:kern w:val="0"/>
          <w:sz w:val="32"/>
          <w:szCs w:val="32"/>
        </w:rPr>
        <w:t>0</w:t>
      </w:r>
      <w:r>
        <w:rPr>
          <w:rFonts w:ascii="仿宋" w:eastAsia="仿宋" w:hAnsi="仿宋" w:cs="仿宋" w:hint="eastAsia"/>
          <w:kern w:val="0"/>
          <w:sz w:val="32"/>
          <w:szCs w:val="32"/>
        </w:rPr>
        <w:t>万元，</w:t>
      </w:r>
      <w:r>
        <w:rPr>
          <w:rFonts w:ascii="仿宋" w:eastAsia="仿宋" w:hAnsi="仿宋" w:cs="Arial" w:hint="eastAsia"/>
          <w:kern w:val="0"/>
          <w:sz w:val="32"/>
          <w:szCs w:val="32"/>
        </w:rPr>
        <w:t>2019</w:t>
      </w:r>
      <w:r>
        <w:rPr>
          <w:rFonts w:ascii="仿宋" w:eastAsia="仿宋" w:hAnsi="仿宋" w:cs="仿宋" w:hint="eastAsia"/>
          <w:kern w:val="0"/>
          <w:sz w:val="32"/>
          <w:szCs w:val="32"/>
        </w:rPr>
        <w:t>年支出决算为</w:t>
      </w:r>
      <w:r>
        <w:rPr>
          <w:rFonts w:ascii="仿宋" w:eastAsia="仿宋" w:hAnsi="仿宋" w:cs="Arial" w:hint="eastAsia"/>
          <w:kern w:val="0"/>
          <w:sz w:val="32"/>
          <w:szCs w:val="32"/>
        </w:rPr>
        <w:t>8.9</w:t>
      </w:r>
      <w:r>
        <w:rPr>
          <w:rFonts w:ascii="仿宋" w:eastAsia="仿宋" w:hAnsi="仿宋" w:cs="仿宋" w:hint="eastAsia"/>
          <w:kern w:val="0"/>
          <w:sz w:val="32"/>
          <w:szCs w:val="32"/>
        </w:rPr>
        <w:t>万元，决算数大于预算数的主要原因在于年度财政追加预算。</w:t>
      </w:r>
    </w:p>
    <w:p w:rsidR="005B6855" w:rsidRDefault="00B15E81">
      <w:pPr>
        <w:widowControl/>
        <w:snapToGrid w:val="0"/>
        <w:spacing w:line="600" w:lineRule="atLeast"/>
        <w:ind w:firstLine="640"/>
        <w:rPr>
          <w:rFonts w:ascii="仿宋" w:eastAsia="仿宋" w:hAnsi="仿宋" w:cs="Arial"/>
          <w:kern w:val="0"/>
          <w:sz w:val="32"/>
          <w:szCs w:val="32"/>
        </w:rPr>
      </w:pPr>
      <w:r>
        <w:rPr>
          <w:rFonts w:ascii="仿宋" w:eastAsia="仿宋" w:hAnsi="仿宋" w:cs="仿宋" w:hint="eastAsia"/>
          <w:kern w:val="0"/>
          <w:sz w:val="32"/>
          <w:szCs w:val="32"/>
        </w:rPr>
        <w:t>社会保障和就业支出（类）其他生活救助（款）其他农村生活救助（项）。</w:t>
      </w:r>
      <w:r>
        <w:rPr>
          <w:rFonts w:ascii="仿宋" w:eastAsia="仿宋" w:hAnsi="仿宋" w:cs="Arial" w:hint="eastAsia"/>
          <w:kern w:val="0"/>
          <w:sz w:val="32"/>
          <w:szCs w:val="32"/>
        </w:rPr>
        <w:t>2019</w:t>
      </w:r>
      <w:r>
        <w:rPr>
          <w:rFonts w:ascii="仿宋" w:eastAsia="仿宋" w:hAnsi="仿宋" w:cs="仿宋" w:hint="eastAsia"/>
          <w:kern w:val="0"/>
          <w:sz w:val="32"/>
          <w:szCs w:val="32"/>
        </w:rPr>
        <w:t>年年初预算为</w:t>
      </w:r>
      <w:r>
        <w:rPr>
          <w:rFonts w:ascii="仿宋" w:eastAsia="仿宋" w:hAnsi="仿宋" w:cs="Arial" w:hint="eastAsia"/>
          <w:kern w:val="0"/>
          <w:sz w:val="32"/>
          <w:szCs w:val="32"/>
        </w:rPr>
        <w:t>0</w:t>
      </w:r>
      <w:r>
        <w:rPr>
          <w:rFonts w:ascii="仿宋" w:eastAsia="仿宋" w:hAnsi="仿宋" w:cs="仿宋" w:hint="eastAsia"/>
          <w:kern w:val="0"/>
          <w:sz w:val="32"/>
          <w:szCs w:val="32"/>
        </w:rPr>
        <w:t>万元，</w:t>
      </w:r>
      <w:r>
        <w:rPr>
          <w:rFonts w:ascii="仿宋" w:eastAsia="仿宋" w:hAnsi="仿宋" w:cs="Arial" w:hint="eastAsia"/>
          <w:kern w:val="0"/>
          <w:sz w:val="32"/>
          <w:szCs w:val="32"/>
        </w:rPr>
        <w:t>2019</w:t>
      </w:r>
      <w:r>
        <w:rPr>
          <w:rFonts w:ascii="仿宋" w:eastAsia="仿宋" w:hAnsi="仿宋" w:cs="仿宋" w:hint="eastAsia"/>
          <w:kern w:val="0"/>
          <w:sz w:val="32"/>
          <w:szCs w:val="32"/>
        </w:rPr>
        <w:t>年支出决算为</w:t>
      </w:r>
      <w:r>
        <w:rPr>
          <w:rFonts w:ascii="仿宋" w:eastAsia="仿宋" w:hAnsi="仿宋" w:cs="Arial" w:hint="eastAsia"/>
          <w:kern w:val="0"/>
          <w:sz w:val="32"/>
          <w:szCs w:val="32"/>
        </w:rPr>
        <w:t>5.15</w:t>
      </w:r>
      <w:r>
        <w:rPr>
          <w:rFonts w:ascii="仿宋" w:eastAsia="仿宋" w:hAnsi="仿宋" w:cs="仿宋" w:hint="eastAsia"/>
          <w:kern w:val="0"/>
          <w:sz w:val="32"/>
          <w:szCs w:val="32"/>
        </w:rPr>
        <w:t>万元，决算数大于预算数的主要原因在于年度财政追加预算。</w:t>
      </w:r>
    </w:p>
    <w:p w:rsidR="005B6855" w:rsidRDefault="00B15E81">
      <w:pPr>
        <w:widowControl/>
        <w:snapToGrid w:val="0"/>
        <w:spacing w:line="600" w:lineRule="atLeast"/>
        <w:ind w:firstLine="640"/>
        <w:rPr>
          <w:rFonts w:ascii="仿宋" w:eastAsia="仿宋" w:hAnsi="仿宋" w:cs="Arial"/>
          <w:kern w:val="0"/>
          <w:sz w:val="32"/>
          <w:szCs w:val="32"/>
        </w:rPr>
      </w:pPr>
      <w:r>
        <w:rPr>
          <w:rFonts w:ascii="仿宋" w:eastAsia="仿宋" w:hAnsi="仿宋" w:cs="仿宋" w:hint="eastAsia"/>
          <w:kern w:val="0"/>
          <w:sz w:val="32"/>
          <w:szCs w:val="32"/>
        </w:rPr>
        <w:t>社会保障和就业支出（类）退役军人管理事务（款）拥军优属（项）。</w:t>
      </w:r>
      <w:r>
        <w:rPr>
          <w:rFonts w:ascii="仿宋" w:eastAsia="仿宋" w:hAnsi="仿宋" w:cs="Arial" w:hint="eastAsia"/>
          <w:kern w:val="0"/>
          <w:sz w:val="32"/>
          <w:szCs w:val="32"/>
        </w:rPr>
        <w:t>2019</w:t>
      </w:r>
      <w:r>
        <w:rPr>
          <w:rFonts w:ascii="仿宋" w:eastAsia="仿宋" w:hAnsi="仿宋" w:cs="仿宋" w:hint="eastAsia"/>
          <w:kern w:val="0"/>
          <w:sz w:val="32"/>
          <w:szCs w:val="32"/>
        </w:rPr>
        <w:t>年年初预算为</w:t>
      </w:r>
      <w:r>
        <w:rPr>
          <w:rFonts w:ascii="仿宋" w:eastAsia="仿宋" w:hAnsi="仿宋" w:cs="Arial" w:hint="eastAsia"/>
          <w:kern w:val="0"/>
          <w:sz w:val="32"/>
          <w:szCs w:val="32"/>
        </w:rPr>
        <w:t>0</w:t>
      </w:r>
      <w:r>
        <w:rPr>
          <w:rFonts w:ascii="仿宋" w:eastAsia="仿宋" w:hAnsi="仿宋" w:cs="仿宋" w:hint="eastAsia"/>
          <w:kern w:val="0"/>
          <w:sz w:val="32"/>
          <w:szCs w:val="32"/>
        </w:rPr>
        <w:t>万元，</w:t>
      </w:r>
      <w:r>
        <w:rPr>
          <w:rFonts w:ascii="仿宋" w:eastAsia="仿宋" w:hAnsi="仿宋" w:cs="Arial" w:hint="eastAsia"/>
          <w:kern w:val="0"/>
          <w:sz w:val="32"/>
          <w:szCs w:val="32"/>
        </w:rPr>
        <w:t>2019</w:t>
      </w:r>
      <w:r>
        <w:rPr>
          <w:rFonts w:ascii="仿宋" w:eastAsia="仿宋" w:hAnsi="仿宋" w:cs="仿宋" w:hint="eastAsia"/>
          <w:kern w:val="0"/>
          <w:sz w:val="32"/>
          <w:szCs w:val="32"/>
        </w:rPr>
        <w:t>年支出决算为</w:t>
      </w:r>
      <w:r>
        <w:rPr>
          <w:rFonts w:ascii="仿宋" w:eastAsia="仿宋" w:hAnsi="仿宋" w:cs="Arial" w:hint="eastAsia"/>
          <w:kern w:val="0"/>
          <w:sz w:val="32"/>
          <w:szCs w:val="32"/>
        </w:rPr>
        <w:t>0.66</w:t>
      </w:r>
      <w:r>
        <w:rPr>
          <w:rFonts w:ascii="仿宋" w:eastAsia="仿宋" w:hAnsi="仿宋" w:cs="仿宋" w:hint="eastAsia"/>
          <w:kern w:val="0"/>
          <w:sz w:val="32"/>
          <w:szCs w:val="32"/>
        </w:rPr>
        <w:t>元，决算数大于预算数的主要原因在于年度财政追加预算。</w:t>
      </w:r>
    </w:p>
    <w:p w:rsidR="005B6855" w:rsidRDefault="00B15E81">
      <w:pPr>
        <w:widowControl/>
        <w:snapToGrid w:val="0"/>
        <w:spacing w:line="600" w:lineRule="atLeast"/>
        <w:ind w:firstLine="640"/>
        <w:rPr>
          <w:rFonts w:ascii="仿宋" w:eastAsia="仿宋" w:hAnsi="仿宋" w:cs="Arial"/>
          <w:kern w:val="0"/>
          <w:sz w:val="32"/>
          <w:szCs w:val="32"/>
        </w:rPr>
      </w:pPr>
      <w:r>
        <w:rPr>
          <w:rFonts w:ascii="仿宋" w:eastAsia="仿宋" w:hAnsi="仿宋" w:cs="仿宋" w:hint="eastAsia"/>
          <w:kern w:val="0"/>
          <w:sz w:val="32"/>
          <w:szCs w:val="32"/>
        </w:rPr>
        <w:t>社会保障和就业支出（类）退役军人管理事务（款）其他退役军人事务管理支出（项）。</w:t>
      </w:r>
      <w:r>
        <w:rPr>
          <w:rFonts w:ascii="仿宋" w:eastAsia="仿宋" w:hAnsi="仿宋" w:cs="Arial" w:hint="eastAsia"/>
          <w:kern w:val="0"/>
          <w:sz w:val="32"/>
          <w:szCs w:val="32"/>
        </w:rPr>
        <w:t>2019</w:t>
      </w:r>
      <w:r>
        <w:rPr>
          <w:rFonts w:ascii="仿宋" w:eastAsia="仿宋" w:hAnsi="仿宋" w:cs="仿宋" w:hint="eastAsia"/>
          <w:kern w:val="0"/>
          <w:sz w:val="32"/>
          <w:szCs w:val="32"/>
        </w:rPr>
        <w:t>年年初预算为</w:t>
      </w:r>
      <w:r>
        <w:rPr>
          <w:rFonts w:ascii="仿宋" w:eastAsia="仿宋" w:hAnsi="仿宋" w:cs="Arial" w:hint="eastAsia"/>
          <w:kern w:val="0"/>
          <w:sz w:val="32"/>
          <w:szCs w:val="32"/>
        </w:rPr>
        <w:t>0</w:t>
      </w:r>
      <w:r>
        <w:rPr>
          <w:rFonts w:ascii="仿宋" w:eastAsia="仿宋" w:hAnsi="仿宋" w:cs="仿宋" w:hint="eastAsia"/>
          <w:kern w:val="0"/>
          <w:sz w:val="32"/>
          <w:szCs w:val="32"/>
        </w:rPr>
        <w:t>万元，</w:t>
      </w:r>
      <w:r>
        <w:rPr>
          <w:rFonts w:ascii="仿宋" w:eastAsia="仿宋" w:hAnsi="仿宋" w:cs="Arial" w:hint="eastAsia"/>
          <w:kern w:val="0"/>
          <w:sz w:val="32"/>
          <w:szCs w:val="32"/>
        </w:rPr>
        <w:t>2019</w:t>
      </w:r>
      <w:r>
        <w:rPr>
          <w:rFonts w:ascii="仿宋" w:eastAsia="仿宋" w:hAnsi="仿宋" w:cs="仿宋" w:hint="eastAsia"/>
          <w:kern w:val="0"/>
          <w:sz w:val="32"/>
          <w:szCs w:val="32"/>
        </w:rPr>
        <w:t>年支出决算为</w:t>
      </w:r>
      <w:r>
        <w:rPr>
          <w:rFonts w:ascii="仿宋" w:eastAsia="仿宋" w:hAnsi="仿宋" w:cs="Arial" w:hint="eastAsia"/>
          <w:kern w:val="0"/>
          <w:sz w:val="32"/>
          <w:szCs w:val="32"/>
        </w:rPr>
        <w:t>1.35</w:t>
      </w:r>
      <w:r>
        <w:rPr>
          <w:rFonts w:ascii="仿宋" w:eastAsia="仿宋" w:hAnsi="仿宋" w:cs="仿宋" w:hint="eastAsia"/>
          <w:kern w:val="0"/>
          <w:sz w:val="32"/>
          <w:szCs w:val="32"/>
        </w:rPr>
        <w:t>万元，决算数大于预算数的主要原因在于年度财政追加预算。</w:t>
      </w:r>
    </w:p>
    <w:p w:rsidR="005B6855" w:rsidRDefault="00B15E81">
      <w:pPr>
        <w:widowControl/>
        <w:snapToGrid w:val="0"/>
        <w:spacing w:line="600" w:lineRule="atLeast"/>
        <w:ind w:firstLine="640"/>
        <w:rPr>
          <w:rFonts w:ascii="仿宋" w:eastAsia="仿宋" w:hAnsi="仿宋" w:cs="Arial"/>
          <w:kern w:val="0"/>
          <w:sz w:val="32"/>
          <w:szCs w:val="32"/>
        </w:rPr>
      </w:pPr>
      <w:r>
        <w:rPr>
          <w:rFonts w:ascii="仿宋" w:eastAsia="仿宋" w:hAnsi="仿宋" w:cs="仿宋" w:hint="eastAsia"/>
          <w:kern w:val="0"/>
          <w:sz w:val="32"/>
          <w:szCs w:val="32"/>
        </w:rPr>
        <w:t>卫生健康支出（类）计划生育事务（款）其他计划生育事务支出（项）。</w:t>
      </w:r>
      <w:r>
        <w:rPr>
          <w:rFonts w:ascii="仿宋" w:eastAsia="仿宋" w:hAnsi="仿宋" w:cs="Arial" w:hint="eastAsia"/>
          <w:kern w:val="0"/>
          <w:sz w:val="32"/>
          <w:szCs w:val="32"/>
        </w:rPr>
        <w:t>2019</w:t>
      </w:r>
      <w:r>
        <w:rPr>
          <w:rFonts w:ascii="仿宋" w:eastAsia="仿宋" w:hAnsi="仿宋" w:cs="仿宋" w:hint="eastAsia"/>
          <w:kern w:val="0"/>
          <w:sz w:val="32"/>
          <w:szCs w:val="32"/>
        </w:rPr>
        <w:t>年年初预算为</w:t>
      </w:r>
      <w:r>
        <w:rPr>
          <w:rFonts w:ascii="仿宋" w:eastAsia="仿宋" w:hAnsi="仿宋" w:cs="Arial" w:hint="eastAsia"/>
          <w:kern w:val="0"/>
          <w:sz w:val="32"/>
          <w:szCs w:val="32"/>
        </w:rPr>
        <w:t>71.4</w:t>
      </w:r>
      <w:r>
        <w:rPr>
          <w:rFonts w:ascii="仿宋" w:eastAsia="仿宋" w:hAnsi="仿宋" w:cs="仿宋" w:hint="eastAsia"/>
          <w:kern w:val="0"/>
          <w:sz w:val="32"/>
          <w:szCs w:val="32"/>
        </w:rPr>
        <w:t>万元，</w:t>
      </w:r>
      <w:r>
        <w:rPr>
          <w:rFonts w:ascii="仿宋" w:eastAsia="仿宋" w:hAnsi="仿宋" w:cs="Arial" w:hint="eastAsia"/>
          <w:kern w:val="0"/>
          <w:sz w:val="32"/>
          <w:szCs w:val="32"/>
        </w:rPr>
        <w:t>2019</w:t>
      </w:r>
      <w:r>
        <w:rPr>
          <w:rFonts w:ascii="仿宋" w:eastAsia="仿宋" w:hAnsi="仿宋" w:cs="仿宋" w:hint="eastAsia"/>
          <w:kern w:val="0"/>
          <w:sz w:val="32"/>
          <w:szCs w:val="32"/>
        </w:rPr>
        <w:t>年支出决算为</w:t>
      </w:r>
      <w:r>
        <w:rPr>
          <w:rFonts w:ascii="仿宋" w:eastAsia="仿宋" w:hAnsi="仿宋" w:cs="Arial" w:hint="eastAsia"/>
          <w:kern w:val="0"/>
          <w:sz w:val="32"/>
          <w:szCs w:val="32"/>
        </w:rPr>
        <w:t>71.4</w:t>
      </w:r>
      <w:r>
        <w:rPr>
          <w:rFonts w:ascii="仿宋" w:eastAsia="仿宋" w:hAnsi="仿宋" w:cs="仿宋" w:hint="eastAsia"/>
          <w:kern w:val="0"/>
          <w:sz w:val="32"/>
          <w:szCs w:val="32"/>
        </w:rPr>
        <w:t>万元，完成年初预算的</w:t>
      </w:r>
      <w:r>
        <w:rPr>
          <w:rFonts w:ascii="仿宋" w:eastAsia="仿宋" w:hAnsi="仿宋" w:cs="Arial" w:hint="eastAsia"/>
          <w:kern w:val="0"/>
          <w:sz w:val="32"/>
          <w:szCs w:val="32"/>
        </w:rPr>
        <w:t>100%，决算等于预算的主要原因是严格按照预算执行</w:t>
      </w:r>
      <w:r>
        <w:rPr>
          <w:rFonts w:ascii="仿宋" w:eastAsia="仿宋" w:hAnsi="仿宋" w:cs="仿宋" w:hint="eastAsia"/>
          <w:kern w:val="0"/>
          <w:sz w:val="32"/>
          <w:szCs w:val="32"/>
        </w:rPr>
        <w:t>。</w:t>
      </w:r>
    </w:p>
    <w:p w:rsidR="005B6855" w:rsidRDefault="00B15E81">
      <w:pPr>
        <w:widowControl/>
        <w:snapToGrid w:val="0"/>
        <w:spacing w:line="600" w:lineRule="atLeast"/>
        <w:ind w:firstLine="640"/>
        <w:rPr>
          <w:rFonts w:ascii="仿宋" w:eastAsia="仿宋" w:hAnsi="仿宋" w:cs="Arial"/>
          <w:kern w:val="0"/>
          <w:sz w:val="32"/>
          <w:szCs w:val="32"/>
        </w:rPr>
      </w:pPr>
      <w:r>
        <w:rPr>
          <w:rFonts w:ascii="仿宋" w:eastAsia="仿宋" w:hAnsi="仿宋" w:cs="仿宋" w:hint="eastAsia"/>
          <w:kern w:val="0"/>
          <w:sz w:val="32"/>
          <w:szCs w:val="32"/>
        </w:rPr>
        <w:t>卫生健康支出（类）优抚对象医疗（款）优抚对象医疗补助（项）。</w:t>
      </w:r>
      <w:r>
        <w:rPr>
          <w:rFonts w:ascii="仿宋" w:eastAsia="仿宋" w:hAnsi="仿宋" w:cs="Arial" w:hint="eastAsia"/>
          <w:kern w:val="0"/>
          <w:sz w:val="32"/>
          <w:szCs w:val="32"/>
        </w:rPr>
        <w:t>2019</w:t>
      </w:r>
      <w:r>
        <w:rPr>
          <w:rFonts w:ascii="仿宋" w:eastAsia="仿宋" w:hAnsi="仿宋" w:cs="仿宋" w:hint="eastAsia"/>
          <w:kern w:val="0"/>
          <w:sz w:val="32"/>
          <w:szCs w:val="32"/>
        </w:rPr>
        <w:t>年年初预算为</w:t>
      </w:r>
      <w:r>
        <w:rPr>
          <w:rFonts w:ascii="仿宋" w:eastAsia="仿宋" w:hAnsi="仿宋" w:cs="Arial" w:hint="eastAsia"/>
          <w:kern w:val="0"/>
          <w:sz w:val="32"/>
          <w:szCs w:val="32"/>
        </w:rPr>
        <w:t>0</w:t>
      </w:r>
      <w:r>
        <w:rPr>
          <w:rFonts w:ascii="仿宋" w:eastAsia="仿宋" w:hAnsi="仿宋" w:cs="仿宋" w:hint="eastAsia"/>
          <w:kern w:val="0"/>
          <w:sz w:val="32"/>
          <w:szCs w:val="32"/>
        </w:rPr>
        <w:t>万元，</w:t>
      </w:r>
      <w:r>
        <w:rPr>
          <w:rFonts w:ascii="仿宋" w:eastAsia="仿宋" w:hAnsi="仿宋" w:cs="Arial" w:hint="eastAsia"/>
          <w:kern w:val="0"/>
          <w:sz w:val="32"/>
          <w:szCs w:val="32"/>
        </w:rPr>
        <w:t>2019</w:t>
      </w:r>
      <w:r>
        <w:rPr>
          <w:rFonts w:ascii="仿宋" w:eastAsia="仿宋" w:hAnsi="仿宋" w:cs="仿宋" w:hint="eastAsia"/>
          <w:kern w:val="0"/>
          <w:sz w:val="32"/>
          <w:szCs w:val="32"/>
        </w:rPr>
        <w:t>年支出决算</w:t>
      </w:r>
      <w:r>
        <w:rPr>
          <w:rFonts w:ascii="仿宋" w:eastAsia="仿宋" w:hAnsi="仿宋" w:cs="仿宋" w:hint="eastAsia"/>
          <w:kern w:val="0"/>
          <w:sz w:val="32"/>
          <w:szCs w:val="32"/>
        </w:rPr>
        <w:lastRenderedPageBreak/>
        <w:t>为</w:t>
      </w:r>
      <w:r>
        <w:rPr>
          <w:rFonts w:ascii="仿宋" w:eastAsia="仿宋" w:hAnsi="仿宋" w:cs="Arial" w:hint="eastAsia"/>
          <w:kern w:val="0"/>
          <w:sz w:val="32"/>
          <w:szCs w:val="32"/>
        </w:rPr>
        <w:t>1.15</w:t>
      </w:r>
      <w:r>
        <w:rPr>
          <w:rFonts w:ascii="仿宋" w:eastAsia="仿宋" w:hAnsi="仿宋" w:cs="仿宋" w:hint="eastAsia"/>
          <w:kern w:val="0"/>
          <w:sz w:val="32"/>
          <w:szCs w:val="32"/>
        </w:rPr>
        <w:t>万元，决算数大于预算数的主要原因在于年度财政追加预算。</w:t>
      </w:r>
    </w:p>
    <w:p w:rsidR="005B6855" w:rsidRDefault="00B15E81">
      <w:pPr>
        <w:widowControl/>
        <w:snapToGrid w:val="0"/>
        <w:spacing w:line="600" w:lineRule="atLeast"/>
        <w:ind w:firstLine="640"/>
        <w:rPr>
          <w:rFonts w:ascii="仿宋" w:eastAsia="仿宋" w:hAnsi="仿宋" w:cs="仿宋"/>
          <w:kern w:val="0"/>
          <w:sz w:val="32"/>
          <w:szCs w:val="32"/>
        </w:rPr>
      </w:pPr>
      <w:r>
        <w:rPr>
          <w:rFonts w:ascii="仿宋" w:eastAsia="仿宋" w:hAnsi="仿宋" w:cs="仿宋" w:hint="eastAsia"/>
          <w:kern w:val="0"/>
          <w:sz w:val="32"/>
          <w:szCs w:val="32"/>
        </w:rPr>
        <w:t>节能环保支出（类）环境保护管理事务（款）其他环境保护管理事务支出（项）。</w:t>
      </w:r>
      <w:r>
        <w:rPr>
          <w:rFonts w:ascii="仿宋" w:eastAsia="仿宋" w:hAnsi="仿宋" w:cs="Arial" w:hint="eastAsia"/>
          <w:kern w:val="0"/>
          <w:sz w:val="32"/>
          <w:szCs w:val="32"/>
        </w:rPr>
        <w:t>2019</w:t>
      </w:r>
      <w:r>
        <w:rPr>
          <w:rFonts w:ascii="仿宋" w:eastAsia="仿宋" w:hAnsi="仿宋" w:cs="仿宋" w:hint="eastAsia"/>
          <w:kern w:val="0"/>
          <w:sz w:val="32"/>
          <w:szCs w:val="32"/>
        </w:rPr>
        <w:t>年年初预算为</w:t>
      </w:r>
      <w:r>
        <w:rPr>
          <w:rFonts w:ascii="仿宋" w:eastAsia="仿宋" w:hAnsi="仿宋" w:cs="Arial" w:hint="eastAsia"/>
          <w:kern w:val="0"/>
          <w:sz w:val="32"/>
          <w:szCs w:val="32"/>
        </w:rPr>
        <w:t>20.8</w:t>
      </w:r>
      <w:r>
        <w:rPr>
          <w:rFonts w:ascii="仿宋" w:eastAsia="仿宋" w:hAnsi="仿宋" w:cs="仿宋" w:hint="eastAsia"/>
          <w:kern w:val="0"/>
          <w:sz w:val="32"/>
          <w:szCs w:val="32"/>
        </w:rPr>
        <w:t>万元，</w:t>
      </w:r>
      <w:r>
        <w:rPr>
          <w:rFonts w:ascii="仿宋" w:eastAsia="仿宋" w:hAnsi="仿宋" w:cs="Arial" w:hint="eastAsia"/>
          <w:kern w:val="0"/>
          <w:sz w:val="32"/>
          <w:szCs w:val="32"/>
        </w:rPr>
        <w:t>2019</w:t>
      </w:r>
      <w:r>
        <w:rPr>
          <w:rFonts w:ascii="仿宋" w:eastAsia="仿宋" w:hAnsi="仿宋" w:cs="仿宋" w:hint="eastAsia"/>
          <w:kern w:val="0"/>
          <w:sz w:val="32"/>
          <w:szCs w:val="32"/>
        </w:rPr>
        <w:t>年支出决算为</w:t>
      </w:r>
      <w:r>
        <w:rPr>
          <w:rFonts w:ascii="仿宋" w:eastAsia="仿宋" w:hAnsi="仿宋" w:cs="Arial" w:hint="eastAsia"/>
          <w:kern w:val="0"/>
          <w:sz w:val="32"/>
          <w:szCs w:val="32"/>
        </w:rPr>
        <w:t>20.8</w:t>
      </w:r>
      <w:r>
        <w:rPr>
          <w:rFonts w:ascii="仿宋" w:eastAsia="仿宋" w:hAnsi="仿宋" w:cs="仿宋" w:hint="eastAsia"/>
          <w:kern w:val="0"/>
          <w:sz w:val="32"/>
          <w:szCs w:val="32"/>
        </w:rPr>
        <w:t>万元，完成年初预算的</w:t>
      </w:r>
      <w:r>
        <w:rPr>
          <w:rFonts w:ascii="仿宋" w:eastAsia="仿宋" w:hAnsi="仿宋" w:cs="Arial" w:hint="eastAsia"/>
          <w:kern w:val="0"/>
          <w:sz w:val="32"/>
          <w:szCs w:val="32"/>
        </w:rPr>
        <w:t>100%，决算等于预算的主要原因是严格按照预算执行</w:t>
      </w:r>
      <w:r>
        <w:rPr>
          <w:rFonts w:ascii="仿宋" w:eastAsia="仿宋" w:hAnsi="仿宋" w:cs="仿宋" w:hint="eastAsia"/>
          <w:kern w:val="0"/>
          <w:sz w:val="32"/>
          <w:szCs w:val="32"/>
        </w:rPr>
        <w:t>。</w:t>
      </w:r>
    </w:p>
    <w:p w:rsidR="005B6855" w:rsidRDefault="00B15E81">
      <w:pPr>
        <w:widowControl/>
        <w:snapToGrid w:val="0"/>
        <w:spacing w:line="600" w:lineRule="atLeast"/>
        <w:ind w:firstLine="640"/>
        <w:rPr>
          <w:rFonts w:ascii="仿宋" w:eastAsia="仿宋" w:hAnsi="仿宋" w:cs="仿宋"/>
          <w:kern w:val="0"/>
          <w:sz w:val="32"/>
          <w:szCs w:val="32"/>
          <w:highlight w:val="yellow"/>
        </w:rPr>
      </w:pPr>
      <w:r>
        <w:rPr>
          <w:rFonts w:ascii="仿宋" w:eastAsia="仿宋" w:hAnsi="仿宋" w:cs="仿宋" w:hint="eastAsia"/>
          <w:kern w:val="0"/>
          <w:sz w:val="32"/>
          <w:szCs w:val="32"/>
        </w:rPr>
        <w:t>节能环保支出（类）环境保护管理事务（款）其他节能环保支出（项）。</w:t>
      </w:r>
      <w:r>
        <w:rPr>
          <w:rFonts w:ascii="仿宋" w:eastAsia="仿宋" w:hAnsi="仿宋" w:cs="Arial" w:hint="eastAsia"/>
          <w:kern w:val="0"/>
          <w:sz w:val="32"/>
          <w:szCs w:val="32"/>
        </w:rPr>
        <w:t>2019</w:t>
      </w:r>
      <w:r>
        <w:rPr>
          <w:rFonts w:ascii="仿宋" w:eastAsia="仿宋" w:hAnsi="仿宋" w:cs="仿宋" w:hint="eastAsia"/>
          <w:kern w:val="0"/>
          <w:sz w:val="32"/>
          <w:szCs w:val="32"/>
        </w:rPr>
        <w:t>年年初预算为</w:t>
      </w:r>
      <w:r>
        <w:rPr>
          <w:rFonts w:ascii="仿宋" w:eastAsia="仿宋" w:hAnsi="仿宋" w:cs="Arial" w:hint="eastAsia"/>
          <w:kern w:val="0"/>
          <w:sz w:val="32"/>
          <w:szCs w:val="32"/>
        </w:rPr>
        <w:t>0</w:t>
      </w:r>
      <w:r>
        <w:rPr>
          <w:rFonts w:ascii="仿宋" w:eastAsia="仿宋" w:hAnsi="仿宋" w:cs="仿宋" w:hint="eastAsia"/>
          <w:kern w:val="0"/>
          <w:sz w:val="32"/>
          <w:szCs w:val="32"/>
        </w:rPr>
        <w:t>万元，</w:t>
      </w:r>
      <w:r>
        <w:rPr>
          <w:rFonts w:ascii="仿宋" w:eastAsia="仿宋" w:hAnsi="仿宋" w:cs="Arial" w:hint="eastAsia"/>
          <w:kern w:val="0"/>
          <w:sz w:val="32"/>
          <w:szCs w:val="32"/>
        </w:rPr>
        <w:t>2019</w:t>
      </w:r>
      <w:r>
        <w:rPr>
          <w:rFonts w:ascii="仿宋" w:eastAsia="仿宋" w:hAnsi="仿宋" w:cs="仿宋" w:hint="eastAsia"/>
          <w:kern w:val="0"/>
          <w:sz w:val="32"/>
          <w:szCs w:val="32"/>
        </w:rPr>
        <w:t>年支出决算为</w:t>
      </w:r>
      <w:r>
        <w:rPr>
          <w:rFonts w:ascii="仿宋" w:eastAsia="仿宋" w:hAnsi="仿宋" w:cs="Arial" w:hint="eastAsia"/>
          <w:kern w:val="0"/>
          <w:sz w:val="32"/>
          <w:szCs w:val="32"/>
        </w:rPr>
        <w:t>245</w:t>
      </w:r>
      <w:r>
        <w:rPr>
          <w:rFonts w:ascii="仿宋" w:eastAsia="仿宋" w:hAnsi="仿宋" w:cs="仿宋" w:hint="eastAsia"/>
          <w:kern w:val="0"/>
          <w:sz w:val="32"/>
          <w:szCs w:val="32"/>
        </w:rPr>
        <w:t>万元，决算数大于预算数的主要原因在于年度财政追加预算。</w:t>
      </w:r>
    </w:p>
    <w:p w:rsidR="005B6855" w:rsidRDefault="00B15E81">
      <w:pPr>
        <w:widowControl/>
        <w:snapToGrid w:val="0"/>
        <w:spacing w:line="600" w:lineRule="atLeast"/>
        <w:ind w:firstLine="640"/>
        <w:rPr>
          <w:rFonts w:ascii="宋体" w:eastAsia="宋体" w:hAnsi="宋体" w:cs="宋体"/>
          <w:kern w:val="0"/>
          <w:sz w:val="24"/>
        </w:rPr>
      </w:pPr>
      <w:r>
        <w:rPr>
          <w:rFonts w:ascii="仿宋" w:eastAsia="仿宋" w:hAnsi="仿宋" w:cs="仿宋" w:hint="eastAsia"/>
          <w:kern w:val="0"/>
          <w:sz w:val="32"/>
          <w:szCs w:val="32"/>
        </w:rPr>
        <w:t>农林水支出（类）农业（款）对高校毕业生到基层任职补助（项）。</w:t>
      </w:r>
      <w:r>
        <w:rPr>
          <w:rFonts w:ascii="仿宋" w:eastAsia="仿宋" w:hAnsi="仿宋" w:cs="Arial" w:hint="eastAsia"/>
          <w:kern w:val="0"/>
          <w:sz w:val="32"/>
          <w:szCs w:val="32"/>
        </w:rPr>
        <w:t>2019</w:t>
      </w:r>
      <w:r>
        <w:rPr>
          <w:rFonts w:ascii="仿宋" w:eastAsia="仿宋" w:hAnsi="仿宋" w:cs="仿宋" w:hint="eastAsia"/>
          <w:kern w:val="0"/>
          <w:sz w:val="32"/>
          <w:szCs w:val="32"/>
        </w:rPr>
        <w:t>年年初预算为</w:t>
      </w:r>
      <w:r>
        <w:rPr>
          <w:rFonts w:ascii="仿宋" w:eastAsia="仿宋" w:hAnsi="仿宋" w:cs="Arial" w:hint="eastAsia"/>
          <w:kern w:val="0"/>
          <w:sz w:val="32"/>
          <w:szCs w:val="32"/>
        </w:rPr>
        <w:t>5.57</w:t>
      </w:r>
      <w:r>
        <w:rPr>
          <w:rFonts w:ascii="仿宋" w:eastAsia="仿宋" w:hAnsi="仿宋" w:cs="仿宋" w:hint="eastAsia"/>
          <w:kern w:val="0"/>
          <w:sz w:val="32"/>
          <w:szCs w:val="32"/>
        </w:rPr>
        <w:t>万元，</w:t>
      </w:r>
      <w:r>
        <w:rPr>
          <w:rFonts w:ascii="仿宋" w:eastAsia="仿宋" w:hAnsi="仿宋" w:cs="Arial" w:hint="eastAsia"/>
          <w:kern w:val="0"/>
          <w:sz w:val="32"/>
          <w:szCs w:val="32"/>
        </w:rPr>
        <w:t>2019</w:t>
      </w:r>
      <w:r>
        <w:rPr>
          <w:rFonts w:ascii="仿宋" w:eastAsia="仿宋" w:hAnsi="仿宋" w:cs="仿宋" w:hint="eastAsia"/>
          <w:kern w:val="0"/>
          <w:sz w:val="32"/>
          <w:szCs w:val="32"/>
        </w:rPr>
        <w:t>年支出决算为</w:t>
      </w:r>
      <w:r>
        <w:rPr>
          <w:rFonts w:ascii="仿宋" w:eastAsia="仿宋" w:hAnsi="仿宋" w:cs="Arial" w:hint="eastAsia"/>
          <w:kern w:val="0"/>
          <w:sz w:val="32"/>
          <w:szCs w:val="32"/>
        </w:rPr>
        <w:t>5.57</w:t>
      </w:r>
      <w:r>
        <w:rPr>
          <w:rFonts w:ascii="仿宋" w:eastAsia="仿宋" w:hAnsi="仿宋" w:cs="仿宋" w:hint="eastAsia"/>
          <w:kern w:val="0"/>
          <w:sz w:val="32"/>
          <w:szCs w:val="32"/>
        </w:rPr>
        <w:t>万元，完成年初预算的</w:t>
      </w:r>
      <w:r>
        <w:rPr>
          <w:rFonts w:ascii="仿宋" w:eastAsia="仿宋" w:hAnsi="仿宋" w:cs="Arial" w:hint="eastAsia"/>
          <w:kern w:val="0"/>
          <w:sz w:val="32"/>
          <w:szCs w:val="32"/>
        </w:rPr>
        <w:t>100%，决算等于预算的主要原因是严格按照预算执行</w:t>
      </w:r>
      <w:r>
        <w:rPr>
          <w:rFonts w:ascii="仿宋" w:eastAsia="仿宋" w:hAnsi="仿宋" w:cs="仿宋" w:hint="eastAsia"/>
          <w:kern w:val="0"/>
          <w:sz w:val="32"/>
          <w:szCs w:val="32"/>
        </w:rPr>
        <w:t>。</w:t>
      </w:r>
    </w:p>
    <w:p w:rsidR="005B6855" w:rsidRDefault="00B15E81">
      <w:pPr>
        <w:widowControl/>
        <w:snapToGrid w:val="0"/>
        <w:spacing w:line="600" w:lineRule="atLeast"/>
        <w:ind w:firstLine="640"/>
        <w:rPr>
          <w:rFonts w:ascii="仿宋" w:eastAsia="仿宋" w:hAnsi="仿宋" w:cs="Arial"/>
          <w:kern w:val="0"/>
          <w:sz w:val="32"/>
          <w:szCs w:val="32"/>
        </w:rPr>
      </w:pPr>
      <w:r>
        <w:rPr>
          <w:rFonts w:ascii="仿宋" w:eastAsia="仿宋" w:hAnsi="仿宋" w:cs="仿宋" w:hint="eastAsia"/>
          <w:kern w:val="0"/>
          <w:sz w:val="32"/>
          <w:szCs w:val="32"/>
        </w:rPr>
        <w:t>农林水支出（类）农业（款）其他农业支出（项）。</w:t>
      </w:r>
      <w:r>
        <w:rPr>
          <w:rFonts w:ascii="仿宋" w:eastAsia="仿宋" w:hAnsi="仿宋" w:cs="Arial" w:hint="eastAsia"/>
          <w:kern w:val="0"/>
          <w:sz w:val="32"/>
          <w:szCs w:val="32"/>
        </w:rPr>
        <w:t>2019</w:t>
      </w:r>
      <w:r>
        <w:rPr>
          <w:rFonts w:ascii="仿宋" w:eastAsia="仿宋" w:hAnsi="仿宋" w:cs="仿宋" w:hint="eastAsia"/>
          <w:kern w:val="0"/>
          <w:sz w:val="32"/>
          <w:szCs w:val="32"/>
        </w:rPr>
        <w:t>年年初预算为</w:t>
      </w:r>
      <w:r>
        <w:rPr>
          <w:rFonts w:ascii="仿宋" w:eastAsia="仿宋" w:hAnsi="仿宋" w:cs="Arial" w:hint="eastAsia"/>
          <w:kern w:val="0"/>
          <w:sz w:val="32"/>
          <w:szCs w:val="32"/>
        </w:rPr>
        <w:t>146.74</w:t>
      </w:r>
      <w:r>
        <w:rPr>
          <w:rFonts w:ascii="仿宋" w:eastAsia="仿宋" w:hAnsi="仿宋" w:cs="仿宋" w:hint="eastAsia"/>
          <w:kern w:val="0"/>
          <w:sz w:val="32"/>
          <w:szCs w:val="32"/>
        </w:rPr>
        <w:t>万元，</w:t>
      </w:r>
      <w:r>
        <w:rPr>
          <w:rFonts w:ascii="仿宋" w:eastAsia="仿宋" w:hAnsi="仿宋" w:cs="Arial" w:hint="eastAsia"/>
          <w:kern w:val="0"/>
          <w:sz w:val="32"/>
          <w:szCs w:val="32"/>
        </w:rPr>
        <w:t>2019</w:t>
      </w:r>
      <w:r>
        <w:rPr>
          <w:rFonts w:ascii="仿宋" w:eastAsia="仿宋" w:hAnsi="仿宋" w:cs="仿宋" w:hint="eastAsia"/>
          <w:kern w:val="0"/>
          <w:sz w:val="32"/>
          <w:szCs w:val="32"/>
        </w:rPr>
        <w:t>年支出决算为</w:t>
      </w:r>
      <w:r>
        <w:rPr>
          <w:rFonts w:ascii="仿宋" w:eastAsia="仿宋" w:hAnsi="仿宋" w:cs="Arial" w:hint="eastAsia"/>
          <w:kern w:val="0"/>
          <w:sz w:val="32"/>
          <w:szCs w:val="32"/>
        </w:rPr>
        <w:t>104</w:t>
      </w:r>
      <w:r>
        <w:rPr>
          <w:rFonts w:ascii="仿宋" w:eastAsia="仿宋" w:hAnsi="仿宋" w:cs="仿宋" w:hint="eastAsia"/>
          <w:kern w:val="0"/>
          <w:sz w:val="32"/>
          <w:szCs w:val="32"/>
        </w:rPr>
        <w:t>万元，完成年初预算的</w:t>
      </w:r>
      <w:r>
        <w:rPr>
          <w:rFonts w:ascii="仿宋" w:eastAsia="仿宋" w:hAnsi="仿宋" w:cs="Arial" w:hint="eastAsia"/>
          <w:kern w:val="0"/>
          <w:sz w:val="32"/>
          <w:szCs w:val="32"/>
        </w:rPr>
        <w:t>70.87%</w:t>
      </w:r>
      <w:r>
        <w:rPr>
          <w:rFonts w:ascii="仿宋" w:eastAsia="仿宋" w:hAnsi="仿宋" w:cs="仿宋" w:hint="eastAsia"/>
          <w:kern w:val="0"/>
          <w:sz w:val="32"/>
          <w:szCs w:val="32"/>
        </w:rPr>
        <w:t>，决算数小于预算数的主要原因在于村级便民服务中心运行经费减少。</w:t>
      </w:r>
    </w:p>
    <w:p w:rsidR="005B6855" w:rsidRDefault="00B15E81">
      <w:pPr>
        <w:widowControl/>
        <w:snapToGrid w:val="0"/>
        <w:spacing w:line="600" w:lineRule="atLeast"/>
        <w:ind w:firstLine="640"/>
        <w:rPr>
          <w:rFonts w:ascii="宋体" w:eastAsia="宋体" w:hAnsi="宋体" w:cs="宋体"/>
          <w:kern w:val="0"/>
          <w:sz w:val="24"/>
        </w:rPr>
      </w:pPr>
      <w:r>
        <w:rPr>
          <w:rFonts w:ascii="仿宋" w:eastAsia="仿宋" w:hAnsi="仿宋" w:cs="仿宋" w:hint="eastAsia"/>
          <w:kern w:val="0"/>
          <w:sz w:val="32"/>
          <w:szCs w:val="32"/>
        </w:rPr>
        <w:t>农林水支出（类）林业和草原（款）其他林业和草原支出（项）。</w:t>
      </w:r>
      <w:r>
        <w:rPr>
          <w:rFonts w:ascii="仿宋" w:eastAsia="仿宋" w:hAnsi="仿宋" w:cs="Arial" w:hint="eastAsia"/>
          <w:kern w:val="0"/>
          <w:sz w:val="32"/>
          <w:szCs w:val="32"/>
        </w:rPr>
        <w:t>2019</w:t>
      </w:r>
      <w:r>
        <w:rPr>
          <w:rFonts w:ascii="仿宋" w:eastAsia="仿宋" w:hAnsi="仿宋" w:cs="仿宋" w:hint="eastAsia"/>
          <w:kern w:val="0"/>
          <w:sz w:val="32"/>
          <w:szCs w:val="32"/>
        </w:rPr>
        <w:t>年年初预算为</w:t>
      </w:r>
      <w:r>
        <w:rPr>
          <w:rFonts w:ascii="仿宋" w:eastAsia="仿宋" w:hAnsi="仿宋" w:cs="Arial" w:hint="eastAsia"/>
          <w:kern w:val="0"/>
          <w:sz w:val="32"/>
          <w:szCs w:val="32"/>
        </w:rPr>
        <w:t>20.8</w:t>
      </w:r>
      <w:r>
        <w:rPr>
          <w:rFonts w:ascii="仿宋" w:eastAsia="仿宋" w:hAnsi="仿宋" w:cs="仿宋" w:hint="eastAsia"/>
          <w:kern w:val="0"/>
          <w:sz w:val="32"/>
          <w:szCs w:val="32"/>
        </w:rPr>
        <w:t>万元，</w:t>
      </w:r>
      <w:r>
        <w:rPr>
          <w:rFonts w:ascii="仿宋" w:eastAsia="仿宋" w:hAnsi="仿宋" w:cs="Arial" w:hint="eastAsia"/>
          <w:kern w:val="0"/>
          <w:sz w:val="32"/>
          <w:szCs w:val="32"/>
        </w:rPr>
        <w:t>2019</w:t>
      </w:r>
      <w:r>
        <w:rPr>
          <w:rFonts w:ascii="仿宋" w:eastAsia="仿宋" w:hAnsi="仿宋" w:cs="仿宋" w:hint="eastAsia"/>
          <w:kern w:val="0"/>
          <w:sz w:val="32"/>
          <w:szCs w:val="32"/>
        </w:rPr>
        <w:t>年支出决算为</w:t>
      </w:r>
      <w:r>
        <w:rPr>
          <w:rFonts w:ascii="仿宋" w:eastAsia="仿宋" w:hAnsi="仿宋" w:cs="Arial" w:hint="eastAsia"/>
          <w:kern w:val="0"/>
          <w:sz w:val="32"/>
          <w:szCs w:val="32"/>
        </w:rPr>
        <w:t>20.8</w:t>
      </w:r>
      <w:r>
        <w:rPr>
          <w:rFonts w:ascii="仿宋" w:eastAsia="仿宋" w:hAnsi="仿宋" w:cs="仿宋" w:hint="eastAsia"/>
          <w:kern w:val="0"/>
          <w:sz w:val="32"/>
          <w:szCs w:val="32"/>
        </w:rPr>
        <w:t>万元，完成年初预算的</w:t>
      </w:r>
      <w:r>
        <w:rPr>
          <w:rFonts w:ascii="仿宋" w:eastAsia="仿宋" w:hAnsi="仿宋" w:cs="Arial" w:hint="eastAsia"/>
          <w:kern w:val="0"/>
          <w:sz w:val="32"/>
          <w:szCs w:val="32"/>
        </w:rPr>
        <w:t>100%，决算等于预算的主要原因是严格按照预算执行</w:t>
      </w:r>
      <w:r>
        <w:rPr>
          <w:rFonts w:ascii="仿宋" w:eastAsia="仿宋" w:hAnsi="仿宋" w:cs="仿宋" w:hint="eastAsia"/>
          <w:kern w:val="0"/>
          <w:sz w:val="32"/>
          <w:szCs w:val="32"/>
        </w:rPr>
        <w:t>。</w:t>
      </w:r>
    </w:p>
    <w:p w:rsidR="005B6855" w:rsidRDefault="00B15E81">
      <w:pPr>
        <w:widowControl/>
        <w:snapToGrid w:val="0"/>
        <w:spacing w:line="600" w:lineRule="atLeast"/>
        <w:ind w:firstLine="640"/>
        <w:rPr>
          <w:rFonts w:ascii="仿宋" w:eastAsia="仿宋" w:hAnsi="仿宋" w:cs="Arial"/>
          <w:kern w:val="0"/>
          <w:sz w:val="32"/>
          <w:szCs w:val="32"/>
        </w:rPr>
      </w:pPr>
      <w:r>
        <w:rPr>
          <w:rFonts w:ascii="仿宋" w:eastAsia="仿宋" w:hAnsi="仿宋" w:cs="仿宋" w:hint="eastAsia"/>
          <w:kern w:val="0"/>
          <w:sz w:val="32"/>
          <w:szCs w:val="32"/>
        </w:rPr>
        <w:lastRenderedPageBreak/>
        <w:t>农林水支出（类）水利（款）其他水利支出（项）。</w:t>
      </w:r>
      <w:r>
        <w:rPr>
          <w:rFonts w:ascii="仿宋" w:eastAsia="仿宋" w:hAnsi="仿宋" w:cs="Arial" w:hint="eastAsia"/>
          <w:kern w:val="0"/>
          <w:sz w:val="32"/>
          <w:szCs w:val="32"/>
        </w:rPr>
        <w:t>2019</w:t>
      </w:r>
      <w:r>
        <w:rPr>
          <w:rFonts w:ascii="仿宋" w:eastAsia="仿宋" w:hAnsi="仿宋" w:cs="仿宋" w:hint="eastAsia"/>
          <w:kern w:val="0"/>
          <w:sz w:val="32"/>
          <w:szCs w:val="32"/>
        </w:rPr>
        <w:t>年年初预算为</w:t>
      </w:r>
      <w:r>
        <w:rPr>
          <w:rFonts w:ascii="仿宋" w:eastAsia="仿宋" w:hAnsi="仿宋" w:cs="Arial" w:hint="eastAsia"/>
          <w:kern w:val="0"/>
          <w:sz w:val="32"/>
          <w:szCs w:val="32"/>
        </w:rPr>
        <w:t>20.8</w:t>
      </w:r>
      <w:r>
        <w:rPr>
          <w:rFonts w:ascii="仿宋" w:eastAsia="仿宋" w:hAnsi="仿宋" w:cs="仿宋" w:hint="eastAsia"/>
          <w:kern w:val="0"/>
          <w:sz w:val="32"/>
          <w:szCs w:val="32"/>
        </w:rPr>
        <w:t>万元，</w:t>
      </w:r>
      <w:r>
        <w:rPr>
          <w:rFonts w:ascii="仿宋" w:eastAsia="仿宋" w:hAnsi="仿宋" w:cs="Arial" w:hint="eastAsia"/>
          <w:kern w:val="0"/>
          <w:sz w:val="32"/>
          <w:szCs w:val="32"/>
        </w:rPr>
        <w:t>2019</w:t>
      </w:r>
      <w:r>
        <w:rPr>
          <w:rFonts w:ascii="仿宋" w:eastAsia="仿宋" w:hAnsi="仿宋" w:cs="仿宋" w:hint="eastAsia"/>
          <w:kern w:val="0"/>
          <w:sz w:val="32"/>
          <w:szCs w:val="32"/>
        </w:rPr>
        <w:t>年支出决算为</w:t>
      </w:r>
      <w:r>
        <w:rPr>
          <w:rFonts w:ascii="仿宋" w:eastAsia="仿宋" w:hAnsi="仿宋" w:cs="Arial" w:hint="eastAsia"/>
          <w:kern w:val="0"/>
          <w:sz w:val="32"/>
          <w:szCs w:val="32"/>
        </w:rPr>
        <w:t>20.8</w:t>
      </w:r>
      <w:r>
        <w:rPr>
          <w:rFonts w:ascii="仿宋" w:eastAsia="仿宋" w:hAnsi="仿宋" w:cs="仿宋" w:hint="eastAsia"/>
          <w:kern w:val="0"/>
          <w:sz w:val="32"/>
          <w:szCs w:val="32"/>
        </w:rPr>
        <w:t>万元，完成年初预算的</w:t>
      </w:r>
      <w:r>
        <w:rPr>
          <w:rFonts w:ascii="仿宋" w:eastAsia="仿宋" w:hAnsi="仿宋" w:cs="Arial" w:hint="eastAsia"/>
          <w:kern w:val="0"/>
          <w:sz w:val="32"/>
          <w:szCs w:val="32"/>
        </w:rPr>
        <w:t>100%，决算等于预算的主要原因是严格按照预算执行</w:t>
      </w:r>
    </w:p>
    <w:p w:rsidR="005B6855" w:rsidRDefault="00B15E81">
      <w:pPr>
        <w:widowControl/>
        <w:snapToGrid w:val="0"/>
        <w:spacing w:line="600" w:lineRule="atLeast"/>
        <w:ind w:firstLine="640"/>
        <w:rPr>
          <w:rFonts w:ascii="仿宋" w:eastAsia="仿宋" w:hAnsi="仿宋" w:cs="仿宋"/>
          <w:kern w:val="0"/>
          <w:sz w:val="32"/>
          <w:szCs w:val="32"/>
        </w:rPr>
      </w:pPr>
      <w:r>
        <w:rPr>
          <w:rFonts w:ascii="仿宋" w:eastAsia="仿宋" w:hAnsi="仿宋" w:cs="仿宋" w:hint="eastAsia"/>
          <w:kern w:val="0"/>
          <w:sz w:val="32"/>
          <w:szCs w:val="32"/>
        </w:rPr>
        <w:t>农林水支出（类）农村综合改革（款）对村级一事一议的补助（项）。</w:t>
      </w:r>
      <w:r>
        <w:rPr>
          <w:rFonts w:ascii="仿宋" w:eastAsia="仿宋" w:hAnsi="仿宋" w:cs="Arial" w:hint="eastAsia"/>
          <w:kern w:val="0"/>
          <w:sz w:val="32"/>
          <w:szCs w:val="32"/>
        </w:rPr>
        <w:t>2019</w:t>
      </w:r>
      <w:r>
        <w:rPr>
          <w:rFonts w:ascii="仿宋" w:eastAsia="仿宋" w:hAnsi="仿宋" w:cs="仿宋" w:hint="eastAsia"/>
          <w:kern w:val="0"/>
          <w:sz w:val="32"/>
          <w:szCs w:val="32"/>
        </w:rPr>
        <w:t>年年初预算为</w:t>
      </w:r>
      <w:r>
        <w:rPr>
          <w:rFonts w:ascii="仿宋" w:eastAsia="仿宋" w:hAnsi="仿宋" w:cs="Arial" w:hint="eastAsia"/>
          <w:kern w:val="0"/>
          <w:sz w:val="32"/>
          <w:szCs w:val="32"/>
        </w:rPr>
        <w:t>19.66</w:t>
      </w:r>
      <w:r>
        <w:rPr>
          <w:rFonts w:ascii="仿宋" w:eastAsia="仿宋" w:hAnsi="仿宋" w:cs="仿宋" w:hint="eastAsia"/>
          <w:kern w:val="0"/>
          <w:sz w:val="32"/>
          <w:szCs w:val="32"/>
        </w:rPr>
        <w:t>万元，</w:t>
      </w:r>
      <w:r>
        <w:rPr>
          <w:rFonts w:ascii="仿宋" w:eastAsia="仿宋" w:hAnsi="仿宋" w:cs="Arial" w:hint="eastAsia"/>
          <w:kern w:val="0"/>
          <w:sz w:val="32"/>
          <w:szCs w:val="32"/>
        </w:rPr>
        <w:t>2019</w:t>
      </w:r>
      <w:r>
        <w:rPr>
          <w:rFonts w:ascii="仿宋" w:eastAsia="仿宋" w:hAnsi="仿宋" w:cs="仿宋" w:hint="eastAsia"/>
          <w:kern w:val="0"/>
          <w:sz w:val="32"/>
          <w:szCs w:val="32"/>
        </w:rPr>
        <w:t>年支出决算为</w:t>
      </w:r>
      <w:r>
        <w:rPr>
          <w:rFonts w:ascii="仿宋" w:eastAsia="仿宋" w:hAnsi="仿宋" w:cs="Arial" w:hint="eastAsia"/>
          <w:kern w:val="0"/>
          <w:sz w:val="32"/>
          <w:szCs w:val="32"/>
        </w:rPr>
        <w:t>19.66</w:t>
      </w:r>
      <w:r>
        <w:rPr>
          <w:rFonts w:ascii="仿宋" w:eastAsia="仿宋" w:hAnsi="仿宋" w:cs="仿宋" w:hint="eastAsia"/>
          <w:kern w:val="0"/>
          <w:sz w:val="32"/>
          <w:szCs w:val="32"/>
        </w:rPr>
        <w:t>万元，决算数大于预算数的主要原因在于年中财政追加预算。决算数大于预算数的主要原因在于年度财政追加预算。</w:t>
      </w:r>
    </w:p>
    <w:p w:rsidR="005B6855" w:rsidRDefault="00B15E81">
      <w:pPr>
        <w:widowControl/>
        <w:snapToGrid w:val="0"/>
        <w:spacing w:line="600" w:lineRule="atLeast"/>
        <w:ind w:firstLine="640"/>
        <w:rPr>
          <w:rFonts w:ascii="仿宋" w:eastAsia="仿宋" w:hAnsi="仿宋" w:cs="仿宋"/>
          <w:kern w:val="0"/>
          <w:sz w:val="32"/>
          <w:szCs w:val="32"/>
          <w:highlight w:val="yellow"/>
        </w:rPr>
      </w:pPr>
      <w:r>
        <w:rPr>
          <w:rFonts w:ascii="仿宋" w:eastAsia="仿宋" w:hAnsi="仿宋" w:cs="仿宋" w:hint="eastAsia"/>
          <w:kern w:val="0"/>
          <w:sz w:val="32"/>
          <w:szCs w:val="32"/>
        </w:rPr>
        <w:t>农林水支出（类）农业（款）其他农业支出（项）。</w:t>
      </w:r>
      <w:r>
        <w:rPr>
          <w:rFonts w:ascii="仿宋" w:eastAsia="仿宋" w:hAnsi="仿宋" w:cs="Arial" w:hint="eastAsia"/>
          <w:kern w:val="0"/>
          <w:sz w:val="32"/>
          <w:szCs w:val="32"/>
        </w:rPr>
        <w:t>2019</w:t>
      </w:r>
      <w:r>
        <w:rPr>
          <w:rFonts w:ascii="仿宋" w:eastAsia="仿宋" w:hAnsi="仿宋" w:cs="仿宋" w:hint="eastAsia"/>
          <w:kern w:val="0"/>
          <w:sz w:val="32"/>
          <w:szCs w:val="32"/>
        </w:rPr>
        <w:t>年年初预算为</w:t>
      </w:r>
      <w:r>
        <w:rPr>
          <w:rFonts w:ascii="仿宋" w:eastAsia="仿宋" w:hAnsi="仿宋" w:cs="Arial" w:hint="eastAsia"/>
          <w:kern w:val="0"/>
          <w:sz w:val="32"/>
          <w:szCs w:val="32"/>
        </w:rPr>
        <w:t>0</w:t>
      </w:r>
      <w:r>
        <w:rPr>
          <w:rFonts w:ascii="仿宋" w:eastAsia="仿宋" w:hAnsi="仿宋" w:cs="仿宋" w:hint="eastAsia"/>
          <w:kern w:val="0"/>
          <w:sz w:val="32"/>
          <w:szCs w:val="32"/>
        </w:rPr>
        <w:t>万元，</w:t>
      </w:r>
      <w:r>
        <w:rPr>
          <w:rFonts w:ascii="仿宋" w:eastAsia="仿宋" w:hAnsi="仿宋" w:cs="Arial" w:hint="eastAsia"/>
          <w:kern w:val="0"/>
          <w:sz w:val="32"/>
          <w:szCs w:val="32"/>
        </w:rPr>
        <w:t>2019</w:t>
      </w:r>
      <w:r>
        <w:rPr>
          <w:rFonts w:ascii="仿宋" w:eastAsia="仿宋" w:hAnsi="仿宋" w:cs="仿宋" w:hint="eastAsia"/>
          <w:kern w:val="0"/>
          <w:sz w:val="32"/>
          <w:szCs w:val="32"/>
        </w:rPr>
        <w:t>年支出决算为800万元，决算数大于预算数的主要原因在于年度财政追加预算。</w:t>
      </w:r>
    </w:p>
    <w:p w:rsidR="005B6855" w:rsidRDefault="00B15E81">
      <w:pPr>
        <w:widowControl/>
        <w:snapToGrid w:val="0"/>
        <w:spacing w:line="600" w:lineRule="atLeast"/>
        <w:ind w:firstLineChars="300" w:firstLine="960"/>
        <w:rPr>
          <w:rFonts w:ascii="仿宋" w:eastAsia="仿宋" w:hAnsi="仿宋" w:cs="Arial"/>
          <w:kern w:val="0"/>
          <w:sz w:val="32"/>
          <w:szCs w:val="32"/>
        </w:rPr>
      </w:pPr>
      <w:r>
        <w:rPr>
          <w:rFonts w:ascii="仿宋" w:eastAsia="仿宋" w:hAnsi="仿宋" w:cs="仿宋" w:hint="eastAsia"/>
          <w:kern w:val="0"/>
          <w:sz w:val="32"/>
          <w:szCs w:val="32"/>
        </w:rPr>
        <w:t>资源勘探信息等支出（类）支持中小企业发展和管理支出（款）其他支持中小企业发展和管理支出（项）。</w:t>
      </w:r>
      <w:r>
        <w:rPr>
          <w:rFonts w:ascii="仿宋" w:eastAsia="仿宋" w:hAnsi="仿宋" w:cs="Arial" w:hint="eastAsia"/>
          <w:kern w:val="0"/>
          <w:sz w:val="32"/>
          <w:szCs w:val="32"/>
        </w:rPr>
        <w:t>2019</w:t>
      </w:r>
      <w:r>
        <w:rPr>
          <w:rFonts w:ascii="仿宋" w:eastAsia="仿宋" w:hAnsi="仿宋" w:cs="仿宋" w:hint="eastAsia"/>
          <w:kern w:val="0"/>
          <w:sz w:val="32"/>
          <w:szCs w:val="32"/>
        </w:rPr>
        <w:t>年年初预算为</w:t>
      </w:r>
      <w:r>
        <w:rPr>
          <w:rFonts w:ascii="仿宋" w:eastAsia="仿宋" w:hAnsi="仿宋" w:cs="Arial" w:hint="eastAsia"/>
          <w:kern w:val="0"/>
          <w:sz w:val="32"/>
          <w:szCs w:val="32"/>
        </w:rPr>
        <w:t>104</w:t>
      </w:r>
      <w:r>
        <w:rPr>
          <w:rFonts w:ascii="仿宋" w:eastAsia="仿宋" w:hAnsi="仿宋" w:cs="仿宋" w:hint="eastAsia"/>
          <w:kern w:val="0"/>
          <w:sz w:val="32"/>
          <w:szCs w:val="32"/>
        </w:rPr>
        <w:t>万元，</w:t>
      </w:r>
      <w:r>
        <w:rPr>
          <w:rFonts w:ascii="仿宋" w:eastAsia="仿宋" w:hAnsi="仿宋" w:cs="Arial" w:hint="eastAsia"/>
          <w:kern w:val="0"/>
          <w:sz w:val="32"/>
          <w:szCs w:val="32"/>
        </w:rPr>
        <w:t>2019</w:t>
      </w:r>
      <w:r>
        <w:rPr>
          <w:rFonts w:ascii="仿宋" w:eastAsia="仿宋" w:hAnsi="仿宋" w:cs="仿宋" w:hint="eastAsia"/>
          <w:kern w:val="0"/>
          <w:sz w:val="32"/>
          <w:szCs w:val="32"/>
        </w:rPr>
        <w:t>年支出决算为</w:t>
      </w:r>
      <w:r>
        <w:rPr>
          <w:rFonts w:ascii="仿宋" w:eastAsia="仿宋" w:hAnsi="仿宋" w:cs="Arial" w:hint="eastAsia"/>
          <w:kern w:val="0"/>
          <w:sz w:val="32"/>
          <w:szCs w:val="32"/>
        </w:rPr>
        <w:t>104</w:t>
      </w:r>
      <w:r>
        <w:rPr>
          <w:rFonts w:ascii="仿宋" w:eastAsia="仿宋" w:hAnsi="仿宋" w:cs="仿宋" w:hint="eastAsia"/>
          <w:kern w:val="0"/>
          <w:sz w:val="32"/>
          <w:szCs w:val="32"/>
        </w:rPr>
        <w:t>万元，完成年初预算的</w:t>
      </w:r>
      <w:r>
        <w:rPr>
          <w:rFonts w:ascii="仿宋" w:eastAsia="仿宋" w:hAnsi="仿宋" w:cs="Arial" w:hint="eastAsia"/>
          <w:kern w:val="0"/>
          <w:sz w:val="32"/>
          <w:szCs w:val="32"/>
        </w:rPr>
        <w:t>100%，决算等于预算的主要原因是严格按照预算执行</w:t>
      </w:r>
      <w:r>
        <w:rPr>
          <w:rFonts w:ascii="仿宋" w:eastAsia="仿宋" w:hAnsi="仿宋" w:cs="仿宋" w:hint="eastAsia"/>
          <w:kern w:val="0"/>
          <w:sz w:val="32"/>
          <w:szCs w:val="32"/>
        </w:rPr>
        <w:t>。</w:t>
      </w:r>
    </w:p>
    <w:p w:rsidR="005B6855" w:rsidRDefault="00B15E81">
      <w:pPr>
        <w:widowControl/>
        <w:snapToGrid w:val="0"/>
        <w:spacing w:line="600" w:lineRule="atLeast"/>
        <w:ind w:firstLine="640"/>
        <w:rPr>
          <w:rFonts w:ascii="仿宋" w:eastAsia="仿宋" w:hAnsi="仿宋" w:cs="仿宋"/>
          <w:kern w:val="0"/>
          <w:sz w:val="32"/>
          <w:szCs w:val="32"/>
        </w:rPr>
      </w:pPr>
      <w:r>
        <w:rPr>
          <w:rFonts w:ascii="仿宋" w:eastAsia="仿宋" w:hAnsi="仿宋" w:cs="仿宋" w:hint="eastAsia"/>
          <w:kern w:val="0"/>
          <w:sz w:val="32"/>
          <w:szCs w:val="32"/>
        </w:rPr>
        <w:t>灾害防治及应急管理支出（类）自然灾害防治（款）安全监察。</w:t>
      </w:r>
      <w:r>
        <w:rPr>
          <w:rFonts w:ascii="仿宋" w:eastAsia="仿宋" w:hAnsi="仿宋" w:cs="Arial" w:hint="eastAsia"/>
          <w:kern w:val="0"/>
          <w:sz w:val="32"/>
          <w:szCs w:val="32"/>
        </w:rPr>
        <w:t>2019</w:t>
      </w:r>
      <w:r>
        <w:rPr>
          <w:rFonts w:ascii="仿宋" w:eastAsia="仿宋" w:hAnsi="仿宋" w:cs="仿宋" w:hint="eastAsia"/>
          <w:kern w:val="0"/>
          <w:sz w:val="32"/>
          <w:szCs w:val="32"/>
        </w:rPr>
        <w:t>年年初预算为</w:t>
      </w:r>
      <w:r>
        <w:rPr>
          <w:rFonts w:ascii="仿宋" w:eastAsia="仿宋" w:hAnsi="仿宋" w:cs="Arial" w:hint="eastAsia"/>
          <w:kern w:val="0"/>
          <w:sz w:val="32"/>
          <w:szCs w:val="32"/>
        </w:rPr>
        <w:t>41.6</w:t>
      </w:r>
      <w:r>
        <w:rPr>
          <w:rFonts w:ascii="仿宋" w:eastAsia="仿宋" w:hAnsi="仿宋" w:cs="仿宋" w:hint="eastAsia"/>
          <w:kern w:val="0"/>
          <w:sz w:val="32"/>
          <w:szCs w:val="32"/>
        </w:rPr>
        <w:t>万元，</w:t>
      </w:r>
      <w:r>
        <w:rPr>
          <w:rFonts w:ascii="仿宋" w:eastAsia="仿宋" w:hAnsi="仿宋" w:cs="Arial" w:hint="eastAsia"/>
          <w:kern w:val="0"/>
          <w:sz w:val="32"/>
          <w:szCs w:val="32"/>
        </w:rPr>
        <w:t>2019</w:t>
      </w:r>
      <w:r>
        <w:rPr>
          <w:rFonts w:ascii="仿宋" w:eastAsia="仿宋" w:hAnsi="仿宋" w:cs="仿宋" w:hint="eastAsia"/>
          <w:kern w:val="0"/>
          <w:sz w:val="32"/>
          <w:szCs w:val="32"/>
        </w:rPr>
        <w:t>年支出决算为</w:t>
      </w:r>
      <w:r>
        <w:rPr>
          <w:rFonts w:ascii="仿宋" w:eastAsia="仿宋" w:hAnsi="仿宋" w:cs="Arial" w:hint="eastAsia"/>
          <w:kern w:val="0"/>
          <w:sz w:val="32"/>
          <w:szCs w:val="32"/>
        </w:rPr>
        <w:t>41.6</w:t>
      </w:r>
      <w:r>
        <w:rPr>
          <w:rFonts w:ascii="仿宋" w:eastAsia="仿宋" w:hAnsi="仿宋" w:cs="仿宋" w:hint="eastAsia"/>
          <w:kern w:val="0"/>
          <w:sz w:val="32"/>
          <w:szCs w:val="32"/>
        </w:rPr>
        <w:t>万元，完成年初预算的</w:t>
      </w:r>
      <w:r>
        <w:rPr>
          <w:rFonts w:ascii="仿宋" w:eastAsia="仿宋" w:hAnsi="仿宋" w:cs="Arial" w:hint="eastAsia"/>
          <w:kern w:val="0"/>
          <w:sz w:val="32"/>
          <w:szCs w:val="32"/>
        </w:rPr>
        <w:t>100%，决算等于预算的主要原因是严格按照预算执行</w:t>
      </w:r>
      <w:r>
        <w:rPr>
          <w:rFonts w:ascii="仿宋" w:eastAsia="仿宋" w:hAnsi="仿宋" w:cs="仿宋" w:hint="eastAsia"/>
          <w:kern w:val="0"/>
          <w:sz w:val="32"/>
          <w:szCs w:val="32"/>
        </w:rPr>
        <w:t>。</w:t>
      </w:r>
    </w:p>
    <w:p w:rsidR="005B6855" w:rsidRDefault="00B15E81">
      <w:pPr>
        <w:widowControl/>
        <w:snapToGrid w:val="0"/>
        <w:spacing w:line="600" w:lineRule="atLeast"/>
        <w:ind w:firstLine="640"/>
        <w:rPr>
          <w:rFonts w:ascii="仿宋" w:eastAsia="仿宋" w:hAnsi="仿宋" w:cs="仿宋"/>
          <w:kern w:val="0"/>
          <w:sz w:val="32"/>
          <w:szCs w:val="32"/>
        </w:rPr>
      </w:pPr>
      <w:r>
        <w:rPr>
          <w:rFonts w:ascii="仿宋" w:eastAsia="仿宋" w:hAnsi="仿宋" w:cs="仿宋" w:hint="eastAsia"/>
          <w:kern w:val="0"/>
          <w:sz w:val="32"/>
          <w:szCs w:val="32"/>
        </w:rPr>
        <w:lastRenderedPageBreak/>
        <w:t>灾害防治及应急管理支出（类）自然灾害防治（款）。</w:t>
      </w:r>
      <w:r>
        <w:rPr>
          <w:rFonts w:ascii="仿宋" w:eastAsia="仿宋" w:hAnsi="仿宋" w:cs="Arial" w:hint="eastAsia"/>
          <w:kern w:val="0"/>
          <w:sz w:val="32"/>
          <w:szCs w:val="32"/>
        </w:rPr>
        <w:t>2019</w:t>
      </w:r>
      <w:r>
        <w:rPr>
          <w:rFonts w:ascii="仿宋" w:eastAsia="仿宋" w:hAnsi="仿宋" w:cs="仿宋" w:hint="eastAsia"/>
          <w:kern w:val="0"/>
          <w:sz w:val="32"/>
          <w:szCs w:val="32"/>
        </w:rPr>
        <w:t>年年初预算为</w:t>
      </w:r>
      <w:r>
        <w:rPr>
          <w:rFonts w:ascii="仿宋" w:eastAsia="仿宋" w:hAnsi="仿宋" w:cs="Arial" w:hint="eastAsia"/>
          <w:kern w:val="0"/>
          <w:sz w:val="32"/>
          <w:szCs w:val="32"/>
        </w:rPr>
        <w:t>0</w:t>
      </w:r>
      <w:r>
        <w:rPr>
          <w:rFonts w:ascii="仿宋" w:eastAsia="仿宋" w:hAnsi="仿宋" w:cs="仿宋" w:hint="eastAsia"/>
          <w:kern w:val="0"/>
          <w:sz w:val="32"/>
          <w:szCs w:val="32"/>
        </w:rPr>
        <w:t>万元，</w:t>
      </w:r>
      <w:r>
        <w:rPr>
          <w:rFonts w:ascii="仿宋" w:eastAsia="仿宋" w:hAnsi="仿宋" w:cs="Arial" w:hint="eastAsia"/>
          <w:kern w:val="0"/>
          <w:sz w:val="32"/>
          <w:szCs w:val="32"/>
        </w:rPr>
        <w:t>2019</w:t>
      </w:r>
      <w:r>
        <w:rPr>
          <w:rFonts w:ascii="仿宋" w:eastAsia="仿宋" w:hAnsi="仿宋" w:cs="仿宋" w:hint="eastAsia"/>
          <w:kern w:val="0"/>
          <w:sz w:val="32"/>
          <w:szCs w:val="32"/>
        </w:rPr>
        <w:t>年支出决算为</w:t>
      </w:r>
      <w:r>
        <w:rPr>
          <w:rFonts w:ascii="仿宋" w:eastAsia="仿宋" w:hAnsi="仿宋" w:cs="Arial" w:hint="eastAsia"/>
          <w:kern w:val="0"/>
          <w:sz w:val="32"/>
          <w:szCs w:val="32"/>
        </w:rPr>
        <w:t>75.69</w:t>
      </w:r>
      <w:r>
        <w:rPr>
          <w:rFonts w:ascii="仿宋" w:eastAsia="仿宋" w:hAnsi="仿宋" w:cs="仿宋" w:hint="eastAsia"/>
          <w:kern w:val="0"/>
          <w:sz w:val="32"/>
          <w:szCs w:val="32"/>
        </w:rPr>
        <w:t>万元，决算数大于预算数的主要原因在于年度财政追加预算。</w:t>
      </w:r>
    </w:p>
    <w:p w:rsidR="005B6855" w:rsidRDefault="00B15E81">
      <w:pPr>
        <w:widowControl/>
        <w:snapToGrid w:val="0"/>
        <w:spacing w:line="600" w:lineRule="atLeast"/>
        <w:ind w:firstLine="640"/>
        <w:rPr>
          <w:rFonts w:ascii="宋体" w:eastAsia="宋体" w:hAnsi="宋体" w:cs="宋体"/>
          <w:kern w:val="0"/>
          <w:sz w:val="24"/>
        </w:rPr>
      </w:pPr>
      <w:r>
        <w:rPr>
          <w:rStyle w:val="15"/>
          <w:rFonts w:ascii="楷体" w:eastAsia="楷体" w:hAnsi="楷体" w:cs="楷体" w:hint="eastAsia"/>
          <w:kern w:val="0"/>
          <w:sz w:val="32"/>
          <w:szCs w:val="32"/>
        </w:rPr>
        <w:t>（六）一般公共预算财政拨款基本支出决算情况说明</w:t>
      </w:r>
    </w:p>
    <w:p w:rsidR="005B6855" w:rsidRDefault="00B15E81">
      <w:pPr>
        <w:widowControl/>
        <w:snapToGrid w:val="0"/>
        <w:spacing w:line="600" w:lineRule="atLeast"/>
        <w:ind w:firstLine="640"/>
        <w:rPr>
          <w:rFonts w:ascii="宋体" w:eastAsia="宋体" w:hAnsi="宋体" w:cs="宋体"/>
          <w:kern w:val="0"/>
          <w:sz w:val="24"/>
        </w:rPr>
      </w:pPr>
      <w:r>
        <w:rPr>
          <w:rFonts w:ascii="仿宋" w:eastAsia="仿宋" w:hAnsi="仿宋" w:cs="Arial" w:hint="eastAsia"/>
          <w:kern w:val="0"/>
          <w:sz w:val="32"/>
          <w:szCs w:val="32"/>
        </w:rPr>
        <w:t>2019年度一般公共预算财政拨款基本支出1,246.97万元，其中：</w:t>
      </w:r>
    </w:p>
    <w:p w:rsidR="005B6855" w:rsidRDefault="00B15E81">
      <w:pPr>
        <w:widowControl/>
        <w:snapToGrid w:val="0"/>
        <w:spacing w:line="600" w:lineRule="atLeast"/>
        <w:ind w:firstLine="640"/>
        <w:rPr>
          <w:rFonts w:ascii="宋体" w:eastAsia="宋体" w:hAnsi="宋体" w:cs="宋体"/>
          <w:kern w:val="0"/>
          <w:sz w:val="24"/>
        </w:rPr>
      </w:pPr>
      <w:r>
        <w:rPr>
          <w:rFonts w:ascii="仿宋" w:eastAsia="仿宋" w:hAnsi="仿宋" w:cs="仿宋" w:hint="eastAsia"/>
          <w:kern w:val="0"/>
          <w:sz w:val="32"/>
          <w:szCs w:val="32"/>
        </w:rPr>
        <w:t>人员经费</w:t>
      </w:r>
      <w:r>
        <w:rPr>
          <w:rFonts w:ascii="仿宋" w:eastAsia="仿宋" w:hAnsi="仿宋" w:cs="Arial" w:hint="eastAsia"/>
          <w:kern w:val="0"/>
          <w:sz w:val="32"/>
          <w:szCs w:val="32"/>
        </w:rPr>
        <w:t>1,172.63万元，</w:t>
      </w:r>
      <w:r>
        <w:rPr>
          <w:rFonts w:ascii="仿宋" w:eastAsia="仿宋" w:hAnsi="仿宋" w:cs="仿宋" w:hint="eastAsia"/>
          <w:kern w:val="0"/>
          <w:sz w:val="32"/>
          <w:szCs w:val="32"/>
        </w:rPr>
        <w:t>主要包括：基本工资、津贴补贴、奖金、其他社会保障费、绩效工资、机关事业单位基本养老保险缴费、职业年金缴费、住房公积金、医疗补助费、离休费、行政退休人员通讯补贴、离休干部护理费、电话费、交通费、遗属补助、</w:t>
      </w:r>
      <w:proofErr w:type="gramStart"/>
      <w:r>
        <w:rPr>
          <w:rFonts w:ascii="仿宋" w:eastAsia="仿宋" w:hAnsi="仿宋" w:cs="仿宋" w:hint="eastAsia"/>
          <w:kern w:val="0"/>
          <w:sz w:val="32"/>
          <w:szCs w:val="32"/>
        </w:rPr>
        <w:t>精减</w:t>
      </w:r>
      <w:proofErr w:type="gramEnd"/>
      <w:r>
        <w:rPr>
          <w:rFonts w:ascii="仿宋" w:eastAsia="仿宋" w:hAnsi="仿宋" w:cs="仿宋" w:hint="eastAsia"/>
          <w:kern w:val="0"/>
          <w:sz w:val="32"/>
          <w:szCs w:val="32"/>
        </w:rPr>
        <w:t>职工补助等。</w:t>
      </w:r>
    </w:p>
    <w:p w:rsidR="005B6855" w:rsidRDefault="00B15E81">
      <w:pPr>
        <w:widowControl/>
        <w:snapToGrid w:val="0"/>
        <w:spacing w:line="600" w:lineRule="atLeast"/>
        <w:ind w:firstLine="640"/>
        <w:rPr>
          <w:rFonts w:ascii="仿宋" w:eastAsia="仿宋" w:hAnsi="仿宋" w:cs="Arial"/>
          <w:kern w:val="0"/>
          <w:sz w:val="32"/>
          <w:szCs w:val="32"/>
        </w:rPr>
      </w:pPr>
      <w:r>
        <w:rPr>
          <w:rFonts w:ascii="仿宋" w:eastAsia="仿宋" w:hAnsi="仿宋" w:cs="仿宋" w:hint="eastAsia"/>
          <w:kern w:val="0"/>
          <w:sz w:val="32"/>
          <w:szCs w:val="32"/>
        </w:rPr>
        <w:t>公用经费</w:t>
      </w:r>
      <w:r>
        <w:rPr>
          <w:rFonts w:ascii="仿宋" w:eastAsia="仿宋" w:hAnsi="仿宋" w:cs="Arial" w:hint="eastAsia"/>
          <w:kern w:val="0"/>
          <w:sz w:val="32"/>
          <w:szCs w:val="32"/>
        </w:rPr>
        <w:t>74.34万元，主</w:t>
      </w:r>
      <w:r>
        <w:rPr>
          <w:rFonts w:ascii="仿宋" w:eastAsia="仿宋" w:hAnsi="仿宋" w:cs="仿宋" w:hint="eastAsia"/>
          <w:kern w:val="0"/>
          <w:sz w:val="32"/>
          <w:szCs w:val="32"/>
        </w:rPr>
        <w:t>主要包括：办公费、印刷费、咨询费、手续费、水电费、邮电费、差旅费、物业管理费、维修费、租赁费、会议费、培训费、公务接待费、公务用车运行维护费、其他交通费、福利费、工会经费、劳务费、办公设备购置费等。</w:t>
      </w:r>
    </w:p>
    <w:p w:rsidR="005B6855" w:rsidRDefault="00B15E81">
      <w:pPr>
        <w:widowControl/>
        <w:snapToGrid w:val="0"/>
        <w:spacing w:line="600" w:lineRule="atLeast"/>
        <w:ind w:firstLine="640"/>
        <w:rPr>
          <w:rFonts w:ascii="宋体" w:eastAsia="宋体" w:hAnsi="宋体" w:cs="宋体"/>
          <w:kern w:val="0"/>
          <w:sz w:val="24"/>
        </w:rPr>
      </w:pPr>
      <w:r>
        <w:rPr>
          <w:rStyle w:val="15"/>
          <w:rFonts w:ascii="楷体" w:eastAsia="楷体" w:hAnsi="楷体" w:cs="楷体" w:hint="eastAsia"/>
          <w:kern w:val="0"/>
          <w:sz w:val="32"/>
          <w:szCs w:val="32"/>
        </w:rPr>
        <w:t>（七）政府性基金预算财政拨款支出决算总体情况</w:t>
      </w:r>
    </w:p>
    <w:p w:rsidR="005B6855" w:rsidRDefault="00B15E81">
      <w:pPr>
        <w:widowControl/>
        <w:snapToGrid w:val="0"/>
        <w:spacing w:line="600" w:lineRule="atLeast"/>
        <w:ind w:firstLine="640"/>
        <w:rPr>
          <w:rFonts w:ascii="宋体" w:eastAsia="宋体" w:hAnsi="宋体" w:cs="宋体"/>
          <w:kern w:val="0"/>
          <w:sz w:val="24"/>
        </w:rPr>
      </w:pPr>
      <w:r>
        <w:rPr>
          <w:rStyle w:val="15"/>
          <w:rFonts w:ascii="仿宋" w:eastAsia="仿宋" w:hAnsi="仿宋" w:cs="Arial" w:hint="eastAsia"/>
          <w:kern w:val="0"/>
          <w:sz w:val="32"/>
          <w:szCs w:val="32"/>
        </w:rPr>
        <w:t>1.政府性基金预算财政拨款支出决算总体情况。</w:t>
      </w:r>
    </w:p>
    <w:p w:rsidR="005B6855" w:rsidRDefault="00B15E81">
      <w:pPr>
        <w:widowControl/>
        <w:snapToGrid w:val="0"/>
        <w:spacing w:line="600" w:lineRule="atLeast"/>
        <w:ind w:firstLine="640"/>
        <w:rPr>
          <w:rFonts w:ascii="宋体" w:eastAsia="仿宋" w:hAnsi="宋体" w:cs="宋体"/>
          <w:kern w:val="0"/>
          <w:sz w:val="24"/>
        </w:rPr>
      </w:pPr>
      <w:r>
        <w:rPr>
          <w:rFonts w:ascii="仿宋" w:eastAsia="仿宋" w:hAnsi="仿宋" w:cs="Arial" w:hint="eastAsia"/>
          <w:kern w:val="0"/>
          <w:sz w:val="32"/>
          <w:szCs w:val="32"/>
        </w:rPr>
        <w:t>2019年度政府性基金预算财政拨款支出14,102.58万元，占本年支出合计的82.73%。与2018年相比，政府性基金预算财政拨款支出增加12683.06</w:t>
      </w:r>
      <w:r>
        <w:rPr>
          <w:rFonts w:ascii="仿宋" w:eastAsia="仿宋" w:hAnsi="仿宋" w:cs="仿宋" w:hint="eastAsia"/>
          <w:kern w:val="0"/>
          <w:sz w:val="32"/>
          <w:szCs w:val="32"/>
        </w:rPr>
        <w:t>万元，增长</w:t>
      </w:r>
      <w:r>
        <w:rPr>
          <w:rFonts w:ascii="仿宋" w:eastAsia="仿宋" w:hAnsi="仿宋" w:cs="Arial" w:hint="eastAsia"/>
          <w:kern w:val="0"/>
          <w:sz w:val="32"/>
          <w:szCs w:val="32"/>
        </w:rPr>
        <w:t>893.47%。主要原因是：</w:t>
      </w:r>
      <w:r>
        <w:rPr>
          <w:rFonts w:ascii="仿宋" w:eastAsia="仿宋" w:hAnsi="仿宋" w:cs="仿宋" w:hint="eastAsia"/>
          <w:kern w:val="0"/>
          <w:sz w:val="32"/>
          <w:szCs w:val="32"/>
        </w:rPr>
        <w:t>土地出让金增加。</w:t>
      </w:r>
    </w:p>
    <w:p w:rsidR="005B6855" w:rsidRDefault="00B15E81">
      <w:pPr>
        <w:widowControl/>
        <w:snapToGrid w:val="0"/>
        <w:spacing w:line="600" w:lineRule="atLeast"/>
        <w:ind w:firstLine="640"/>
        <w:rPr>
          <w:rFonts w:ascii="宋体" w:eastAsia="宋体" w:hAnsi="宋体" w:cs="宋体"/>
          <w:kern w:val="0"/>
          <w:sz w:val="24"/>
        </w:rPr>
      </w:pPr>
      <w:r>
        <w:rPr>
          <w:rStyle w:val="15"/>
          <w:rFonts w:ascii="仿宋" w:eastAsia="仿宋" w:hAnsi="仿宋" w:cs="Arial" w:hint="eastAsia"/>
          <w:kern w:val="0"/>
          <w:sz w:val="32"/>
          <w:szCs w:val="32"/>
        </w:rPr>
        <w:t>2.政府性基金预算财政拨款支出决算结构情况。</w:t>
      </w:r>
    </w:p>
    <w:p w:rsidR="005B6855" w:rsidRDefault="00B15E81">
      <w:pPr>
        <w:widowControl/>
        <w:snapToGrid w:val="0"/>
        <w:spacing w:line="600" w:lineRule="atLeast"/>
        <w:ind w:firstLine="640"/>
        <w:rPr>
          <w:rFonts w:ascii="宋体" w:eastAsia="宋体" w:hAnsi="宋体" w:cs="宋体"/>
          <w:kern w:val="0"/>
          <w:sz w:val="24"/>
        </w:rPr>
      </w:pPr>
      <w:r>
        <w:rPr>
          <w:rFonts w:ascii="仿宋" w:eastAsia="仿宋" w:hAnsi="仿宋" w:cs="Arial" w:hint="eastAsia"/>
          <w:kern w:val="0"/>
          <w:sz w:val="32"/>
          <w:szCs w:val="32"/>
        </w:rPr>
        <w:lastRenderedPageBreak/>
        <w:t>2019年度政府性基金预算财政拨款支出14,102.58万元，主要用于以下方面：科学技术（类）支出0万元,占0%；文化旅游体育与传媒（类）支出0万元,占0%；社会保障和就业（类）支出0万元,占0%；节能环保（类）支出0万元,占0%；城乡社区（类）支出14,024.76万元,占99.45%；农林水（类）支出0万元,占0%；交通运输（类）支出0万元,占0%；资源勘探信息等（类）支出0万元,占0%；金融（类）支出0万元,占0%；其他（类）支出77.82万元,占0.55%；债务付息（类）支出0万元,占0%。</w:t>
      </w:r>
    </w:p>
    <w:p w:rsidR="005B6855" w:rsidRDefault="00B15E81">
      <w:pPr>
        <w:widowControl/>
        <w:snapToGrid w:val="0"/>
        <w:spacing w:line="600" w:lineRule="atLeast"/>
        <w:ind w:firstLine="640"/>
        <w:rPr>
          <w:rFonts w:ascii="宋体" w:eastAsia="宋体" w:hAnsi="宋体" w:cs="宋体"/>
          <w:kern w:val="0"/>
          <w:sz w:val="24"/>
        </w:rPr>
      </w:pPr>
      <w:r>
        <w:rPr>
          <w:rStyle w:val="15"/>
          <w:rFonts w:ascii="仿宋" w:eastAsia="仿宋" w:hAnsi="仿宋" w:cs="Arial" w:hint="eastAsia"/>
          <w:kern w:val="0"/>
          <w:sz w:val="32"/>
          <w:szCs w:val="32"/>
        </w:rPr>
        <w:t>3.政府性基金预算财政拨款支出决算具体情况。</w:t>
      </w:r>
    </w:p>
    <w:p w:rsidR="005B6855" w:rsidRDefault="00B15E81">
      <w:pPr>
        <w:widowControl/>
        <w:snapToGrid w:val="0"/>
        <w:spacing w:line="600" w:lineRule="atLeast"/>
        <w:ind w:firstLine="640"/>
        <w:rPr>
          <w:rFonts w:ascii="宋体" w:eastAsia="宋体" w:hAnsi="宋体" w:cs="宋体"/>
          <w:kern w:val="0"/>
          <w:sz w:val="24"/>
        </w:rPr>
      </w:pPr>
      <w:r>
        <w:rPr>
          <w:rFonts w:ascii="仿宋" w:eastAsia="仿宋" w:hAnsi="仿宋" w:cs="Arial" w:hint="eastAsia"/>
          <w:kern w:val="0"/>
          <w:sz w:val="32"/>
          <w:szCs w:val="32"/>
        </w:rPr>
        <w:t>2019年度政府性基金预算财政拨款支出年初预算为0</w:t>
      </w:r>
      <w:r>
        <w:rPr>
          <w:rFonts w:ascii="仿宋" w:eastAsia="仿宋" w:hAnsi="仿宋" w:cs="仿宋" w:hint="eastAsia"/>
          <w:kern w:val="0"/>
          <w:sz w:val="32"/>
          <w:szCs w:val="32"/>
        </w:rPr>
        <w:t>万元，支出决算为</w:t>
      </w:r>
      <w:r>
        <w:rPr>
          <w:rFonts w:ascii="仿宋" w:eastAsia="仿宋" w:hAnsi="仿宋" w:cs="Arial" w:hint="eastAsia"/>
          <w:kern w:val="0"/>
          <w:sz w:val="32"/>
          <w:szCs w:val="32"/>
        </w:rPr>
        <w:t>14,102.58万元,完成年初预算的100%，决算等于预算的主要原因是严格按照预算执行。其中：</w:t>
      </w:r>
    </w:p>
    <w:p w:rsidR="005B6855" w:rsidRDefault="00B15E81">
      <w:pPr>
        <w:widowControl/>
        <w:snapToGrid w:val="0"/>
        <w:spacing w:line="600" w:lineRule="atLeast"/>
        <w:ind w:firstLine="640"/>
        <w:rPr>
          <w:rFonts w:ascii="仿宋" w:eastAsia="仿宋" w:hAnsi="仿宋" w:cs="Arial"/>
          <w:kern w:val="0"/>
          <w:sz w:val="32"/>
          <w:szCs w:val="32"/>
        </w:rPr>
      </w:pPr>
      <w:r>
        <w:rPr>
          <w:rFonts w:ascii="仿宋" w:eastAsia="仿宋" w:hAnsi="仿宋" w:cs="仿宋" w:hint="eastAsia"/>
          <w:kern w:val="0"/>
          <w:sz w:val="32"/>
          <w:szCs w:val="32"/>
        </w:rPr>
        <w:t>城乡社区支出（类）国有土地使用权出让收入及对应专项债务安排的支出（款）征地和拆迁补偿支出（项）。年初预算为</w:t>
      </w:r>
      <w:r>
        <w:rPr>
          <w:rFonts w:ascii="仿宋" w:eastAsia="仿宋" w:hAnsi="仿宋" w:cs="Arial" w:hint="eastAsia"/>
          <w:kern w:val="0"/>
          <w:sz w:val="32"/>
          <w:szCs w:val="32"/>
        </w:rPr>
        <w:t>0</w:t>
      </w:r>
      <w:r>
        <w:rPr>
          <w:rFonts w:ascii="仿宋" w:eastAsia="仿宋" w:hAnsi="仿宋" w:cs="仿宋" w:hint="eastAsia"/>
          <w:kern w:val="0"/>
          <w:sz w:val="32"/>
          <w:szCs w:val="32"/>
        </w:rPr>
        <w:t>万元，支出决算为</w:t>
      </w:r>
      <w:r>
        <w:rPr>
          <w:rFonts w:ascii="仿宋" w:eastAsia="仿宋" w:hAnsi="仿宋" w:cs="Arial" w:hint="eastAsia"/>
          <w:kern w:val="0"/>
          <w:sz w:val="32"/>
          <w:szCs w:val="32"/>
        </w:rPr>
        <w:t>4000</w:t>
      </w:r>
      <w:r>
        <w:rPr>
          <w:rFonts w:ascii="仿宋" w:eastAsia="仿宋" w:hAnsi="仿宋" w:cs="仿宋" w:hint="eastAsia"/>
          <w:kern w:val="0"/>
          <w:sz w:val="32"/>
          <w:szCs w:val="32"/>
        </w:rPr>
        <w:t>万元，决算数大于预算数的主要原因在于年度返还土地出让金。</w:t>
      </w:r>
    </w:p>
    <w:p w:rsidR="005B6855" w:rsidRDefault="00B15E81">
      <w:pPr>
        <w:widowControl/>
        <w:snapToGrid w:val="0"/>
        <w:spacing w:line="600" w:lineRule="atLeast"/>
        <w:ind w:firstLine="640"/>
        <w:rPr>
          <w:rFonts w:ascii="仿宋" w:eastAsia="仿宋" w:hAnsi="仿宋" w:cs="Arial"/>
          <w:kern w:val="0"/>
          <w:sz w:val="32"/>
          <w:szCs w:val="32"/>
        </w:rPr>
      </w:pPr>
      <w:r>
        <w:rPr>
          <w:rFonts w:ascii="仿宋" w:eastAsia="仿宋" w:hAnsi="仿宋" w:cs="仿宋" w:hint="eastAsia"/>
          <w:kern w:val="0"/>
          <w:sz w:val="32"/>
          <w:szCs w:val="32"/>
        </w:rPr>
        <w:t>城乡社区支出（类）国有土地使用权出让收入及对应专项债务安排的支出（款）其他国有土地使用权出让收入安排的支出（项）。年初预算为</w:t>
      </w:r>
      <w:r>
        <w:rPr>
          <w:rFonts w:ascii="仿宋" w:eastAsia="仿宋" w:hAnsi="仿宋" w:cs="Arial" w:hint="eastAsia"/>
          <w:kern w:val="0"/>
          <w:sz w:val="32"/>
          <w:szCs w:val="32"/>
        </w:rPr>
        <w:t>0</w:t>
      </w:r>
      <w:r>
        <w:rPr>
          <w:rFonts w:ascii="仿宋" w:eastAsia="仿宋" w:hAnsi="仿宋" w:cs="仿宋" w:hint="eastAsia"/>
          <w:kern w:val="0"/>
          <w:sz w:val="32"/>
          <w:szCs w:val="32"/>
        </w:rPr>
        <w:t>万元，支出决算为</w:t>
      </w:r>
      <w:r>
        <w:rPr>
          <w:rFonts w:ascii="仿宋" w:eastAsia="仿宋" w:hAnsi="仿宋" w:cs="Arial" w:hint="eastAsia"/>
          <w:kern w:val="0"/>
          <w:sz w:val="32"/>
          <w:szCs w:val="32"/>
        </w:rPr>
        <w:t>9922.73</w:t>
      </w:r>
      <w:r>
        <w:rPr>
          <w:rFonts w:ascii="仿宋" w:eastAsia="仿宋" w:hAnsi="仿宋" w:cs="仿宋" w:hint="eastAsia"/>
          <w:kern w:val="0"/>
          <w:sz w:val="32"/>
          <w:szCs w:val="32"/>
        </w:rPr>
        <w:t>万元，决算数大于预算数的主要原因在于年度追加文明城市创建专项经费、老旧小区消防改造工程、镇街道三改</w:t>
      </w:r>
      <w:proofErr w:type="gramStart"/>
      <w:r>
        <w:rPr>
          <w:rFonts w:ascii="仿宋" w:eastAsia="仿宋" w:hAnsi="仿宋" w:cs="仿宋" w:hint="eastAsia"/>
          <w:kern w:val="0"/>
          <w:sz w:val="32"/>
          <w:szCs w:val="32"/>
        </w:rPr>
        <w:t>一</w:t>
      </w:r>
      <w:proofErr w:type="gramEnd"/>
      <w:r>
        <w:rPr>
          <w:rFonts w:ascii="仿宋" w:eastAsia="仿宋" w:hAnsi="仿宋" w:cs="仿宋" w:hint="eastAsia"/>
          <w:kern w:val="0"/>
          <w:sz w:val="32"/>
          <w:szCs w:val="32"/>
        </w:rPr>
        <w:t>拆补助等。</w:t>
      </w:r>
    </w:p>
    <w:p w:rsidR="005B6855" w:rsidRDefault="00B15E81">
      <w:pPr>
        <w:widowControl/>
        <w:snapToGrid w:val="0"/>
        <w:spacing w:line="600" w:lineRule="atLeast"/>
        <w:ind w:firstLine="640"/>
        <w:rPr>
          <w:rFonts w:ascii="宋体" w:eastAsia="宋体" w:hAnsi="宋体" w:cs="宋体"/>
          <w:kern w:val="0"/>
          <w:sz w:val="24"/>
        </w:rPr>
      </w:pPr>
      <w:r>
        <w:rPr>
          <w:rFonts w:ascii="仿宋" w:eastAsia="仿宋" w:hAnsi="仿宋" w:cs="仿宋" w:hint="eastAsia"/>
          <w:kern w:val="0"/>
          <w:sz w:val="32"/>
          <w:szCs w:val="32"/>
        </w:rPr>
        <w:lastRenderedPageBreak/>
        <w:t>城乡社区支出（类）城市基础设施配套费及对应专项债务收入安排的支出（款）其他城市基础设施配套</w:t>
      </w:r>
      <w:proofErr w:type="gramStart"/>
      <w:r>
        <w:rPr>
          <w:rFonts w:ascii="仿宋" w:eastAsia="仿宋" w:hAnsi="仿宋" w:cs="仿宋" w:hint="eastAsia"/>
          <w:kern w:val="0"/>
          <w:sz w:val="32"/>
          <w:szCs w:val="32"/>
        </w:rPr>
        <w:t>费安排</w:t>
      </w:r>
      <w:proofErr w:type="gramEnd"/>
      <w:r>
        <w:rPr>
          <w:rFonts w:ascii="仿宋" w:eastAsia="仿宋" w:hAnsi="仿宋" w:cs="仿宋" w:hint="eastAsia"/>
          <w:kern w:val="0"/>
          <w:sz w:val="32"/>
          <w:szCs w:val="32"/>
        </w:rPr>
        <w:t>的支出（项）。年初预算为</w:t>
      </w:r>
      <w:r>
        <w:rPr>
          <w:rFonts w:ascii="仿宋" w:eastAsia="仿宋" w:hAnsi="仿宋" w:cs="Arial" w:hint="eastAsia"/>
          <w:kern w:val="0"/>
          <w:sz w:val="32"/>
          <w:szCs w:val="32"/>
        </w:rPr>
        <w:t>0</w:t>
      </w:r>
      <w:r>
        <w:rPr>
          <w:rFonts w:ascii="仿宋" w:eastAsia="仿宋" w:hAnsi="仿宋" w:cs="仿宋" w:hint="eastAsia"/>
          <w:kern w:val="0"/>
          <w:sz w:val="32"/>
          <w:szCs w:val="32"/>
        </w:rPr>
        <w:t>万元，支出决算为</w:t>
      </w:r>
      <w:r>
        <w:rPr>
          <w:rFonts w:ascii="仿宋" w:eastAsia="仿宋" w:hAnsi="仿宋" w:cs="Arial" w:hint="eastAsia"/>
          <w:kern w:val="0"/>
          <w:sz w:val="32"/>
          <w:szCs w:val="32"/>
        </w:rPr>
        <w:t>102</w:t>
      </w:r>
      <w:r>
        <w:rPr>
          <w:rFonts w:ascii="仿宋" w:eastAsia="仿宋" w:hAnsi="仿宋" w:cs="仿宋" w:hint="eastAsia"/>
          <w:kern w:val="0"/>
          <w:sz w:val="32"/>
          <w:szCs w:val="32"/>
        </w:rPr>
        <w:t>万元，完成年初预算的</w:t>
      </w:r>
      <w:r>
        <w:rPr>
          <w:rFonts w:ascii="仿宋" w:eastAsia="仿宋" w:hAnsi="仿宋" w:cs="Arial" w:hint="eastAsia"/>
          <w:kern w:val="0"/>
          <w:sz w:val="32"/>
          <w:szCs w:val="32"/>
        </w:rPr>
        <w:t>100%，决算等于预算的主要原因是严格按照预算执行</w:t>
      </w:r>
      <w:r>
        <w:rPr>
          <w:rFonts w:ascii="仿宋" w:eastAsia="仿宋" w:hAnsi="仿宋" w:cs="仿宋" w:hint="eastAsia"/>
          <w:kern w:val="0"/>
          <w:sz w:val="32"/>
          <w:szCs w:val="32"/>
        </w:rPr>
        <w:t>。</w:t>
      </w:r>
    </w:p>
    <w:p w:rsidR="005B6855" w:rsidRDefault="00B15E81">
      <w:pPr>
        <w:widowControl/>
        <w:snapToGrid w:val="0"/>
        <w:spacing w:line="600" w:lineRule="atLeast"/>
        <w:ind w:firstLine="640"/>
        <w:rPr>
          <w:rFonts w:ascii="仿宋" w:eastAsia="仿宋" w:hAnsi="仿宋" w:cs="Arial"/>
          <w:kern w:val="0"/>
          <w:sz w:val="32"/>
          <w:szCs w:val="32"/>
        </w:rPr>
      </w:pPr>
      <w:r>
        <w:rPr>
          <w:rFonts w:ascii="仿宋" w:eastAsia="仿宋" w:hAnsi="仿宋" w:cs="仿宋" w:hint="eastAsia"/>
          <w:kern w:val="0"/>
          <w:sz w:val="32"/>
          <w:szCs w:val="32"/>
        </w:rPr>
        <w:t>其他支出（类）其他政府性基金及对应专项债务收入安排的支出（款）其他政府性基金及对应专项债务收入安排的支出（项）。年初预算为</w:t>
      </w:r>
      <w:r>
        <w:rPr>
          <w:rFonts w:ascii="仿宋" w:eastAsia="仿宋" w:hAnsi="仿宋" w:cs="Arial" w:hint="eastAsia"/>
          <w:kern w:val="0"/>
          <w:sz w:val="32"/>
          <w:szCs w:val="32"/>
        </w:rPr>
        <w:t>0</w:t>
      </w:r>
      <w:r>
        <w:rPr>
          <w:rFonts w:ascii="仿宋" w:eastAsia="仿宋" w:hAnsi="仿宋" w:cs="仿宋" w:hint="eastAsia"/>
          <w:kern w:val="0"/>
          <w:sz w:val="32"/>
          <w:szCs w:val="32"/>
        </w:rPr>
        <w:t>万元，支出决算为</w:t>
      </w:r>
      <w:r>
        <w:rPr>
          <w:rFonts w:ascii="仿宋" w:eastAsia="仿宋" w:hAnsi="仿宋" w:cs="Arial" w:hint="eastAsia"/>
          <w:kern w:val="0"/>
          <w:sz w:val="32"/>
          <w:szCs w:val="32"/>
        </w:rPr>
        <w:t>77.82</w:t>
      </w:r>
      <w:r>
        <w:rPr>
          <w:rFonts w:ascii="仿宋" w:eastAsia="仿宋" w:hAnsi="仿宋" w:cs="仿宋" w:hint="eastAsia"/>
          <w:kern w:val="0"/>
          <w:sz w:val="32"/>
          <w:szCs w:val="32"/>
        </w:rPr>
        <w:t>万元，决算数大于预算数的主要原因在于</w:t>
      </w:r>
      <w:r>
        <w:rPr>
          <w:rFonts w:ascii="仿宋" w:eastAsia="仿宋" w:hAnsi="仿宋" w:cs="仿宋" w:hint="eastAsia"/>
          <w:color w:val="000000"/>
          <w:kern w:val="0"/>
          <w:sz w:val="32"/>
          <w:szCs w:val="32"/>
        </w:rPr>
        <w:t>财政返还上年结余数</w:t>
      </w:r>
      <w:r>
        <w:rPr>
          <w:rFonts w:ascii="仿宋" w:eastAsia="仿宋" w:hAnsi="仿宋" w:cs="仿宋" w:hint="eastAsia"/>
          <w:kern w:val="0"/>
          <w:sz w:val="32"/>
          <w:szCs w:val="32"/>
        </w:rPr>
        <w:t>。</w:t>
      </w:r>
    </w:p>
    <w:p w:rsidR="005B6855" w:rsidRDefault="00B15E81">
      <w:pPr>
        <w:widowControl/>
        <w:snapToGrid w:val="0"/>
        <w:spacing w:line="600" w:lineRule="atLeast"/>
        <w:ind w:firstLine="640"/>
        <w:rPr>
          <w:rFonts w:ascii="仿宋" w:eastAsia="仿宋" w:hAnsi="仿宋" w:cs="Arial"/>
          <w:kern w:val="0"/>
          <w:sz w:val="32"/>
          <w:szCs w:val="32"/>
        </w:rPr>
      </w:pPr>
      <w:r>
        <w:rPr>
          <w:rFonts w:ascii="仿宋" w:eastAsia="仿宋" w:hAnsi="仿宋" w:cs="仿宋" w:hint="eastAsia"/>
          <w:kern w:val="0"/>
          <w:sz w:val="32"/>
          <w:szCs w:val="32"/>
        </w:rPr>
        <w:t>其他支出（类）彩票公益金及对应专项债务收入安排的支出（款）用于社会福利的彩票公益金支出（项）。年初预算为</w:t>
      </w:r>
      <w:r>
        <w:rPr>
          <w:rFonts w:ascii="仿宋" w:eastAsia="仿宋" w:hAnsi="仿宋" w:cs="Arial" w:hint="eastAsia"/>
          <w:kern w:val="0"/>
          <w:sz w:val="32"/>
          <w:szCs w:val="32"/>
        </w:rPr>
        <w:t>0</w:t>
      </w:r>
      <w:r>
        <w:rPr>
          <w:rFonts w:ascii="仿宋" w:eastAsia="仿宋" w:hAnsi="仿宋" w:cs="仿宋" w:hint="eastAsia"/>
          <w:kern w:val="0"/>
          <w:sz w:val="32"/>
          <w:szCs w:val="32"/>
        </w:rPr>
        <w:t>万元，支出决算为</w:t>
      </w:r>
      <w:r>
        <w:rPr>
          <w:rFonts w:ascii="仿宋" w:eastAsia="仿宋" w:hAnsi="仿宋" w:cs="Arial" w:hint="eastAsia"/>
          <w:kern w:val="0"/>
          <w:sz w:val="32"/>
          <w:szCs w:val="32"/>
        </w:rPr>
        <w:t>65.91</w:t>
      </w:r>
      <w:r>
        <w:rPr>
          <w:rFonts w:ascii="仿宋" w:eastAsia="仿宋" w:hAnsi="仿宋" w:cs="仿宋" w:hint="eastAsia"/>
          <w:kern w:val="0"/>
          <w:sz w:val="32"/>
          <w:szCs w:val="32"/>
        </w:rPr>
        <w:t>万元，决算数大于预算数的主要原因在于年度财政追加预算。</w:t>
      </w:r>
    </w:p>
    <w:p w:rsidR="005B6855" w:rsidRDefault="00B15E81">
      <w:pPr>
        <w:widowControl/>
        <w:snapToGrid w:val="0"/>
        <w:spacing w:line="600" w:lineRule="atLeast"/>
        <w:ind w:firstLine="640"/>
        <w:rPr>
          <w:rFonts w:ascii="仿宋" w:eastAsia="仿宋" w:hAnsi="仿宋" w:cs="Arial"/>
          <w:kern w:val="0"/>
          <w:sz w:val="32"/>
          <w:szCs w:val="32"/>
        </w:rPr>
      </w:pPr>
      <w:r>
        <w:rPr>
          <w:rFonts w:ascii="仿宋" w:eastAsia="仿宋" w:hAnsi="仿宋" w:cs="仿宋" w:hint="eastAsia"/>
          <w:kern w:val="0"/>
          <w:sz w:val="32"/>
          <w:szCs w:val="32"/>
        </w:rPr>
        <w:t>其他支出（类）彩票公益金及对应专项债务收入安排的支出（款）用于残疾人事业的彩票公益金支出（项）。年初预算为</w:t>
      </w:r>
      <w:r>
        <w:rPr>
          <w:rFonts w:ascii="仿宋" w:eastAsia="仿宋" w:hAnsi="仿宋" w:cs="Arial" w:hint="eastAsia"/>
          <w:kern w:val="0"/>
          <w:sz w:val="32"/>
          <w:szCs w:val="32"/>
        </w:rPr>
        <w:t>0</w:t>
      </w:r>
      <w:r>
        <w:rPr>
          <w:rFonts w:ascii="仿宋" w:eastAsia="仿宋" w:hAnsi="仿宋" w:cs="仿宋" w:hint="eastAsia"/>
          <w:kern w:val="0"/>
          <w:sz w:val="32"/>
          <w:szCs w:val="32"/>
        </w:rPr>
        <w:t>万元，支出决算为</w:t>
      </w:r>
      <w:r>
        <w:rPr>
          <w:rFonts w:ascii="仿宋" w:eastAsia="仿宋" w:hAnsi="仿宋" w:cs="Arial" w:hint="eastAsia"/>
          <w:kern w:val="0"/>
          <w:sz w:val="32"/>
          <w:szCs w:val="32"/>
        </w:rPr>
        <w:t>11.41</w:t>
      </w:r>
      <w:r>
        <w:rPr>
          <w:rFonts w:ascii="仿宋" w:eastAsia="仿宋" w:hAnsi="仿宋" w:cs="仿宋" w:hint="eastAsia"/>
          <w:kern w:val="0"/>
          <w:sz w:val="32"/>
          <w:szCs w:val="32"/>
        </w:rPr>
        <w:t>万元，决算数大于预算数的主要原因在于年度财政追加预算。</w:t>
      </w:r>
    </w:p>
    <w:p w:rsidR="005B6855" w:rsidRDefault="00B15E81">
      <w:pPr>
        <w:widowControl/>
        <w:snapToGrid w:val="0"/>
        <w:spacing w:line="600" w:lineRule="atLeast"/>
        <w:ind w:firstLine="640"/>
        <w:rPr>
          <w:rFonts w:ascii="仿宋" w:eastAsia="仿宋" w:hAnsi="仿宋" w:cs="Arial"/>
          <w:kern w:val="0"/>
          <w:sz w:val="32"/>
          <w:szCs w:val="32"/>
        </w:rPr>
      </w:pPr>
      <w:r>
        <w:rPr>
          <w:rFonts w:ascii="仿宋" w:eastAsia="仿宋" w:hAnsi="仿宋" w:cs="仿宋" w:hint="eastAsia"/>
          <w:kern w:val="0"/>
          <w:sz w:val="32"/>
          <w:szCs w:val="32"/>
        </w:rPr>
        <w:t>其他支出（类）彩票公益金及对应专项债务收入安排的支出（款）用于其他社会公益事业的彩票公益金支出（项）。年初预算为</w:t>
      </w:r>
      <w:r>
        <w:rPr>
          <w:rFonts w:ascii="仿宋" w:eastAsia="仿宋" w:hAnsi="仿宋" w:cs="Arial" w:hint="eastAsia"/>
          <w:kern w:val="0"/>
          <w:sz w:val="32"/>
          <w:szCs w:val="32"/>
        </w:rPr>
        <w:t>0</w:t>
      </w:r>
      <w:r>
        <w:rPr>
          <w:rFonts w:ascii="仿宋" w:eastAsia="仿宋" w:hAnsi="仿宋" w:cs="仿宋" w:hint="eastAsia"/>
          <w:kern w:val="0"/>
          <w:sz w:val="32"/>
          <w:szCs w:val="32"/>
        </w:rPr>
        <w:t>万元，支出决算为</w:t>
      </w:r>
      <w:r>
        <w:rPr>
          <w:rFonts w:ascii="仿宋" w:eastAsia="仿宋" w:hAnsi="仿宋" w:cs="Arial" w:hint="eastAsia"/>
          <w:kern w:val="0"/>
          <w:sz w:val="32"/>
          <w:szCs w:val="32"/>
        </w:rPr>
        <w:t>0.5</w:t>
      </w:r>
      <w:r>
        <w:rPr>
          <w:rFonts w:ascii="仿宋" w:eastAsia="仿宋" w:hAnsi="仿宋" w:cs="仿宋" w:hint="eastAsia"/>
          <w:kern w:val="0"/>
          <w:sz w:val="32"/>
          <w:szCs w:val="32"/>
        </w:rPr>
        <w:t>万元，决算数大于预算数的主要原因在于年度财政追加预算。</w:t>
      </w:r>
    </w:p>
    <w:p w:rsidR="005B6855" w:rsidRDefault="00B15E81">
      <w:pPr>
        <w:widowControl/>
        <w:snapToGrid w:val="0"/>
        <w:spacing w:line="600" w:lineRule="atLeast"/>
        <w:ind w:firstLine="640"/>
        <w:rPr>
          <w:rFonts w:ascii="宋体" w:eastAsia="宋体" w:hAnsi="宋体" w:cs="宋体"/>
          <w:kern w:val="0"/>
          <w:sz w:val="24"/>
        </w:rPr>
      </w:pPr>
      <w:r>
        <w:rPr>
          <w:rStyle w:val="15"/>
          <w:rFonts w:ascii="楷体" w:eastAsia="楷体" w:hAnsi="楷体" w:cs="楷体" w:hint="eastAsia"/>
          <w:kern w:val="0"/>
          <w:sz w:val="32"/>
          <w:szCs w:val="32"/>
        </w:rPr>
        <w:t>（八）</w:t>
      </w:r>
      <w:r>
        <w:rPr>
          <w:rStyle w:val="15"/>
          <w:rFonts w:ascii="楷体" w:eastAsia="楷体" w:hAnsi="楷体" w:cs="Arial" w:hint="eastAsia"/>
          <w:kern w:val="0"/>
          <w:sz w:val="32"/>
          <w:szCs w:val="32"/>
        </w:rPr>
        <w:t>2019年度一般公共预算财政拨款“三公”经费支出决算情况说明</w:t>
      </w:r>
    </w:p>
    <w:p w:rsidR="005B6855" w:rsidRDefault="00B15E81">
      <w:pPr>
        <w:widowControl/>
        <w:snapToGrid w:val="0"/>
        <w:spacing w:line="600" w:lineRule="atLeast"/>
        <w:ind w:firstLine="640"/>
        <w:rPr>
          <w:rFonts w:ascii="宋体" w:eastAsia="宋体" w:hAnsi="宋体" w:cs="宋体"/>
          <w:kern w:val="0"/>
          <w:sz w:val="24"/>
        </w:rPr>
      </w:pPr>
      <w:r>
        <w:rPr>
          <w:rStyle w:val="15"/>
          <w:rFonts w:ascii="仿宋" w:eastAsia="仿宋" w:hAnsi="仿宋" w:cs="Arial" w:hint="eastAsia"/>
          <w:kern w:val="0"/>
          <w:sz w:val="32"/>
          <w:szCs w:val="32"/>
        </w:rPr>
        <w:lastRenderedPageBreak/>
        <w:t xml:space="preserve">1.“三公”经费一般公共预算财政拨款支出决算总体情况说明。 </w:t>
      </w:r>
    </w:p>
    <w:p w:rsidR="005B6855" w:rsidRDefault="00B15E81">
      <w:pPr>
        <w:widowControl/>
        <w:snapToGrid w:val="0"/>
        <w:spacing w:line="600" w:lineRule="atLeast"/>
        <w:ind w:firstLine="640"/>
        <w:rPr>
          <w:rFonts w:ascii="仿宋" w:eastAsia="仿宋" w:hAnsi="仿宋" w:cs="Arial"/>
          <w:kern w:val="0"/>
          <w:sz w:val="32"/>
          <w:szCs w:val="32"/>
        </w:rPr>
      </w:pPr>
      <w:r>
        <w:rPr>
          <w:rFonts w:ascii="仿宋" w:eastAsia="仿宋" w:hAnsi="仿宋" w:cs="Arial" w:hint="eastAsia"/>
          <w:kern w:val="0"/>
          <w:sz w:val="32"/>
          <w:szCs w:val="32"/>
        </w:rPr>
        <w:t>2019年度“三公”经费一般公共预算财政拨款支出预算为53.42</w:t>
      </w:r>
      <w:r>
        <w:rPr>
          <w:rFonts w:ascii="仿宋" w:eastAsia="仿宋" w:hAnsi="仿宋" w:cs="仿宋" w:hint="eastAsia"/>
          <w:kern w:val="0"/>
          <w:sz w:val="32"/>
          <w:szCs w:val="32"/>
        </w:rPr>
        <w:t>万元，支出决算为</w:t>
      </w:r>
      <w:r>
        <w:rPr>
          <w:rFonts w:ascii="仿宋" w:eastAsia="仿宋" w:hAnsi="仿宋" w:cs="Arial" w:hint="eastAsia"/>
          <w:kern w:val="0"/>
          <w:sz w:val="32"/>
          <w:szCs w:val="32"/>
        </w:rPr>
        <w:t>62.70万元，完成预算的117.37%,2019年度“三公”经费支出决算数大于预算数的主要原因是</w:t>
      </w:r>
      <w:r>
        <w:rPr>
          <w:rFonts w:ascii="仿宋" w:eastAsia="仿宋" w:hAnsi="仿宋" w:cs="仿宋" w:hint="eastAsia"/>
          <w:kern w:val="0"/>
          <w:sz w:val="32"/>
          <w:szCs w:val="32"/>
        </w:rPr>
        <w:t>购置一辆新车。</w:t>
      </w:r>
    </w:p>
    <w:p w:rsidR="005B6855" w:rsidRDefault="00B15E81">
      <w:pPr>
        <w:widowControl/>
        <w:snapToGrid w:val="0"/>
        <w:spacing w:line="600" w:lineRule="atLeast"/>
        <w:ind w:firstLine="640"/>
        <w:rPr>
          <w:rFonts w:ascii="宋体" w:eastAsia="宋体" w:hAnsi="宋体" w:cs="宋体"/>
          <w:kern w:val="0"/>
          <w:sz w:val="24"/>
        </w:rPr>
      </w:pPr>
      <w:r>
        <w:rPr>
          <w:rStyle w:val="15"/>
          <w:rFonts w:ascii="仿宋" w:eastAsia="仿宋" w:hAnsi="仿宋" w:cs="Arial" w:hint="eastAsia"/>
          <w:kern w:val="0"/>
          <w:sz w:val="32"/>
          <w:szCs w:val="32"/>
        </w:rPr>
        <w:t>2.“三公”经费一般公共预算财政拨款支出决算具体情况说明。</w:t>
      </w:r>
    </w:p>
    <w:p w:rsidR="005B6855" w:rsidRDefault="00B15E81">
      <w:pPr>
        <w:widowControl/>
        <w:snapToGrid w:val="0"/>
        <w:spacing w:line="600" w:lineRule="atLeast"/>
        <w:ind w:firstLine="640"/>
        <w:rPr>
          <w:rFonts w:ascii="宋体" w:eastAsia="宋体" w:hAnsi="宋体" w:cs="宋体"/>
          <w:kern w:val="0"/>
          <w:sz w:val="24"/>
        </w:rPr>
      </w:pPr>
      <w:r>
        <w:rPr>
          <w:rFonts w:ascii="仿宋" w:eastAsia="仿宋" w:hAnsi="仿宋" w:cs="Arial" w:hint="eastAsia"/>
          <w:kern w:val="0"/>
          <w:sz w:val="32"/>
          <w:szCs w:val="32"/>
        </w:rPr>
        <w:t>2019年度“三公”经费一般公共预算财政拨款支出决算中，因公出国（境）费用支出决算为0</w:t>
      </w:r>
      <w:r>
        <w:rPr>
          <w:rFonts w:ascii="仿宋" w:eastAsia="仿宋" w:hAnsi="仿宋" w:cs="仿宋" w:hint="eastAsia"/>
          <w:kern w:val="0"/>
          <w:sz w:val="32"/>
          <w:szCs w:val="32"/>
        </w:rPr>
        <w:t>万元，占</w:t>
      </w:r>
      <w:r>
        <w:rPr>
          <w:rFonts w:ascii="仿宋" w:eastAsia="仿宋" w:hAnsi="仿宋" w:cs="Arial" w:hint="eastAsia"/>
          <w:kern w:val="0"/>
          <w:sz w:val="32"/>
          <w:szCs w:val="32"/>
        </w:rPr>
        <w:t>0%，与2018年度相比，增加36.5</w:t>
      </w:r>
      <w:r>
        <w:rPr>
          <w:rFonts w:ascii="仿宋" w:eastAsia="仿宋" w:hAnsi="仿宋" w:cs="仿宋" w:hint="eastAsia"/>
          <w:kern w:val="0"/>
          <w:sz w:val="32"/>
          <w:szCs w:val="32"/>
        </w:rPr>
        <w:t>万元，增长</w:t>
      </w:r>
      <w:r>
        <w:rPr>
          <w:rFonts w:ascii="仿宋" w:eastAsia="仿宋" w:hAnsi="仿宋" w:cs="Arial" w:hint="eastAsia"/>
          <w:kern w:val="0"/>
          <w:sz w:val="32"/>
          <w:szCs w:val="32"/>
        </w:rPr>
        <w:t>100%，主要原因是</w:t>
      </w:r>
      <w:r>
        <w:rPr>
          <w:rFonts w:ascii="仿宋" w:eastAsia="仿宋" w:hAnsi="仿宋" w:cs="仿宋" w:hint="eastAsia"/>
          <w:kern w:val="0"/>
          <w:sz w:val="32"/>
          <w:szCs w:val="32"/>
        </w:rPr>
        <w:t>郑亮赴德经费；公务用车购置及运行维护费支出决算为</w:t>
      </w:r>
      <w:r>
        <w:rPr>
          <w:rFonts w:ascii="仿宋" w:eastAsia="仿宋" w:hAnsi="仿宋" w:cs="Arial" w:hint="eastAsia"/>
          <w:kern w:val="0"/>
          <w:sz w:val="32"/>
          <w:szCs w:val="32"/>
        </w:rPr>
        <w:t>25.19万元，占40.18%，与2018年度相比，增加21.26</w:t>
      </w:r>
      <w:r>
        <w:rPr>
          <w:rFonts w:ascii="仿宋" w:eastAsia="仿宋" w:hAnsi="仿宋" w:cs="仿宋" w:hint="eastAsia"/>
          <w:kern w:val="0"/>
          <w:sz w:val="32"/>
          <w:szCs w:val="32"/>
        </w:rPr>
        <w:t>万元，增长</w:t>
      </w:r>
      <w:r>
        <w:rPr>
          <w:rFonts w:ascii="仿宋" w:eastAsia="仿宋" w:hAnsi="仿宋" w:cs="Arial" w:hint="eastAsia"/>
          <w:kern w:val="0"/>
          <w:sz w:val="32"/>
          <w:szCs w:val="32"/>
        </w:rPr>
        <w:t>541.27%，主要原因是</w:t>
      </w:r>
      <w:r>
        <w:rPr>
          <w:rFonts w:ascii="仿宋" w:eastAsia="仿宋" w:hAnsi="仿宋" w:cs="仿宋" w:hint="eastAsia"/>
          <w:kern w:val="0"/>
          <w:sz w:val="32"/>
          <w:szCs w:val="32"/>
        </w:rPr>
        <w:t>购置一辆新车；公务接待费支出决算为</w:t>
      </w:r>
      <w:r>
        <w:rPr>
          <w:rFonts w:ascii="仿宋" w:eastAsia="仿宋" w:hAnsi="仿宋" w:cs="Arial" w:hint="eastAsia"/>
          <w:kern w:val="0"/>
          <w:sz w:val="32"/>
          <w:szCs w:val="32"/>
        </w:rPr>
        <w:t>1.01万元，占1.61%，与2018年度相比，增加0.16</w:t>
      </w:r>
      <w:r>
        <w:rPr>
          <w:rFonts w:ascii="仿宋" w:eastAsia="仿宋" w:hAnsi="仿宋" w:cs="仿宋" w:hint="eastAsia"/>
          <w:kern w:val="0"/>
          <w:sz w:val="32"/>
          <w:szCs w:val="32"/>
        </w:rPr>
        <w:t>万元，增长</w:t>
      </w:r>
      <w:r>
        <w:rPr>
          <w:rFonts w:ascii="仿宋" w:eastAsia="仿宋" w:hAnsi="仿宋" w:cs="Arial" w:hint="eastAsia"/>
          <w:kern w:val="0"/>
          <w:sz w:val="32"/>
          <w:szCs w:val="32"/>
        </w:rPr>
        <w:t>19.37%，主要原因</w:t>
      </w:r>
      <w:r>
        <w:rPr>
          <w:rFonts w:ascii="仿宋" w:eastAsia="仿宋" w:hAnsi="仿宋" w:cs="仿宋" w:hint="eastAsia"/>
          <w:kern w:val="0"/>
          <w:sz w:val="32"/>
          <w:szCs w:val="32"/>
        </w:rPr>
        <w:t>接待费用增加。具体情况如下：</w:t>
      </w:r>
    </w:p>
    <w:p w:rsidR="005B6855" w:rsidRDefault="00B15E81">
      <w:pPr>
        <w:widowControl/>
        <w:snapToGrid w:val="0"/>
        <w:spacing w:line="600" w:lineRule="atLeast"/>
        <w:ind w:firstLine="640"/>
        <w:rPr>
          <w:rFonts w:ascii="宋体" w:eastAsia="宋体" w:hAnsi="宋体" w:cs="宋体"/>
          <w:kern w:val="0"/>
          <w:sz w:val="24"/>
        </w:rPr>
      </w:pPr>
      <w:r>
        <w:rPr>
          <w:rStyle w:val="15"/>
          <w:rFonts w:ascii="仿宋" w:eastAsia="仿宋" w:hAnsi="仿宋" w:cs="仿宋" w:hint="eastAsia"/>
          <w:kern w:val="0"/>
          <w:sz w:val="32"/>
          <w:szCs w:val="32"/>
        </w:rPr>
        <w:t>（</w:t>
      </w:r>
      <w:r>
        <w:rPr>
          <w:rStyle w:val="15"/>
          <w:rFonts w:ascii="仿宋" w:eastAsia="仿宋" w:hAnsi="仿宋" w:cs="Arial" w:hint="eastAsia"/>
          <w:kern w:val="0"/>
          <w:sz w:val="32"/>
          <w:szCs w:val="32"/>
        </w:rPr>
        <w:t>1）因公出国（境）费</w:t>
      </w:r>
      <w:r>
        <w:rPr>
          <w:rFonts w:ascii="仿宋" w:eastAsia="仿宋" w:hAnsi="仿宋" w:cs="仿宋" w:hint="eastAsia"/>
          <w:kern w:val="0"/>
          <w:sz w:val="32"/>
          <w:szCs w:val="32"/>
        </w:rPr>
        <w:t>预算数为</w:t>
      </w:r>
      <w:r>
        <w:rPr>
          <w:rFonts w:ascii="仿宋" w:eastAsia="仿宋" w:hAnsi="仿宋" w:cs="Arial" w:hint="eastAsia"/>
          <w:kern w:val="0"/>
          <w:sz w:val="32"/>
          <w:szCs w:val="32"/>
        </w:rPr>
        <w:t>36.50</w:t>
      </w:r>
      <w:r>
        <w:rPr>
          <w:rFonts w:ascii="仿宋" w:eastAsia="仿宋" w:hAnsi="仿宋" w:cs="仿宋" w:hint="eastAsia"/>
          <w:kern w:val="0"/>
          <w:sz w:val="32"/>
          <w:szCs w:val="32"/>
        </w:rPr>
        <w:t>万元，支出决算为</w:t>
      </w:r>
      <w:r>
        <w:rPr>
          <w:rFonts w:ascii="仿宋" w:eastAsia="仿宋" w:hAnsi="仿宋" w:cs="Arial" w:hint="eastAsia"/>
          <w:kern w:val="0"/>
          <w:sz w:val="32"/>
          <w:szCs w:val="32"/>
        </w:rPr>
        <w:t>36.50万元。完成预算的100%。主要用于机关及下属预算单位人员的公务出国（境）的住宿费、国际旅费、培训费、公杂费等支出。决算数等于预算数的主要原因是</w:t>
      </w:r>
      <w:r>
        <w:rPr>
          <w:rFonts w:ascii="仿宋" w:eastAsia="仿宋" w:hAnsi="仿宋" w:cs="仿宋" w:hint="eastAsia"/>
          <w:kern w:val="0"/>
          <w:sz w:val="32"/>
          <w:szCs w:val="32"/>
        </w:rPr>
        <w:t>郑亮赴德经费严格按照预算执行。</w:t>
      </w:r>
    </w:p>
    <w:p w:rsidR="005B6855" w:rsidRDefault="00B15E81">
      <w:pPr>
        <w:widowControl/>
        <w:snapToGrid w:val="0"/>
        <w:spacing w:line="600" w:lineRule="atLeast"/>
        <w:ind w:firstLine="640"/>
        <w:rPr>
          <w:rFonts w:ascii="宋体" w:eastAsia="宋体" w:hAnsi="宋体" w:cs="宋体"/>
          <w:kern w:val="0"/>
          <w:sz w:val="24"/>
        </w:rPr>
      </w:pPr>
      <w:r>
        <w:rPr>
          <w:rFonts w:ascii="仿宋" w:eastAsia="仿宋" w:hAnsi="仿宋" w:cs="仿宋" w:hint="eastAsia"/>
          <w:kern w:val="0"/>
          <w:sz w:val="32"/>
          <w:szCs w:val="32"/>
        </w:rPr>
        <w:t>其中，全年使用一般公共预算财政拨款本单位组织因公出国</w:t>
      </w:r>
      <w:r>
        <w:rPr>
          <w:rFonts w:ascii="仿宋" w:eastAsia="仿宋" w:hAnsi="仿宋" w:cs="Arial" w:hint="eastAsia"/>
          <w:kern w:val="0"/>
          <w:sz w:val="32"/>
          <w:szCs w:val="32"/>
        </w:rPr>
        <w:t>(境)团组0个；本单位全年因公出国(境)累计1人次。</w:t>
      </w:r>
    </w:p>
    <w:p w:rsidR="005B6855" w:rsidRDefault="00B15E81">
      <w:pPr>
        <w:widowControl/>
        <w:snapToGrid w:val="0"/>
        <w:spacing w:line="600" w:lineRule="atLeast"/>
        <w:ind w:firstLine="640"/>
        <w:rPr>
          <w:rFonts w:ascii="宋体" w:eastAsia="宋体" w:hAnsi="宋体" w:cs="宋体"/>
          <w:kern w:val="0"/>
          <w:sz w:val="24"/>
        </w:rPr>
      </w:pPr>
      <w:r>
        <w:rPr>
          <w:rStyle w:val="15"/>
          <w:rFonts w:ascii="仿宋" w:eastAsia="仿宋" w:hAnsi="仿宋" w:cs="仿宋" w:hint="eastAsia"/>
          <w:kern w:val="0"/>
          <w:sz w:val="32"/>
          <w:szCs w:val="32"/>
        </w:rPr>
        <w:lastRenderedPageBreak/>
        <w:t>（</w:t>
      </w:r>
      <w:r>
        <w:rPr>
          <w:rStyle w:val="15"/>
          <w:rFonts w:ascii="仿宋" w:eastAsia="仿宋" w:hAnsi="仿宋" w:cs="Arial" w:hint="eastAsia"/>
          <w:kern w:val="0"/>
          <w:sz w:val="32"/>
          <w:szCs w:val="32"/>
        </w:rPr>
        <w:t>2）公务用车购置及运行维护费</w:t>
      </w:r>
      <w:r>
        <w:rPr>
          <w:rFonts w:ascii="仿宋" w:eastAsia="仿宋" w:hAnsi="仿宋" w:cs="仿宋" w:hint="eastAsia"/>
          <w:kern w:val="0"/>
          <w:sz w:val="32"/>
          <w:szCs w:val="32"/>
        </w:rPr>
        <w:t>预算数为</w:t>
      </w:r>
      <w:r>
        <w:rPr>
          <w:rFonts w:ascii="仿宋" w:eastAsia="仿宋" w:hAnsi="仿宋" w:cs="Arial" w:hint="eastAsia"/>
          <w:kern w:val="0"/>
          <w:sz w:val="32"/>
          <w:szCs w:val="32"/>
        </w:rPr>
        <w:t>23.33</w:t>
      </w:r>
      <w:r>
        <w:rPr>
          <w:rFonts w:ascii="仿宋" w:eastAsia="仿宋" w:hAnsi="仿宋" w:cs="仿宋" w:hint="eastAsia"/>
          <w:kern w:val="0"/>
          <w:sz w:val="32"/>
          <w:szCs w:val="32"/>
        </w:rPr>
        <w:t>万元，支出决算为</w:t>
      </w:r>
      <w:r>
        <w:rPr>
          <w:rFonts w:ascii="仿宋" w:eastAsia="仿宋" w:hAnsi="仿宋" w:cs="Arial" w:hint="eastAsia"/>
          <w:kern w:val="0"/>
          <w:sz w:val="32"/>
          <w:szCs w:val="32"/>
        </w:rPr>
        <w:t>25.19万元，完成预算的107.97%。决算数大于预算数的主要原因是</w:t>
      </w:r>
      <w:r>
        <w:rPr>
          <w:rFonts w:ascii="仿宋" w:eastAsia="仿宋" w:hAnsi="仿宋" w:cs="仿宋" w:hint="eastAsia"/>
          <w:kern w:val="0"/>
          <w:sz w:val="32"/>
          <w:szCs w:val="32"/>
        </w:rPr>
        <w:t>购置一辆新车。</w:t>
      </w:r>
    </w:p>
    <w:p w:rsidR="005B6855" w:rsidRDefault="00B15E81">
      <w:pPr>
        <w:widowControl/>
        <w:snapToGrid w:val="0"/>
        <w:spacing w:line="600" w:lineRule="atLeast"/>
        <w:ind w:firstLine="640"/>
        <w:rPr>
          <w:rFonts w:ascii="宋体" w:eastAsia="宋体" w:hAnsi="宋体" w:cs="宋体"/>
          <w:kern w:val="0"/>
          <w:sz w:val="24"/>
        </w:rPr>
      </w:pPr>
      <w:r>
        <w:rPr>
          <w:rStyle w:val="15"/>
          <w:rFonts w:ascii="仿宋" w:eastAsia="仿宋" w:hAnsi="仿宋" w:cs="仿宋" w:hint="eastAsia"/>
          <w:kern w:val="0"/>
          <w:sz w:val="32"/>
          <w:szCs w:val="32"/>
        </w:rPr>
        <w:t>公务用车运行维护费</w:t>
      </w:r>
      <w:r>
        <w:rPr>
          <w:rFonts w:ascii="仿宋" w:eastAsia="仿宋" w:hAnsi="仿宋" w:cs="仿宋" w:hint="eastAsia"/>
          <w:kern w:val="0"/>
          <w:sz w:val="32"/>
          <w:szCs w:val="32"/>
        </w:rPr>
        <w:t>支出</w:t>
      </w:r>
      <w:r>
        <w:rPr>
          <w:rFonts w:ascii="仿宋" w:eastAsia="仿宋" w:hAnsi="仿宋" w:cs="Arial" w:hint="eastAsia"/>
          <w:kern w:val="0"/>
          <w:sz w:val="32"/>
          <w:szCs w:val="32"/>
        </w:rPr>
        <w:t>25.19万元，主要用于所需的公务用车燃料费、维修费、过路过桥费、保险费、安全奖励费用等支出；2019年度，本级及所属单位开支一般公共预算财政拨款的公务用车保有量为5辆。</w:t>
      </w:r>
    </w:p>
    <w:p w:rsidR="005B6855" w:rsidRDefault="00B15E81">
      <w:pPr>
        <w:widowControl/>
        <w:snapToGrid w:val="0"/>
        <w:spacing w:line="600" w:lineRule="atLeast"/>
        <w:ind w:firstLine="640"/>
        <w:rPr>
          <w:rFonts w:ascii="宋体" w:eastAsia="宋体" w:hAnsi="宋体" w:cs="宋体"/>
          <w:kern w:val="0"/>
          <w:sz w:val="24"/>
        </w:rPr>
      </w:pPr>
      <w:r>
        <w:rPr>
          <w:rStyle w:val="15"/>
          <w:rFonts w:ascii="仿宋" w:eastAsia="仿宋" w:hAnsi="仿宋" w:cs="仿宋" w:hint="eastAsia"/>
          <w:kern w:val="0"/>
          <w:sz w:val="32"/>
          <w:szCs w:val="32"/>
        </w:rPr>
        <w:t>（</w:t>
      </w:r>
      <w:r>
        <w:rPr>
          <w:rStyle w:val="15"/>
          <w:rFonts w:ascii="仿宋" w:eastAsia="仿宋" w:hAnsi="仿宋" w:cs="Arial" w:hint="eastAsia"/>
          <w:kern w:val="0"/>
          <w:sz w:val="32"/>
          <w:szCs w:val="32"/>
        </w:rPr>
        <w:t>3）公务接待费</w:t>
      </w:r>
      <w:r>
        <w:rPr>
          <w:rFonts w:ascii="仿宋" w:eastAsia="仿宋" w:hAnsi="仿宋" w:cs="仿宋" w:hint="eastAsia"/>
          <w:kern w:val="0"/>
          <w:sz w:val="32"/>
          <w:szCs w:val="32"/>
        </w:rPr>
        <w:t>预算数为</w:t>
      </w:r>
      <w:r>
        <w:rPr>
          <w:rFonts w:ascii="仿宋" w:eastAsia="仿宋" w:hAnsi="仿宋" w:cs="Arial" w:hint="eastAsia"/>
          <w:kern w:val="0"/>
          <w:sz w:val="32"/>
          <w:szCs w:val="32"/>
        </w:rPr>
        <w:t>9.12</w:t>
      </w:r>
      <w:r>
        <w:rPr>
          <w:rFonts w:ascii="仿宋" w:eastAsia="仿宋" w:hAnsi="仿宋" w:cs="仿宋" w:hint="eastAsia"/>
          <w:kern w:val="0"/>
          <w:sz w:val="32"/>
          <w:szCs w:val="32"/>
        </w:rPr>
        <w:t>万元，支出决算为</w:t>
      </w:r>
      <w:r>
        <w:rPr>
          <w:rFonts w:ascii="仿宋" w:eastAsia="仿宋" w:hAnsi="仿宋" w:cs="Arial" w:hint="eastAsia"/>
          <w:kern w:val="0"/>
          <w:sz w:val="32"/>
          <w:szCs w:val="32"/>
        </w:rPr>
        <w:t>1.01万元，完成预算的11.07%。主要用于接待等支出。决算数小于预算数的主要原因是</w:t>
      </w:r>
      <w:r>
        <w:rPr>
          <w:rFonts w:ascii="仿宋" w:eastAsia="仿宋" w:hAnsi="仿宋" w:cs="仿宋" w:hint="eastAsia"/>
          <w:kern w:val="0"/>
          <w:sz w:val="32"/>
          <w:szCs w:val="32"/>
        </w:rPr>
        <w:t>公务接待费用大大减少。全年使用一般公共预算财政拨款国内公务接待</w:t>
      </w:r>
      <w:r>
        <w:rPr>
          <w:rFonts w:ascii="仿宋" w:eastAsia="仿宋" w:hAnsi="仿宋" w:cs="Arial" w:hint="eastAsia"/>
          <w:kern w:val="0"/>
          <w:sz w:val="32"/>
          <w:szCs w:val="32"/>
        </w:rPr>
        <w:t>3批次，累计200人次。</w:t>
      </w:r>
    </w:p>
    <w:p w:rsidR="005B6855" w:rsidRDefault="00B15E81">
      <w:pPr>
        <w:widowControl/>
        <w:snapToGrid w:val="0"/>
        <w:spacing w:line="600" w:lineRule="atLeast"/>
        <w:ind w:firstLine="640"/>
        <w:rPr>
          <w:rFonts w:ascii="宋体" w:eastAsia="宋体" w:hAnsi="宋体" w:cs="宋体"/>
          <w:kern w:val="0"/>
          <w:sz w:val="24"/>
        </w:rPr>
      </w:pPr>
      <w:r>
        <w:rPr>
          <w:rStyle w:val="15"/>
          <w:rFonts w:ascii="仿宋" w:eastAsia="仿宋" w:hAnsi="仿宋" w:cs="仿宋" w:hint="eastAsia"/>
          <w:kern w:val="0"/>
          <w:sz w:val="32"/>
          <w:szCs w:val="32"/>
        </w:rPr>
        <w:t>其他国内公务接待</w:t>
      </w:r>
      <w:r>
        <w:rPr>
          <w:rFonts w:ascii="仿宋" w:eastAsia="仿宋" w:hAnsi="仿宋" w:cs="仿宋" w:hint="eastAsia"/>
          <w:kern w:val="0"/>
          <w:sz w:val="32"/>
          <w:szCs w:val="32"/>
        </w:rPr>
        <w:t>支出</w:t>
      </w:r>
      <w:r>
        <w:rPr>
          <w:rFonts w:ascii="仿宋" w:eastAsia="仿宋" w:hAnsi="仿宋" w:cs="Arial" w:hint="eastAsia"/>
          <w:kern w:val="0"/>
          <w:sz w:val="32"/>
          <w:szCs w:val="32"/>
        </w:rPr>
        <w:t>1.01万元，主要用于</w:t>
      </w:r>
      <w:r>
        <w:rPr>
          <w:rFonts w:ascii="仿宋" w:eastAsia="仿宋" w:hAnsi="仿宋" w:cs="仿宋" w:hint="eastAsia"/>
          <w:kern w:val="0"/>
          <w:sz w:val="32"/>
          <w:szCs w:val="32"/>
        </w:rPr>
        <w:t>接待上级验收、交叉检查等支出。接待</w:t>
      </w:r>
      <w:r>
        <w:rPr>
          <w:rFonts w:ascii="仿宋" w:eastAsia="仿宋" w:hAnsi="仿宋" w:cs="Arial" w:hint="eastAsia"/>
          <w:kern w:val="0"/>
          <w:sz w:val="32"/>
          <w:szCs w:val="32"/>
        </w:rPr>
        <w:t>200人次，3批次。</w:t>
      </w:r>
    </w:p>
    <w:p w:rsidR="005B6855" w:rsidRDefault="00B15E81">
      <w:pPr>
        <w:widowControl/>
        <w:snapToGrid w:val="0"/>
        <w:spacing w:line="600" w:lineRule="atLeast"/>
        <w:ind w:firstLine="640"/>
        <w:rPr>
          <w:rFonts w:ascii="宋体" w:eastAsia="宋体" w:hAnsi="宋体" w:cs="宋体"/>
          <w:kern w:val="0"/>
          <w:sz w:val="24"/>
        </w:rPr>
      </w:pPr>
      <w:r>
        <w:rPr>
          <w:rStyle w:val="15"/>
          <w:rFonts w:ascii="楷体" w:eastAsia="楷体" w:hAnsi="楷体" w:cs="楷体" w:hint="eastAsia"/>
          <w:kern w:val="0"/>
          <w:sz w:val="32"/>
          <w:szCs w:val="32"/>
        </w:rPr>
        <w:t>（九）部门预算绩效情况说明</w:t>
      </w:r>
    </w:p>
    <w:p w:rsidR="005B6855" w:rsidRDefault="00B15E81">
      <w:pPr>
        <w:widowControl/>
        <w:snapToGrid w:val="0"/>
        <w:spacing w:line="600" w:lineRule="atLeast"/>
        <w:ind w:firstLine="640"/>
        <w:rPr>
          <w:rFonts w:ascii="宋体" w:eastAsia="宋体" w:hAnsi="宋体" w:cs="宋体"/>
          <w:kern w:val="0"/>
          <w:sz w:val="24"/>
        </w:rPr>
      </w:pPr>
      <w:r>
        <w:rPr>
          <w:rStyle w:val="15"/>
          <w:rFonts w:ascii="仿宋" w:eastAsia="仿宋" w:hAnsi="仿宋" w:cs="Arial" w:hint="eastAsia"/>
          <w:kern w:val="0"/>
          <w:sz w:val="32"/>
          <w:szCs w:val="32"/>
        </w:rPr>
        <w:t>1.预算绩效管理工作开展情况。</w:t>
      </w:r>
    </w:p>
    <w:p w:rsidR="005B6855" w:rsidRDefault="00B15E81">
      <w:pPr>
        <w:widowControl/>
        <w:snapToGrid w:val="0"/>
        <w:spacing w:line="600" w:lineRule="atLeast"/>
        <w:ind w:firstLine="640"/>
        <w:rPr>
          <w:rFonts w:ascii="仿宋" w:eastAsia="仿宋" w:hAnsi="仿宋" w:cs="仿宋"/>
          <w:kern w:val="0"/>
          <w:sz w:val="32"/>
          <w:szCs w:val="32"/>
        </w:rPr>
      </w:pPr>
      <w:r>
        <w:rPr>
          <w:rFonts w:ascii="仿宋" w:eastAsia="仿宋" w:hAnsi="仿宋" w:cs="仿宋" w:hint="eastAsia"/>
          <w:kern w:val="0"/>
          <w:sz w:val="32"/>
          <w:szCs w:val="32"/>
        </w:rPr>
        <w:t>根据预算绩效管理要求，城北街道办事处组织对</w:t>
      </w:r>
      <w:r>
        <w:rPr>
          <w:rFonts w:ascii="仿宋" w:eastAsia="仿宋" w:hAnsi="仿宋" w:cs="Arial" w:hint="eastAsia"/>
          <w:kern w:val="0"/>
          <w:sz w:val="32"/>
          <w:szCs w:val="32"/>
        </w:rPr>
        <w:t>2019</w:t>
      </w:r>
      <w:r>
        <w:rPr>
          <w:rFonts w:ascii="仿宋" w:eastAsia="仿宋" w:hAnsi="仿宋" w:cs="仿宋" w:hint="eastAsia"/>
          <w:kern w:val="0"/>
          <w:sz w:val="32"/>
          <w:szCs w:val="32"/>
        </w:rPr>
        <w:t>年度一般公共预算项目支出全面开展绩效自评，其中，涉及项目</w:t>
      </w:r>
      <w:r>
        <w:rPr>
          <w:rFonts w:ascii="仿宋" w:eastAsia="仿宋" w:hAnsi="仿宋" w:cs="Arial" w:hint="eastAsia"/>
          <w:kern w:val="0"/>
          <w:sz w:val="32"/>
          <w:szCs w:val="32"/>
        </w:rPr>
        <w:t>59</w:t>
      </w:r>
      <w:r>
        <w:rPr>
          <w:rFonts w:ascii="仿宋" w:eastAsia="仿宋" w:hAnsi="仿宋" w:cs="仿宋" w:hint="eastAsia"/>
          <w:kern w:val="0"/>
          <w:sz w:val="32"/>
          <w:szCs w:val="32"/>
        </w:rPr>
        <w:t>个，共涉及资金</w:t>
      </w:r>
      <w:r>
        <w:rPr>
          <w:rFonts w:ascii="宋体" w:eastAsia="宋体" w:hAnsi="宋体" w:cs="宋体" w:hint="eastAsia"/>
          <w:spacing w:val="11"/>
          <w:kern w:val="0"/>
          <w:sz w:val="28"/>
          <w:szCs w:val="28"/>
        </w:rPr>
        <w:t>33383.25</w:t>
      </w:r>
      <w:r>
        <w:rPr>
          <w:rFonts w:ascii="仿宋" w:eastAsia="仿宋" w:hAnsi="仿宋" w:cs="仿宋" w:hint="eastAsia"/>
          <w:kern w:val="0"/>
          <w:sz w:val="32"/>
          <w:szCs w:val="32"/>
        </w:rPr>
        <w:t>万元，占一般公共预算项目支出总额的</w:t>
      </w:r>
      <w:r>
        <w:rPr>
          <w:rFonts w:ascii="仿宋" w:eastAsia="仿宋" w:hAnsi="仿宋" w:cs="Arial" w:hint="eastAsia"/>
          <w:kern w:val="0"/>
          <w:sz w:val="32"/>
          <w:szCs w:val="32"/>
        </w:rPr>
        <w:t>119.1%</w:t>
      </w:r>
      <w:r>
        <w:rPr>
          <w:rFonts w:ascii="仿宋" w:eastAsia="仿宋" w:hAnsi="仿宋" w:cs="仿宋" w:hint="eastAsia"/>
          <w:kern w:val="0"/>
          <w:sz w:val="32"/>
          <w:szCs w:val="32"/>
        </w:rPr>
        <w:t>。无政府性基金项目开展绩效自评。</w:t>
      </w:r>
    </w:p>
    <w:p w:rsidR="005B6855" w:rsidRDefault="00B15E81">
      <w:pPr>
        <w:widowControl/>
        <w:snapToGrid w:val="0"/>
        <w:spacing w:line="600" w:lineRule="atLeast"/>
        <w:ind w:firstLine="640"/>
        <w:rPr>
          <w:rFonts w:ascii="仿宋" w:eastAsia="仿宋" w:hAnsi="仿宋" w:cs="Arial"/>
          <w:sz w:val="32"/>
          <w:szCs w:val="32"/>
        </w:rPr>
      </w:pPr>
      <w:r>
        <w:rPr>
          <w:rFonts w:ascii="仿宋" w:eastAsia="仿宋" w:hAnsi="仿宋" w:cs="Arial" w:hint="eastAsia"/>
          <w:sz w:val="32"/>
          <w:szCs w:val="32"/>
        </w:rPr>
        <w:t>没有开展了部门评价</w:t>
      </w:r>
    </w:p>
    <w:p w:rsidR="005B6855" w:rsidRDefault="00B15E81">
      <w:pPr>
        <w:widowControl/>
        <w:snapToGrid w:val="0"/>
        <w:spacing w:line="600" w:lineRule="atLeast"/>
        <w:ind w:firstLine="640"/>
        <w:rPr>
          <w:rFonts w:ascii="宋体" w:eastAsia="宋体" w:hAnsi="宋体" w:cs="宋体"/>
          <w:kern w:val="0"/>
          <w:sz w:val="24"/>
        </w:rPr>
      </w:pPr>
      <w:r>
        <w:rPr>
          <w:rFonts w:ascii="仿宋" w:eastAsia="仿宋" w:hAnsi="仿宋" w:cs="Arial" w:hint="eastAsia"/>
          <w:sz w:val="32"/>
          <w:szCs w:val="32"/>
        </w:rPr>
        <w:t>没有开展整体支出绩效评价试点</w:t>
      </w:r>
    </w:p>
    <w:p w:rsidR="005B6855" w:rsidRDefault="00B15E81">
      <w:pPr>
        <w:widowControl/>
        <w:snapToGrid w:val="0"/>
        <w:spacing w:line="600" w:lineRule="atLeast"/>
        <w:ind w:firstLine="640"/>
        <w:rPr>
          <w:rFonts w:ascii="宋体" w:eastAsia="宋体" w:hAnsi="宋体" w:cs="宋体"/>
          <w:kern w:val="0"/>
          <w:sz w:val="24"/>
        </w:rPr>
      </w:pPr>
      <w:r>
        <w:rPr>
          <w:rStyle w:val="15"/>
          <w:rFonts w:ascii="仿宋" w:eastAsia="仿宋" w:hAnsi="仿宋" w:cs="Arial" w:hint="eastAsia"/>
          <w:kern w:val="0"/>
          <w:sz w:val="32"/>
          <w:szCs w:val="32"/>
        </w:rPr>
        <w:t>2.部门决算</w:t>
      </w:r>
      <w:proofErr w:type="gramStart"/>
      <w:r>
        <w:rPr>
          <w:rStyle w:val="15"/>
          <w:rFonts w:ascii="仿宋" w:eastAsia="仿宋" w:hAnsi="仿宋" w:cs="Arial" w:hint="eastAsia"/>
          <w:kern w:val="0"/>
          <w:sz w:val="32"/>
          <w:szCs w:val="32"/>
        </w:rPr>
        <w:t>中项目</w:t>
      </w:r>
      <w:proofErr w:type="gramEnd"/>
      <w:r>
        <w:rPr>
          <w:rStyle w:val="15"/>
          <w:rFonts w:ascii="仿宋" w:eastAsia="仿宋" w:hAnsi="仿宋" w:cs="Arial" w:hint="eastAsia"/>
          <w:kern w:val="0"/>
          <w:sz w:val="32"/>
          <w:szCs w:val="32"/>
        </w:rPr>
        <w:t>绩效自评结果</w:t>
      </w:r>
    </w:p>
    <w:p w:rsidR="005B6855" w:rsidRDefault="00B15E81">
      <w:pPr>
        <w:widowControl/>
        <w:snapToGrid w:val="0"/>
        <w:spacing w:line="600" w:lineRule="atLeast"/>
        <w:ind w:firstLine="640"/>
        <w:rPr>
          <w:rFonts w:ascii="宋体" w:eastAsia="宋体" w:hAnsi="宋体" w:cs="宋体"/>
          <w:kern w:val="0"/>
          <w:sz w:val="24"/>
        </w:rPr>
      </w:pPr>
      <w:r>
        <w:rPr>
          <w:rFonts w:ascii="仿宋" w:eastAsia="仿宋" w:hAnsi="仿宋" w:cs="仿宋" w:hint="eastAsia"/>
          <w:kern w:val="0"/>
          <w:sz w:val="32"/>
          <w:szCs w:val="32"/>
        </w:rPr>
        <w:lastRenderedPageBreak/>
        <w:t>城北街道办事处在</w:t>
      </w:r>
      <w:r>
        <w:rPr>
          <w:rFonts w:ascii="仿宋" w:eastAsia="仿宋" w:hAnsi="仿宋" w:cs="Arial" w:hint="eastAsia"/>
          <w:kern w:val="0"/>
          <w:sz w:val="32"/>
          <w:szCs w:val="32"/>
        </w:rPr>
        <w:t>2019</w:t>
      </w:r>
      <w:r>
        <w:rPr>
          <w:rFonts w:ascii="仿宋" w:eastAsia="仿宋" w:hAnsi="仿宋" w:cs="仿宋" w:hint="eastAsia"/>
          <w:kern w:val="0"/>
          <w:sz w:val="32"/>
          <w:szCs w:val="32"/>
        </w:rPr>
        <w:t>年度部门决算中反映消防工作经费及文明城市创建专项经费的项目绩效自评结果。</w:t>
      </w:r>
    </w:p>
    <w:p w:rsidR="005B6855" w:rsidRDefault="00B15E81">
      <w:pPr>
        <w:widowControl/>
        <w:snapToGrid w:val="0"/>
        <w:spacing w:line="600" w:lineRule="atLeast"/>
        <w:ind w:firstLine="640"/>
        <w:rPr>
          <w:rFonts w:ascii="仿宋" w:eastAsia="仿宋" w:hAnsi="仿宋" w:cs="Arial"/>
          <w:kern w:val="0"/>
          <w:sz w:val="32"/>
          <w:szCs w:val="32"/>
        </w:rPr>
      </w:pPr>
      <w:r>
        <w:rPr>
          <w:rFonts w:ascii="仿宋" w:eastAsia="仿宋" w:hAnsi="仿宋" w:cs="仿宋" w:hint="eastAsia"/>
          <w:kern w:val="0"/>
          <w:sz w:val="32"/>
          <w:szCs w:val="32"/>
        </w:rPr>
        <w:t>消防工作经费项目绩效自评综述：根据年初设定的绩效目标，项目自评得分</w:t>
      </w:r>
      <w:r>
        <w:rPr>
          <w:rFonts w:ascii="仿宋" w:eastAsia="仿宋" w:hAnsi="仿宋" w:cs="Arial" w:hint="eastAsia"/>
          <w:kern w:val="0"/>
          <w:sz w:val="32"/>
          <w:szCs w:val="32"/>
        </w:rPr>
        <w:t>88.72</w:t>
      </w:r>
      <w:r>
        <w:rPr>
          <w:rFonts w:ascii="仿宋" w:eastAsia="仿宋" w:hAnsi="仿宋" w:cs="仿宋" w:hint="eastAsia"/>
          <w:kern w:val="0"/>
          <w:sz w:val="32"/>
          <w:szCs w:val="32"/>
        </w:rPr>
        <w:t>分，自评结论为</w:t>
      </w:r>
      <w:r>
        <w:rPr>
          <w:rFonts w:ascii="仿宋" w:eastAsia="仿宋" w:hAnsi="仿宋" w:cs="Arial" w:hint="eastAsia"/>
          <w:kern w:val="0"/>
          <w:sz w:val="32"/>
          <w:szCs w:val="32"/>
        </w:rPr>
        <w:t>“达标”。项目全年预算数为</w:t>
      </w:r>
      <w:r>
        <w:rPr>
          <w:rFonts w:ascii="宋体" w:eastAsia="宋体" w:hAnsi="宋体" w:cs="宋体" w:hint="eastAsia"/>
          <w:spacing w:val="11"/>
          <w:kern w:val="0"/>
          <w:sz w:val="28"/>
          <w:szCs w:val="28"/>
        </w:rPr>
        <w:t>33383.25</w:t>
      </w:r>
      <w:r>
        <w:rPr>
          <w:rFonts w:ascii="仿宋" w:eastAsia="仿宋" w:hAnsi="仿宋" w:cs="仿宋" w:hint="eastAsia"/>
          <w:kern w:val="0"/>
          <w:sz w:val="32"/>
          <w:szCs w:val="32"/>
        </w:rPr>
        <w:t>万元，执行数为</w:t>
      </w:r>
      <w:r>
        <w:rPr>
          <w:rFonts w:ascii="宋体" w:eastAsia="宋体" w:hAnsi="宋体" w:cs="宋体" w:hint="eastAsia"/>
          <w:spacing w:val="11"/>
          <w:kern w:val="0"/>
          <w:sz w:val="28"/>
          <w:szCs w:val="28"/>
        </w:rPr>
        <w:t>39745.22</w:t>
      </w:r>
      <w:r>
        <w:rPr>
          <w:rFonts w:ascii="仿宋" w:eastAsia="仿宋" w:hAnsi="仿宋" w:cs="仿宋" w:hint="eastAsia"/>
          <w:kern w:val="0"/>
          <w:sz w:val="32"/>
          <w:szCs w:val="32"/>
        </w:rPr>
        <w:t>万元，完成预算的</w:t>
      </w:r>
      <w:r>
        <w:rPr>
          <w:rFonts w:ascii="宋体" w:eastAsia="宋体" w:hAnsi="宋体" w:cs="宋体" w:hint="eastAsia"/>
          <w:spacing w:val="11"/>
          <w:kern w:val="0"/>
          <w:sz w:val="28"/>
          <w:szCs w:val="28"/>
        </w:rPr>
        <w:t>119.10</w:t>
      </w:r>
      <w:r>
        <w:rPr>
          <w:rFonts w:ascii="仿宋" w:eastAsia="仿宋" w:hAnsi="仿宋" w:cs="Arial" w:hint="eastAsia"/>
          <w:kern w:val="0"/>
          <w:sz w:val="32"/>
          <w:szCs w:val="32"/>
        </w:rPr>
        <w:t>%</w:t>
      </w:r>
      <w:r>
        <w:rPr>
          <w:rFonts w:ascii="仿宋" w:eastAsia="仿宋" w:hAnsi="仿宋" w:cs="仿宋" w:hint="eastAsia"/>
          <w:kern w:val="0"/>
          <w:sz w:val="32"/>
          <w:szCs w:val="32"/>
        </w:rPr>
        <w:t>。项目绩效目标完成情况：对本区域范围内的各类单位、开展消防安全宣传、教育、检查整治，有效防止和减少各类安全事故的发生，确保太平消防安全形势持续稳定好转，形成良好的消防安全环境。</w:t>
      </w:r>
    </w:p>
    <w:p w:rsidR="005B6855" w:rsidRDefault="00B15E81">
      <w:pPr>
        <w:widowControl/>
        <w:snapToGrid w:val="0"/>
        <w:spacing w:line="600" w:lineRule="atLeast"/>
        <w:ind w:firstLine="640"/>
        <w:rPr>
          <w:rFonts w:ascii="仿宋" w:eastAsia="仿宋" w:hAnsi="仿宋" w:cs="Arial"/>
          <w:kern w:val="0"/>
          <w:sz w:val="32"/>
          <w:szCs w:val="32"/>
        </w:rPr>
      </w:pPr>
      <w:r>
        <w:rPr>
          <w:rFonts w:ascii="仿宋" w:eastAsia="仿宋" w:hAnsi="仿宋" w:cs="仿宋" w:hint="eastAsia"/>
          <w:kern w:val="0"/>
          <w:sz w:val="32"/>
          <w:szCs w:val="32"/>
        </w:rPr>
        <w:t>文明城市创建专项经费项目绩效自评综述：根据年初设定的绩效目标，项目自评得分</w:t>
      </w:r>
      <w:r>
        <w:rPr>
          <w:rFonts w:ascii="仿宋" w:eastAsia="仿宋" w:hAnsi="仿宋" w:cs="Arial" w:hint="eastAsia"/>
          <w:kern w:val="0"/>
          <w:sz w:val="32"/>
          <w:szCs w:val="32"/>
        </w:rPr>
        <w:t>88.72</w:t>
      </w:r>
      <w:r>
        <w:rPr>
          <w:rFonts w:ascii="仿宋" w:eastAsia="仿宋" w:hAnsi="仿宋" w:cs="仿宋" w:hint="eastAsia"/>
          <w:kern w:val="0"/>
          <w:sz w:val="32"/>
          <w:szCs w:val="32"/>
        </w:rPr>
        <w:t>分，自评结论为</w:t>
      </w:r>
      <w:r>
        <w:rPr>
          <w:rFonts w:ascii="仿宋" w:eastAsia="仿宋" w:hAnsi="仿宋" w:cs="Arial" w:hint="eastAsia"/>
          <w:kern w:val="0"/>
          <w:sz w:val="32"/>
          <w:szCs w:val="32"/>
        </w:rPr>
        <w:t>“达标”。项目全年预算数为500</w:t>
      </w:r>
      <w:r>
        <w:rPr>
          <w:rFonts w:ascii="仿宋" w:eastAsia="仿宋" w:hAnsi="仿宋" w:cs="仿宋" w:hint="eastAsia"/>
          <w:kern w:val="0"/>
          <w:sz w:val="32"/>
          <w:szCs w:val="32"/>
        </w:rPr>
        <w:t>万元，执行数为</w:t>
      </w:r>
      <w:r>
        <w:rPr>
          <w:rFonts w:ascii="仿宋" w:eastAsia="仿宋" w:hAnsi="仿宋" w:cs="Arial" w:hint="eastAsia"/>
          <w:kern w:val="0"/>
          <w:sz w:val="32"/>
          <w:szCs w:val="32"/>
        </w:rPr>
        <w:t>500</w:t>
      </w:r>
      <w:r>
        <w:rPr>
          <w:rFonts w:ascii="仿宋" w:eastAsia="仿宋" w:hAnsi="仿宋" w:cs="仿宋" w:hint="eastAsia"/>
          <w:kern w:val="0"/>
          <w:sz w:val="32"/>
          <w:szCs w:val="32"/>
        </w:rPr>
        <w:t>万元，完成预算的</w:t>
      </w:r>
      <w:r>
        <w:rPr>
          <w:rFonts w:ascii="仿宋" w:eastAsia="仿宋" w:hAnsi="仿宋" w:cs="Arial" w:hint="eastAsia"/>
          <w:kern w:val="0"/>
          <w:sz w:val="32"/>
          <w:szCs w:val="32"/>
        </w:rPr>
        <w:t>100%</w:t>
      </w:r>
      <w:r>
        <w:rPr>
          <w:rFonts w:ascii="仿宋" w:eastAsia="仿宋" w:hAnsi="仿宋" w:cs="仿宋" w:hint="eastAsia"/>
          <w:kern w:val="0"/>
          <w:sz w:val="32"/>
          <w:szCs w:val="32"/>
        </w:rPr>
        <w:t>。项目绩效目标完成情况：通过国家卫生城市巩固省级回访；消除各类环境隐患；全面整治</w:t>
      </w:r>
      <w:r>
        <w:rPr>
          <w:rFonts w:ascii="仿宋" w:eastAsia="仿宋" w:hAnsi="仿宋" w:cs="Arial" w:hint="eastAsia"/>
          <w:kern w:val="0"/>
          <w:sz w:val="32"/>
          <w:szCs w:val="32"/>
        </w:rPr>
        <w:t>“两路两侧”、“四边区域”影响环境的“脏乱差”现象。</w:t>
      </w:r>
    </w:p>
    <w:p w:rsidR="005B6855" w:rsidRDefault="00B15E81">
      <w:pPr>
        <w:widowControl/>
        <w:snapToGrid w:val="0"/>
        <w:spacing w:line="600" w:lineRule="atLeast"/>
        <w:ind w:firstLine="640"/>
        <w:rPr>
          <w:rFonts w:ascii="仿宋" w:eastAsia="仿宋" w:hAnsi="仿宋" w:cs="Arial"/>
          <w:kern w:val="0"/>
          <w:sz w:val="32"/>
          <w:szCs w:val="32"/>
        </w:rPr>
      </w:pPr>
      <w:r>
        <w:rPr>
          <w:rFonts w:ascii="仿宋" w:eastAsia="仿宋" w:hAnsi="仿宋" w:cs="仿宋" w:hint="eastAsia"/>
          <w:kern w:val="0"/>
          <w:sz w:val="32"/>
          <w:szCs w:val="32"/>
        </w:rPr>
        <w:t>无绩效自评表。</w:t>
      </w:r>
    </w:p>
    <w:p w:rsidR="005B6855" w:rsidRDefault="00B15E81">
      <w:pPr>
        <w:widowControl/>
        <w:numPr>
          <w:ilvl w:val="0"/>
          <w:numId w:val="1"/>
        </w:numPr>
        <w:snapToGrid w:val="0"/>
        <w:spacing w:line="600" w:lineRule="atLeast"/>
        <w:ind w:firstLine="640"/>
        <w:rPr>
          <w:rFonts w:ascii="仿宋" w:eastAsia="仿宋" w:hAnsi="仿宋" w:cs="Arial"/>
          <w:kern w:val="0"/>
          <w:sz w:val="32"/>
          <w:szCs w:val="32"/>
        </w:rPr>
      </w:pPr>
      <w:r>
        <w:rPr>
          <w:rStyle w:val="15"/>
          <w:rFonts w:ascii="仿宋" w:eastAsia="仿宋" w:hAnsi="仿宋" w:cs="仿宋" w:hint="eastAsia"/>
          <w:kern w:val="0"/>
          <w:sz w:val="32"/>
          <w:szCs w:val="32"/>
        </w:rPr>
        <w:t>财政评价项目绩效评价结果。</w:t>
      </w:r>
      <w:r>
        <w:rPr>
          <w:rFonts w:ascii="仿宋" w:eastAsia="仿宋" w:hAnsi="仿宋" w:cs="仿宋" w:hint="eastAsia"/>
          <w:kern w:val="0"/>
          <w:sz w:val="32"/>
          <w:szCs w:val="32"/>
        </w:rPr>
        <w:t>无</w:t>
      </w:r>
    </w:p>
    <w:p w:rsidR="005B6855" w:rsidRDefault="00B15E81">
      <w:pPr>
        <w:widowControl/>
        <w:numPr>
          <w:ilvl w:val="0"/>
          <w:numId w:val="1"/>
        </w:numPr>
        <w:snapToGrid w:val="0"/>
        <w:spacing w:line="600" w:lineRule="atLeast"/>
        <w:ind w:firstLine="640"/>
        <w:rPr>
          <w:rFonts w:ascii="仿宋" w:eastAsia="仿宋" w:hAnsi="仿宋" w:cs="Arial"/>
          <w:b/>
          <w:kern w:val="0"/>
          <w:sz w:val="32"/>
          <w:szCs w:val="32"/>
        </w:rPr>
      </w:pPr>
      <w:r>
        <w:rPr>
          <w:rStyle w:val="15"/>
          <w:rFonts w:ascii="仿宋" w:eastAsia="仿宋" w:hAnsi="仿宋" w:cs="仿宋" w:hint="eastAsia"/>
          <w:kern w:val="0"/>
          <w:sz w:val="32"/>
          <w:szCs w:val="32"/>
        </w:rPr>
        <w:t>部门评价项目绩效评价结果。</w:t>
      </w:r>
    </w:p>
    <w:p w:rsidR="005B6855" w:rsidRDefault="00B15E81">
      <w:pPr>
        <w:widowControl/>
        <w:numPr>
          <w:ilvl w:val="0"/>
          <w:numId w:val="2"/>
        </w:numPr>
        <w:autoSpaceDE w:val="0"/>
        <w:snapToGrid w:val="0"/>
        <w:spacing w:line="540" w:lineRule="exact"/>
        <w:ind w:firstLineChars="200" w:firstLine="640"/>
        <w:jc w:val="left"/>
        <w:rPr>
          <w:rFonts w:ascii="宋体" w:eastAsia="宋体" w:hAnsi="宋体" w:cs="宋体"/>
          <w:b/>
          <w:spacing w:val="11"/>
          <w:kern w:val="0"/>
          <w:sz w:val="28"/>
          <w:szCs w:val="28"/>
        </w:rPr>
      </w:pPr>
      <w:r>
        <w:rPr>
          <w:rFonts w:ascii="仿宋" w:eastAsia="仿宋" w:hAnsi="仿宋" w:cs="仿宋" w:hint="eastAsia"/>
          <w:kern w:val="0"/>
          <w:sz w:val="32"/>
          <w:szCs w:val="32"/>
        </w:rPr>
        <w:t>为进一步规范和加强财政项目资金管理，提高财政资金的使用效率，根据</w:t>
      </w:r>
      <w:proofErr w:type="gramStart"/>
      <w:r>
        <w:rPr>
          <w:rFonts w:ascii="仿宋" w:eastAsia="仿宋" w:hAnsi="仿宋" w:cs="仿宋" w:hint="eastAsia"/>
          <w:kern w:val="0"/>
          <w:sz w:val="32"/>
          <w:szCs w:val="32"/>
        </w:rPr>
        <w:t>温财监督</w:t>
      </w:r>
      <w:proofErr w:type="gramEnd"/>
      <w:r>
        <w:rPr>
          <w:rFonts w:ascii="仿宋" w:eastAsia="仿宋" w:hAnsi="仿宋" w:cs="仿宋" w:hint="eastAsia"/>
          <w:kern w:val="0"/>
          <w:sz w:val="32"/>
          <w:szCs w:val="32"/>
        </w:rPr>
        <w:t>【</w:t>
      </w:r>
      <w:r>
        <w:rPr>
          <w:rFonts w:ascii="仿宋" w:eastAsia="仿宋" w:hAnsi="仿宋" w:cs="Arial" w:hint="eastAsia"/>
          <w:kern w:val="0"/>
          <w:sz w:val="32"/>
          <w:szCs w:val="32"/>
        </w:rPr>
        <w:t>2020</w:t>
      </w:r>
      <w:r>
        <w:rPr>
          <w:rFonts w:ascii="仿宋" w:eastAsia="仿宋" w:hAnsi="仿宋" w:cs="仿宋" w:hint="eastAsia"/>
          <w:kern w:val="0"/>
          <w:sz w:val="32"/>
          <w:szCs w:val="32"/>
        </w:rPr>
        <w:t>】</w:t>
      </w:r>
      <w:r>
        <w:rPr>
          <w:rFonts w:ascii="仿宋" w:eastAsia="仿宋" w:hAnsi="仿宋" w:cs="Arial" w:hint="eastAsia"/>
          <w:kern w:val="0"/>
          <w:sz w:val="32"/>
          <w:szCs w:val="32"/>
        </w:rPr>
        <w:t>6</w:t>
      </w:r>
      <w:r>
        <w:rPr>
          <w:rFonts w:ascii="仿宋" w:eastAsia="仿宋" w:hAnsi="仿宋" w:cs="仿宋" w:hint="eastAsia"/>
          <w:kern w:val="0"/>
          <w:sz w:val="32"/>
          <w:szCs w:val="32"/>
        </w:rPr>
        <w:t>号《温岭市财政局关于开展</w:t>
      </w:r>
      <w:r>
        <w:rPr>
          <w:rFonts w:ascii="仿宋" w:eastAsia="仿宋" w:hAnsi="仿宋" w:cs="Arial" w:hint="eastAsia"/>
          <w:kern w:val="0"/>
          <w:sz w:val="32"/>
          <w:szCs w:val="32"/>
        </w:rPr>
        <w:t>2020</w:t>
      </w:r>
      <w:r>
        <w:rPr>
          <w:rFonts w:ascii="仿宋" w:eastAsia="仿宋" w:hAnsi="仿宋" w:cs="仿宋" w:hint="eastAsia"/>
          <w:kern w:val="0"/>
          <w:sz w:val="32"/>
          <w:szCs w:val="32"/>
        </w:rPr>
        <w:t>年度全市绩效自评工作的通知》精神，城北街道委托台州天</w:t>
      </w:r>
      <w:proofErr w:type="gramStart"/>
      <w:r>
        <w:rPr>
          <w:rFonts w:ascii="仿宋" w:eastAsia="仿宋" w:hAnsi="仿宋" w:cs="仿宋" w:hint="eastAsia"/>
          <w:kern w:val="0"/>
          <w:sz w:val="32"/>
          <w:szCs w:val="32"/>
        </w:rPr>
        <w:t>一</w:t>
      </w:r>
      <w:proofErr w:type="gramEnd"/>
      <w:r>
        <w:rPr>
          <w:rFonts w:ascii="仿宋" w:eastAsia="仿宋" w:hAnsi="仿宋" w:cs="仿宋" w:hint="eastAsia"/>
          <w:kern w:val="0"/>
          <w:sz w:val="32"/>
          <w:szCs w:val="32"/>
        </w:rPr>
        <w:t>会计事务所对</w:t>
      </w:r>
      <w:r>
        <w:rPr>
          <w:rFonts w:ascii="仿宋" w:eastAsia="仿宋" w:hAnsi="仿宋" w:cs="Arial" w:hint="eastAsia"/>
          <w:kern w:val="0"/>
          <w:sz w:val="32"/>
          <w:szCs w:val="32"/>
        </w:rPr>
        <w:t>2019</w:t>
      </w:r>
      <w:r>
        <w:rPr>
          <w:rFonts w:ascii="仿宋" w:eastAsia="仿宋" w:hAnsi="仿宋" w:cs="仿宋" w:hint="eastAsia"/>
          <w:kern w:val="0"/>
          <w:sz w:val="32"/>
          <w:szCs w:val="32"/>
        </w:rPr>
        <w:t>年温岭市人民政府城北街道办事处的财政运行综合绩效进行绩效评价。</w:t>
      </w:r>
      <w:proofErr w:type="gramStart"/>
      <w:r>
        <w:rPr>
          <w:rFonts w:ascii="仿宋" w:eastAsia="仿宋" w:hAnsi="仿宋" w:cs="仿宋" w:hint="eastAsia"/>
          <w:kern w:val="0"/>
          <w:sz w:val="32"/>
          <w:szCs w:val="32"/>
        </w:rPr>
        <w:t>评价组</w:t>
      </w:r>
      <w:proofErr w:type="gramEnd"/>
      <w:r>
        <w:rPr>
          <w:rFonts w:ascii="仿宋" w:eastAsia="仿宋" w:hAnsi="仿宋" w:cs="仿宋" w:hint="eastAsia"/>
          <w:kern w:val="0"/>
          <w:sz w:val="32"/>
          <w:szCs w:val="32"/>
        </w:rPr>
        <w:lastRenderedPageBreak/>
        <w:t>在全面了解项目有关情况的基础上，搜集相关资料，制定了绩效评价实施方案。在收集、汇总、整理、分析所取得的项目资料的基础上，</w:t>
      </w:r>
      <w:proofErr w:type="gramStart"/>
      <w:r>
        <w:rPr>
          <w:rFonts w:ascii="仿宋" w:eastAsia="仿宋" w:hAnsi="仿宋" w:cs="仿宋" w:hint="eastAsia"/>
          <w:kern w:val="0"/>
          <w:sz w:val="32"/>
          <w:szCs w:val="32"/>
        </w:rPr>
        <w:t>评价组对照</w:t>
      </w:r>
      <w:proofErr w:type="gramEnd"/>
      <w:r>
        <w:rPr>
          <w:rFonts w:ascii="仿宋" w:eastAsia="仿宋" w:hAnsi="仿宋" w:cs="仿宋" w:hint="eastAsia"/>
          <w:kern w:val="0"/>
          <w:sz w:val="32"/>
          <w:szCs w:val="32"/>
        </w:rPr>
        <w:t>评价指标和标准进行评议与打分，形成绩效评价报告，现将绩效评价情况报告如下：</w:t>
      </w:r>
      <w:r>
        <w:rPr>
          <w:rFonts w:ascii="宋体" w:eastAsia="宋体" w:hAnsi="宋体" w:cs="宋体" w:hint="eastAsia"/>
          <w:b/>
          <w:spacing w:val="11"/>
          <w:kern w:val="0"/>
          <w:sz w:val="28"/>
          <w:szCs w:val="28"/>
        </w:rPr>
        <w:t>单位概况</w:t>
      </w:r>
    </w:p>
    <w:p w:rsidR="005B6855" w:rsidRDefault="00B15E81">
      <w:pPr>
        <w:pStyle w:val="a6"/>
        <w:widowControl/>
        <w:autoSpaceDE w:val="0"/>
        <w:snapToGrid w:val="0"/>
        <w:spacing w:beforeLines="30" w:before="93" w:beforeAutospacing="0" w:afterAutospacing="0" w:line="540" w:lineRule="exact"/>
        <w:ind w:firstLineChars="200" w:firstLine="604"/>
        <w:rPr>
          <w:rFonts w:cs="宋体"/>
          <w:spacing w:val="11"/>
          <w:sz w:val="28"/>
          <w:szCs w:val="28"/>
        </w:rPr>
      </w:pPr>
      <w:r>
        <w:rPr>
          <w:rFonts w:cs="宋体" w:hint="eastAsia"/>
          <w:spacing w:val="11"/>
          <w:sz w:val="28"/>
          <w:szCs w:val="28"/>
        </w:rPr>
        <w:t>温岭市城北街道办事处，地处温岭市城区的北大门，地域总面积12.2平方公里，下辖16个行政村，1个居委会，户籍人口2万多人，外来人口5万多人。城北街道南接温岭市区、北靠泽国、东接新河、西连横峰，区位优势明显，交通便捷，大石一级公路、</w:t>
      </w:r>
      <w:proofErr w:type="gramStart"/>
      <w:r>
        <w:rPr>
          <w:rFonts w:cs="宋体" w:hint="eastAsia"/>
          <w:spacing w:val="11"/>
          <w:sz w:val="28"/>
          <w:szCs w:val="28"/>
        </w:rPr>
        <w:t>泽太一级公路</w:t>
      </w:r>
      <w:proofErr w:type="gramEnd"/>
      <w:r>
        <w:rPr>
          <w:rFonts w:cs="宋体" w:hint="eastAsia"/>
          <w:spacing w:val="11"/>
          <w:sz w:val="28"/>
          <w:szCs w:val="28"/>
        </w:rPr>
        <w:t>、</w:t>
      </w:r>
      <w:proofErr w:type="gramStart"/>
      <w:r>
        <w:rPr>
          <w:rFonts w:cs="宋体" w:hint="eastAsia"/>
          <w:spacing w:val="11"/>
          <w:sz w:val="28"/>
          <w:szCs w:val="28"/>
        </w:rPr>
        <w:t>省道泽坎线</w:t>
      </w:r>
      <w:proofErr w:type="gramEnd"/>
      <w:r>
        <w:rPr>
          <w:rFonts w:cs="宋体" w:hint="eastAsia"/>
          <w:spacing w:val="11"/>
          <w:sz w:val="28"/>
          <w:szCs w:val="28"/>
        </w:rPr>
        <w:t>穿境而过；街道辖区民营经济较为发达，支柱产业为鞋业，有“中国童鞋之乡、中国鞋类出口基地、浙江省运动鞋品牌基地”等称号，是远近闻名的商贸之城、鞋业之都。</w:t>
      </w:r>
    </w:p>
    <w:p w:rsidR="005B6855" w:rsidRDefault="00B15E81">
      <w:pPr>
        <w:pStyle w:val="a6"/>
        <w:autoSpaceDE w:val="0"/>
        <w:snapToGrid w:val="0"/>
        <w:spacing w:beforeLines="30" w:before="93" w:beforeAutospacing="0" w:afterAutospacing="0" w:line="540" w:lineRule="exact"/>
        <w:ind w:firstLineChars="200" w:firstLine="606"/>
        <w:rPr>
          <w:rFonts w:cs="宋体"/>
          <w:b/>
          <w:spacing w:val="11"/>
          <w:kern w:val="2"/>
          <w:sz w:val="28"/>
          <w:szCs w:val="28"/>
        </w:rPr>
      </w:pPr>
      <w:r>
        <w:rPr>
          <w:rFonts w:cs="宋体" w:hint="eastAsia"/>
          <w:b/>
          <w:spacing w:val="11"/>
          <w:kern w:val="2"/>
          <w:sz w:val="28"/>
          <w:szCs w:val="28"/>
        </w:rPr>
        <w:t>二、机构职能及组成</w:t>
      </w:r>
    </w:p>
    <w:p w:rsidR="005B6855" w:rsidRDefault="00B15E81">
      <w:pPr>
        <w:pStyle w:val="a6"/>
        <w:autoSpaceDE w:val="0"/>
        <w:snapToGrid w:val="0"/>
        <w:spacing w:beforeLines="30" w:before="93" w:beforeAutospacing="0" w:afterAutospacing="0" w:line="540" w:lineRule="exact"/>
        <w:ind w:firstLineChars="200" w:firstLine="606"/>
        <w:rPr>
          <w:rFonts w:cs="宋体"/>
          <w:b/>
          <w:spacing w:val="11"/>
          <w:kern w:val="2"/>
          <w:sz w:val="28"/>
          <w:szCs w:val="28"/>
        </w:rPr>
      </w:pPr>
      <w:r>
        <w:rPr>
          <w:rFonts w:cs="宋体" w:hint="eastAsia"/>
          <w:b/>
          <w:spacing w:val="11"/>
          <w:kern w:val="2"/>
          <w:sz w:val="28"/>
          <w:szCs w:val="28"/>
        </w:rPr>
        <w:t>（一）机构职能</w:t>
      </w:r>
    </w:p>
    <w:p w:rsidR="005B6855" w:rsidRDefault="00B15E81">
      <w:pPr>
        <w:autoSpaceDE w:val="0"/>
        <w:snapToGrid w:val="0"/>
        <w:spacing w:line="540" w:lineRule="exact"/>
        <w:ind w:firstLineChars="200" w:firstLine="604"/>
        <w:jc w:val="left"/>
        <w:rPr>
          <w:rFonts w:ascii="宋体" w:eastAsia="宋体" w:hAnsi="宋体" w:cs="宋体"/>
          <w:spacing w:val="11"/>
          <w:kern w:val="0"/>
          <w:sz w:val="28"/>
          <w:szCs w:val="28"/>
        </w:rPr>
      </w:pPr>
      <w:r>
        <w:rPr>
          <w:rFonts w:ascii="宋体" w:eastAsia="宋体" w:hAnsi="宋体" w:cs="宋体" w:hint="eastAsia"/>
          <w:spacing w:val="11"/>
          <w:kern w:val="0"/>
          <w:sz w:val="28"/>
          <w:szCs w:val="28"/>
        </w:rPr>
        <w:t>根据《中共浙江省委办公厅浙江省人民政府办公厅关于推进（镇）机构改革工作的意见》（浙委办[2006]56号）、《中共温岭市委温岭市人民政府关于印发&lt;温岭市镇（街道）机构改革方案&gt;的通知》（温市委发[2019]42号）制定中共城北街道工作委员会、城北街道办事处的主要职责：</w:t>
      </w:r>
    </w:p>
    <w:p w:rsidR="005B6855" w:rsidRDefault="00B15E81">
      <w:pPr>
        <w:autoSpaceDE w:val="0"/>
        <w:snapToGrid w:val="0"/>
        <w:spacing w:line="540" w:lineRule="exact"/>
        <w:ind w:firstLineChars="200" w:firstLine="604"/>
        <w:jc w:val="left"/>
        <w:rPr>
          <w:rFonts w:ascii="宋体" w:eastAsia="宋体" w:hAnsi="宋体" w:cs="宋体"/>
          <w:spacing w:val="11"/>
          <w:kern w:val="0"/>
          <w:sz w:val="28"/>
          <w:szCs w:val="28"/>
        </w:rPr>
      </w:pPr>
      <w:r>
        <w:rPr>
          <w:rFonts w:ascii="宋体" w:eastAsia="宋体" w:hAnsi="宋体" w:cs="宋体" w:hint="eastAsia"/>
          <w:spacing w:val="11"/>
          <w:kern w:val="0"/>
          <w:sz w:val="28"/>
          <w:szCs w:val="28"/>
        </w:rPr>
        <w:t>（1）加强党的建设。推进全面从严治党，落实基层党建工作责任制，严格抓好基层党组织建设各项制度，推进街道村（社区）党建与单位党建、行业党建、区域化党建互联互动，</w:t>
      </w:r>
      <w:proofErr w:type="gramStart"/>
      <w:r>
        <w:rPr>
          <w:rFonts w:ascii="宋体" w:eastAsia="宋体" w:hAnsi="宋体" w:cs="宋体" w:hint="eastAsia"/>
          <w:spacing w:val="11"/>
          <w:kern w:val="0"/>
          <w:sz w:val="28"/>
          <w:szCs w:val="28"/>
        </w:rPr>
        <w:t>统筹抓好</w:t>
      </w:r>
      <w:proofErr w:type="gramEnd"/>
      <w:r>
        <w:rPr>
          <w:rFonts w:ascii="宋体" w:eastAsia="宋体" w:hAnsi="宋体" w:cs="宋体" w:hint="eastAsia"/>
          <w:spacing w:val="11"/>
          <w:kern w:val="0"/>
          <w:sz w:val="28"/>
          <w:szCs w:val="28"/>
        </w:rPr>
        <w:t>辖区内新领域新业</w:t>
      </w:r>
      <w:proofErr w:type="gramStart"/>
      <w:r>
        <w:rPr>
          <w:rFonts w:ascii="宋体" w:eastAsia="宋体" w:hAnsi="宋体" w:cs="宋体" w:hint="eastAsia"/>
          <w:spacing w:val="11"/>
          <w:kern w:val="0"/>
          <w:sz w:val="28"/>
          <w:szCs w:val="28"/>
        </w:rPr>
        <w:t>态新群体党建</w:t>
      </w:r>
      <w:proofErr w:type="gramEnd"/>
      <w:r>
        <w:rPr>
          <w:rFonts w:ascii="宋体" w:eastAsia="宋体" w:hAnsi="宋体" w:cs="宋体" w:hint="eastAsia"/>
          <w:spacing w:val="11"/>
          <w:kern w:val="0"/>
          <w:sz w:val="28"/>
          <w:szCs w:val="28"/>
        </w:rPr>
        <w:t>工作。</w:t>
      </w:r>
    </w:p>
    <w:p w:rsidR="005B6855" w:rsidRDefault="00B15E81">
      <w:pPr>
        <w:autoSpaceDE w:val="0"/>
        <w:snapToGrid w:val="0"/>
        <w:spacing w:line="540" w:lineRule="exact"/>
        <w:ind w:firstLineChars="200" w:firstLine="604"/>
        <w:jc w:val="left"/>
        <w:rPr>
          <w:rFonts w:ascii="宋体" w:eastAsia="宋体" w:hAnsi="宋体" w:cs="宋体"/>
          <w:spacing w:val="11"/>
          <w:kern w:val="0"/>
          <w:sz w:val="28"/>
          <w:szCs w:val="28"/>
        </w:rPr>
      </w:pPr>
      <w:r>
        <w:rPr>
          <w:rFonts w:ascii="宋体" w:eastAsia="宋体" w:hAnsi="宋体" w:cs="宋体" w:hint="eastAsia"/>
          <w:spacing w:val="11"/>
          <w:kern w:val="0"/>
          <w:sz w:val="28"/>
          <w:szCs w:val="28"/>
        </w:rPr>
        <w:t>（2）推进区域发展。统筹落实区域发展的重大决策和建设</w:t>
      </w:r>
      <w:r>
        <w:rPr>
          <w:rFonts w:ascii="宋体" w:eastAsia="宋体" w:hAnsi="宋体" w:cs="宋体" w:hint="eastAsia"/>
          <w:spacing w:val="11"/>
          <w:kern w:val="0"/>
          <w:sz w:val="28"/>
          <w:szCs w:val="28"/>
        </w:rPr>
        <w:lastRenderedPageBreak/>
        <w:t>规划，参与辖区公共服务设施建设规划，配合做好城市有机更新，推动辖区健康有序可持续发展；服务“三农”发展，指导农村经济发展，推进农村经济结构调整，促进农民增收。</w:t>
      </w:r>
    </w:p>
    <w:p w:rsidR="005B6855" w:rsidRDefault="00B15E81">
      <w:pPr>
        <w:autoSpaceDE w:val="0"/>
        <w:snapToGrid w:val="0"/>
        <w:spacing w:line="540" w:lineRule="exact"/>
        <w:ind w:firstLineChars="200" w:firstLine="604"/>
        <w:jc w:val="left"/>
        <w:rPr>
          <w:rFonts w:ascii="宋体" w:eastAsia="宋体" w:hAnsi="宋体" w:cs="宋体"/>
          <w:spacing w:val="11"/>
          <w:kern w:val="0"/>
          <w:sz w:val="28"/>
          <w:szCs w:val="28"/>
        </w:rPr>
      </w:pPr>
      <w:r>
        <w:rPr>
          <w:rFonts w:ascii="宋体" w:eastAsia="宋体" w:hAnsi="宋体" w:cs="宋体" w:hint="eastAsia"/>
          <w:spacing w:val="11"/>
          <w:kern w:val="0"/>
          <w:sz w:val="28"/>
          <w:szCs w:val="28"/>
        </w:rPr>
        <w:t>（3）组织公共服务。组织实施与村（居）民生活密切相关的各项公共服务，落实人力社保、</w:t>
      </w:r>
      <w:proofErr w:type="gramStart"/>
      <w:r>
        <w:rPr>
          <w:rFonts w:ascii="宋体" w:eastAsia="宋体" w:hAnsi="宋体" w:cs="宋体" w:hint="eastAsia"/>
          <w:spacing w:val="11"/>
          <w:kern w:val="0"/>
          <w:sz w:val="28"/>
          <w:szCs w:val="28"/>
        </w:rPr>
        <w:t>医</w:t>
      </w:r>
      <w:proofErr w:type="gramEnd"/>
      <w:r>
        <w:rPr>
          <w:rFonts w:ascii="宋体" w:eastAsia="宋体" w:hAnsi="宋体" w:cs="宋体" w:hint="eastAsia"/>
          <w:spacing w:val="11"/>
          <w:kern w:val="0"/>
          <w:sz w:val="28"/>
          <w:szCs w:val="28"/>
        </w:rPr>
        <w:t>保、民政、教育、文化、体育、卫生健康等方面相关政策，均衡辖区内公共服务发展。推进“最多跑一次”改革，建立健全群众办事一次办结机制，优化便民服务质量。</w:t>
      </w:r>
    </w:p>
    <w:p w:rsidR="005B6855" w:rsidRDefault="00B15E81">
      <w:pPr>
        <w:autoSpaceDE w:val="0"/>
        <w:snapToGrid w:val="0"/>
        <w:spacing w:line="540" w:lineRule="exact"/>
        <w:ind w:firstLineChars="200" w:firstLine="604"/>
        <w:jc w:val="left"/>
        <w:rPr>
          <w:rFonts w:ascii="宋体" w:eastAsia="宋体" w:hAnsi="宋体" w:cs="宋体"/>
          <w:spacing w:val="11"/>
          <w:kern w:val="0"/>
          <w:sz w:val="28"/>
          <w:szCs w:val="28"/>
        </w:rPr>
      </w:pPr>
      <w:r>
        <w:rPr>
          <w:rFonts w:ascii="宋体" w:eastAsia="宋体" w:hAnsi="宋体" w:cs="宋体" w:hint="eastAsia"/>
          <w:spacing w:val="11"/>
          <w:kern w:val="0"/>
          <w:sz w:val="28"/>
          <w:szCs w:val="28"/>
        </w:rPr>
        <w:t>（4）实施综合管理。落实辖区内城市管理、人口管理、社会管理、生态环境保护等工作，承担组织领导、推进实施、综合协调等职责；落实辖区内相关行政事务常态化管理；依托“基层治理四平台”，统筹协调区域内相关力量，协助做好监督检查等事中事后监管工作；组织开展群众监督和社会监督。</w:t>
      </w:r>
    </w:p>
    <w:p w:rsidR="005B6855" w:rsidRDefault="00B15E81">
      <w:pPr>
        <w:autoSpaceDE w:val="0"/>
        <w:snapToGrid w:val="0"/>
        <w:spacing w:line="540" w:lineRule="exact"/>
        <w:ind w:firstLineChars="200" w:firstLine="604"/>
        <w:jc w:val="left"/>
        <w:rPr>
          <w:rFonts w:ascii="宋体" w:eastAsia="宋体" w:hAnsi="宋体" w:cs="宋体"/>
          <w:spacing w:val="11"/>
          <w:kern w:val="0"/>
          <w:sz w:val="28"/>
          <w:szCs w:val="28"/>
        </w:rPr>
      </w:pPr>
      <w:r>
        <w:rPr>
          <w:rFonts w:ascii="宋体" w:eastAsia="宋体" w:hAnsi="宋体" w:cs="宋体" w:hint="eastAsia"/>
          <w:spacing w:val="11"/>
          <w:kern w:val="0"/>
          <w:sz w:val="28"/>
          <w:szCs w:val="28"/>
        </w:rPr>
        <w:t>（5）加强基层执法。整合基层一线执法力量，充分发挥属地管理优势，强化对辖区范围内执法力量的统一指挥和统筹协调。</w:t>
      </w:r>
    </w:p>
    <w:p w:rsidR="005B6855" w:rsidRDefault="00B15E81">
      <w:pPr>
        <w:autoSpaceDE w:val="0"/>
        <w:snapToGrid w:val="0"/>
        <w:spacing w:line="540" w:lineRule="exact"/>
        <w:ind w:firstLineChars="200" w:firstLine="604"/>
        <w:jc w:val="left"/>
        <w:rPr>
          <w:rFonts w:ascii="宋体" w:eastAsia="宋体" w:hAnsi="宋体" w:cs="宋体"/>
          <w:spacing w:val="11"/>
          <w:kern w:val="0"/>
          <w:sz w:val="28"/>
          <w:szCs w:val="28"/>
        </w:rPr>
      </w:pPr>
      <w:r>
        <w:rPr>
          <w:rFonts w:ascii="宋体" w:eastAsia="宋体" w:hAnsi="宋体" w:cs="宋体" w:hint="eastAsia"/>
          <w:spacing w:val="11"/>
          <w:kern w:val="0"/>
          <w:sz w:val="28"/>
          <w:szCs w:val="28"/>
        </w:rPr>
        <w:t>（6）维护安全稳定。承担辖区平安建设、社会治安综合治理、公共安全及安全生产监管等相关工作，处理群众来信来访，反映社情民意，化解矛盾纠纷；做好应急防灾等相关工作。</w:t>
      </w:r>
    </w:p>
    <w:p w:rsidR="005B6855" w:rsidRDefault="00B15E81">
      <w:pPr>
        <w:autoSpaceDE w:val="0"/>
        <w:snapToGrid w:val="0"/>
        <w:spacing w:line="540" w:lineRule="exact"/>
        <w:ind w:firstLineChars="200" w:firstLine="604"/>
        <w:jc w:val="left"/>
        <w:rPr>
          <w:rFonts w:ascii="宋体" w:eastAsia="宋体" w:hAnsi="宋体" w:cs="宋体"/>
          <w:spacing w:val="11"/>
          <w:kern w:val="0"/>
          <w:sz w:val="28"/>
          <w:szCs w:val="28"/>
        </w:rPr>
      </w:pPr>
      <w:r>
        <w:rPr>
          <w:rFonts w:ascii="宋体" w:eastAsia="宋体" w:hAnsi="宋体" w:cs="宋体" w:hint="eastAsia"/>
          <w:spacing w:val="11"/>
          <w:kern w:val="0"/>
          <w:sz w:val="28"/>
          <w:szCs w:val="28"/>
        </w:rPr>
        <w:t>（7）动员社会参与。动员辖区内各类单位、社会组织和社区居民等社会力量参与社会治理，引导辖区单位履行社会责任，整合区域内各种社会力量为街道经济社会发展服务。</w:t>
      </w:r>
    </w:p>
    <w:p w:rsidR="005B6855" w:rsidRDefault="00B15E81">
      <w:pPr>
        <w:autoSpaceDE w:val="0"/>
        <w:snapToGrid w:val="0"/>
        <w:spacing w:line="540" w:lineRule="exact"/>
        <w:ind w:firstLineChars="200" w:firstLine="604"/>
        <w:jc w:val="left"/>
        <w:rPr>
          <w:rFonts w:ascii="宋体" w:eastAsia="宋体" w:hAnsi="宋体" w:cs="宋体"/>
          <w:spacing w:val="11"/>
          <w:kern w:val="0"/>
          <w:sz w:val="28"/>
          <w:szCs w:val="28"/>
        </w:rPr>
      </w:pPr>
      <w:r>
        <w:rPr>
          <w:rFonts w:ascii="宋体" w:eastAsia="宋体" w:hAnsi="宋体" w:cs="宋体" w:hint="eastAsia"/>
          <w:spacing w:val="11"/>
          <w:kern w:val="0"/>
          <w:sz w:val="28"/>
          <w:szCs w:val="28"/>
        </w:rPr>
        <w:t>（二）内设机构</w:t>
      </w:r>
    </w:p>
    <w:p w:rsidR="005B6855" w:rsidRDefault="00B15E81">
      <w:pPr>
        <w:autoSpaceDE w:val="0"/>
        <w:snapToGrid w:val="0"/>
        <w:spacing w:line="540" w:lineRule="exact"/>
        <w:ind w:firstLineChars="200" w:firstLine="604"/>
        <w:jc w:val="left"/>
        <w:rPr>
          <w:rFonts w:ascii="宋体" w:eastAsia="宋体" w:hAnsi="宋体" w:cs="宋体"/>
          <w:spacing w:val="11"/>
          <w:kern w:val="0"/>
          <w:sz w:val="28"/>
          <w:szCs w:val="28"/>
        </w:rPr>
      </w:pPr>
      <w:r>
        <w:rPr>
          <w:rFonts w:ascii="宋体" w:eastAsia="宋体" w:hAnsi="宋体" w:cs="宋体" w:hint="eastAsia"/>
          <w:spacing w:val="11"/>
          <w:kern w:val="0"/>
          <w:sz w:val="28"/>
          <w:szCs w:val="28"/>
        </w:rPr>
        <w:t>根据上述主要职责，中共城北街道工作委员会、城北街道办事处设6个内设机构。</w:t>
      </w:r>
    </w:p>
    <w:p w:rsidR="005B6855" w:rsidRDefault="00B15E81">
      <w:pPr>
        <w:autoSpaceDE w:val="0"/>
        <w:snapToGrid w:val="0"/>
        <w:spacing w:line="540" w:lineRule="exact"/>
        <w:ind w:firstLineChars="200" w:firstLine="604"/>
        <w:jc w:val="left"/>
        <w:rPr>
          <w:rFonts w:ascii="宋体" w:eastAsia="宋体" w:hAnsi="宋体" w:cs="宋体"/>
          <w:spacing w:val="11"/>
          <w:kern w:val="0"/>
          <w:sz w:val="28"/>
          <w:szCs w:val="28"/>
        </w:rPr>
      </w:pPr>
      <w:r>
        <w:rPr>
          <w:rFonts w:ascii="宋体" w:eastAsia="宋体" w:hAnsi="宋体" w:cs="宋体" w:hint="eastAsia"/>
          <w:spacing w:val="11"/>
          <w:kern w:val="0"/>
          <w:sz w:val="28"/>
          <w:szCs w:val="28"/>
        </w:rPr>
        <w:lastRenderedPageBreak/>
        <w:t>（1）党政综合办公室（挂人大办公室、财政财务管理办公室牌子）</w:t>
      </w:r>
    </w:p>
    <w:p w:rsidR="005B6855" w:rsidRDefault="00B15E81">
      <w:pPr>
        <w:autoSpaceDE w:val="0"/>
        <w:snapToGrid w:val="0"/>
        <w:spacing w:line="540" w:lineRule="exact"/>
        <w:ind w:firstLineChars="200" w:firstLine="604"/>
        <w:jc w:val="left"/>
        <w:rPr>
          <w:rFonts w:ascii="宋体" w:eastAsia="宋体" w:hAnsi="宋体" w:cs="宋体"/>
          <w:spacing w:val="11"/>
          <w:kern w:val="0"/>
          <w:sz w:val="28"/>
          <w:szCs w:val="28"/>
        </w:rPr>
      </w:pPr>
      <w:r>
        <w:rPr>
          <w:rFonts w:ascii="宋体" w:eastAsia="宋体" w:hAnsi="宋体" w:cs="宋体" w:hint="eastAsia"/>
          <w:spacing w:val="11"/>
          <w:kern w:val="0"/>
          <w:sz w:val="28"/>
          <w:szCs w:val="28"/>
        </w:rPr>
        <w:t>（2）党建工作办公室</w:t>
      </w:r>
    </w:p>
    <w:p w:rsidR="005B6855" w:rsidRDefault="00B15E81">
      <w:pPr>
        <w:autoSpaceDE w:val="0"/>
        <w:snapToGrid w:val="0"/>
        <w:spacing w:line="540" w:lineRule="exact"/>
        <w:ind w:firstLineChars="200" w:firstLine="604"/>
        <w:jc w:val="left"/>
        <w:rPr>
          <w:rFonts w:ascii="宋体" w:eastAsia="宋体" w:hAnsi="宋体" w:cs="宋体"/>
          <w:spacing w:val="11"/>
          <w:kern w:val="0"/>
          <w:sz w:val="28"/>
          <w:szCs w:val="28"/>
        </w:rPr>
      </w:pPr>
      <w:r>
        <w:rPr>
          <w:rFonts w:ascii="宋体" w:eastAsia="宋体" w:hAnsi="宋体" w:cs="宋体" w:hint="eastAsia"/>
          <w:spacing w:val="11"/>
          <w:kern w:val="0"/>
          <w:sz w:val="28"/>
          <w:szCs w:val="28"/>
        </w:rPr>
        <w:t>（3）社会事务服务管理办公室（</w:t>
      </w:r>
      <w:proofErr w:type="gramStart"/>
      <w:r>
        <w:rPr>
          <w:rFonts w:ascii="宋体" w:eastAsia="宋体" w:hAnsi="宋体" w:cs="宋体" w:hint="eastAsia"/>
          <w:spacing w:val="11"/>
          <w:kern w:val="0"/>
          <w:sz w:val="28"/>
          <w:szCs w:val="28"/>
        </w:rPr>
        <w:t>挂行政</w:t>
      </w:r>
      <w:proofErr w:type="gramEnd"/>
      <w:r>
        <w:rPr>
          <w:rFonts w:ascii="宋体" w:eastAsia="宋体" w:hAnsi="宋体" w:cs="宋体" w:hint="eastAsia"/>
          <w:spacing w:val="11"/>
          <w:kern w:val="0"/>
          <w:sz w:val="28"/>
          <w:szCs w:val="28"/>
        </w:rPr>
        <w:t>审批办公室牌子）</w:t>
      </w:r>
    </w:p>
    <w:p w:rsidR="005B6855" w:rsidRDefault="00B15E81">
      <w:pPr>
        <w:autoSpaceDE w:val="0"/>
        <w:snapToGrid w:val="0"/>
        <w:spacing w:line="540" w:lineRule="exact"/>
        <w:ind w:firstLineChars="200" w:firstLine="604"/>
        <w:jc w:val="left"/>
        <w:rPr>
          <w:rFonts w:ascii="宋体" w:eastAsia="宋体" w:hAnsi="宋体" w:cs="宋体"/>
          <w:spacing w:val="11"/>
          <w:kern w:val="0"/>
          <w:sz w:val="28"/>
          <w:szCs w:val="28"/>
        </w:rPr>
      </w:pPr>
      <w:r>
        <w:rPr>
          <w:rFonts w:ascii="宋体" w:eastAsia="宋体" w:hAnsi="宋体" w:cs="宋体" w:hint="eastAsia"/>
          <w:spacing w:val="11"/>
          <w:kern w:val="0"/>
          <w:sz w:val="28"/>
          <w:szCs w:val="28"/>
        </w:rPr>
        <w:t>（4）基层综合治理办公室(</w:t>
      </w:r>
      <w:proofErr w:type="gramStart"/>
      <w:r>
        <w:rPr>
          <w:rFonts w:ascii="宋体" w:eastAsia="宋体" w:hAnsi="宋体" w:cs="宋体" w:hint="eastAsia"/>
          <w:spacing w:val="11"/>
          <w:kern w:val="0"/>
          <w:sz w:val="28"/>
          <w:szCs w:val="28"/>
        </w:rPr>
        <w:t>挂综合</w:t>
      </w:r>
      <w:proofErr w:type="gramEnd"/>
      <w:r>
        <w:rPr>
          <w:rFonts w:ascii="宋体" w:eastAsia="宋体" w:hAnsi="宋体" w:cs="宋体" w:hint="eastAsia"/>
          <w:spacing w:val="11"/>
          <w:kern w:val="0"/>
          <w:sz w:val="28"/>
          <w:szCs w:val="28"/>
        </w:rPr>
        <w:t>信息指挥室、应急管理办公室牌子)</w:t>
      </w:r>
    </w:p>
    <w:p w:rsidR="005B6855" w:rsidRDefault="00B15E81">
      <w:pPr>
        <w:autoSpaceDE w:val="0"/>
        <w:snapToGrid w:val="0"/>
        <w:spacing w:line="540" w:lineRule="exact"/>
        <w:ind w:firstLineChars="200" w:firstLine="604"/>
        <w:jc w:val="left"/>
        <w:rPr>
          <w:rFonts w:ascii="宋体" w:eastAsia="宋体" w:hAnsi="宋体" w:cs="宋体"/>
          <w:spacing w:val="11"/>
          <w:kern w:val="0"/>
          <w:sz w:val="28"/>
          <w:szCs w:val="28"/>
        </w:rPr>
      </w:pPr>
      <w:r>
        <w:rPr>
          <w:rFonts w:ascii="宋体" w:eastAsia="宋体" w:hAnsi="宋体" w:cs="宋体" w:hint="eastAsia"/>
          <w:spacing w:val="11"/>
          <w:kern w:val="0"/>
          <w:sz w:val="28"/>
          <w:szCs w:val="28"/>
        </w:rPr>
        <w:t>（5）经济发展办公室</w:t>
      </w:r>
    </w:p>
    <w:p w:rsidR="005B6855" w:rsidRDefault="00B15E81">
      <w:pPr>
        <w:autoSpaceDE w:val="0"/>
        <w:snapToGrid w:val="0"/>
        <w:spacing w:line="540" w:lineRule="exact"/>
        <w:ind w:firstLineChars="200" w:firstLine="604"/>
        <w:jc w:val="left"/>
        <w:rPr>
          <w:rFonts w:ascii="宋体" w:eastAsia="宋体" w:hAnsi="宋体" w:cs="宋体"/>
          <w:spacing w:val="11"/>
          <w:kern w:val="0"/>
          <w:sz w:val="28"/>
          <w:szCs w:val="28"/>
        </w:rPr>
      </w:pPr>
      <w:r>
        <w:rPr>
          <w:rFonts w:ascii="宋体" w:eastAsia="宋体" w:hAnsi="宋体" w:cs="宋体" w:hint="eastAsia"/>
          <w:spacing w:val="11"/>
          <w:kern w:val="0"/>
          <w:sz w:val="28"/>
          <w:szCs w:val="28"/>
        </w:rPr>
        <w:t>（6）城市管理办公室（</w:t>
      </w:r>
      <w:proofErr w:type="gramStart"/>
      <w:r>
        <w:rPr>
          <w:rFonts w:ascii="宋体" w:eastAsia="宋体" w:hAnsi="宋体" w:cs="宋体" w:hint="eastAsia"/>
          <w:spacing w:val="11"/>
          <w:kern w:val="0"/>
          <w:sz w:val="28"/>
          <w:szCs w:val="28"/>
        </w:rPr>
        <w:t>挂综合</w:t>
      </w:r>
      <w:proofErr w:type="gramEnd"/>
      <w:r>
        <w:rPr>
          <w:rFonts w:ascii="宋体" w:eastAsia="宋体" w:hAnsi="宋体" w:cs="宋体" w:hint="eastAsia"/>
          <w:spacing w:val="11"/>
          <w:kern w:val="0"/>
          <w:sz w:val="28"/>
          <w:szCs w:val="28"/>
        </w:rPr>
        <w:t>行政执法办公室、生态环境办公室牌子）</w:t>
      </w:r>
    </w:p>
    <w:p w:rsidR="005B6855" w:rsidRDefault="00B15E81">
      <w:pPr>
        <w:autoSpaceDE w:val="0"/>
        <w:snapToGrid w:val="0"/>
        <w:spacing w:line="540" w:lineRule="exact"/>
        <w:ind w:firstLineChars="200" w:firstLine="604"/>
        <w:jc w:val="left"/>
        <w:rPr>
          <w:rFonts w:ascii="宋体" w:eastAsia="宋体" w:hAnsi="宋体" w:cs="宋体"/>
          <w:spacing w:val="11"/>
          <w:kern w:val="0"/>
          <w:sz w:val="28"/>
          <w:szCs w:val="28"/>
        </w:rPr>
      </w:pPr>
      <w:r>
        <w:rPr>
          <w:rFonts w:ascii="宋体" w:eastAsia="宋体" w:hAnsi="宋体" w:cs="宋体" w:hint="eastAsia"/>
          <w:spacing w:val="11"/>
          <w:kern w:val="0"/>
          <w:sz w:val="28"/>
          <w:szCs w:val="28"/>
        </w:rPr>
        <w:t>（三）事业机构设置</w:t>
      </w:r>
    </w:p>
    <w:p w:rsidR="005B6855" w:rsidRDefault="00B15E81">
      <w:pPr>
        <w:autoSpaceDE w:val="0"/>
        <w:snapToGrid w:val="0"/>
        <w:spacing w:line="540" w:lineRule="exact"/>
        <w:ind w:firstLineChars="200" w:firstLine="604"/>
        <w:jc w:val="left"/>
        <w:rPr>
          <w:rFonts w:ascii="宋体" w:eastAsia="宋体" w:hAnsi="宋体" w:cs="宋体"/>
          <w:spacing w:val="11"/>
          <w:kern w:val="0"/>
          <w:sz w:val="28"/>
          <w:szCs w:val="28"/>
        </w:rPr>
      </w:pPr>
      <w:r>
        <w:rPr>
          <w:rFonts w:ascii="宋体" w:eastAsia="宋体" w:hAnsi="宋体" w:cs="宋体" w:hint="eastAsia"/>
          <w:spacing w:val="11"/>
          <w:kern w:val="0"/>
          <w:sz w:val="28"/>
          <w:szCs w:val="28"/>
        </w:rPr>
        <w:t>（1）经济建设服务中心（</w:t>
      </w:r>
      <w:proofErr w:type="gramStart"/>
      <w:r>
        <w:rPr>
          <w:rFonts w:ascii="宋体" w:eastAsia="宋体" w:hAnsi="宋体" w:cs="宋体" w:hint="eastAsia"/>
          <w:spacing w:val="11"/>
          <w:kern w:val="0"/>
          <w:sz w:val="28"/>
          <w:szCs w:val="28"/>
        </w:rPr>
        <w:t>挂企业</w:t>
      </w:r>
      <w:proofErr w:type="gramEnd"/>
      <w:r>
        <w:rPr>
          <w:rFonts w:ascii="宋体" w:eastAsia="宋体" w:hAnsi="宋体" w:cs="宋体" w:hint="eastAsia"/>
          <w:spacing w:val="11"/>
          <w:kern w:val="0"/>
          <w:sz w:val="28"/>
          <w:szCs w:val="28"/>
        </w:rPr>
        <w:t>服务站、劳动保障所、统计中心牌子）。</w:t>
      </w:r>
    </w:p>
    <w:p w:rsidR="005B6855" w:rsidRDefault="00B15E81">
      <w:pPr>
        <w:autoSpaceDE w:val="0"/>
        <w:snapToGrid w:val="0"/>
        <w:spacing w:line="540" w:lineRule="exact"/>
        <w:ind w:firstLineChars="200" w:firstLine="604"/>
        <w:jc w:val="left"/>
        <w:rPr>
          <w:rFonts w:ascii="宋体" w:eastAsia="宋体" w:hAnsi="宋体" w:cs="宋体"/>
          <w:spacing w:val="11"/>
          <w:kern w:val="0"/>
          <w:sz w:val="28"/>
          <w:szCs w:val="28"/>
        </w:rPr>
      </w:pPr>
      <w:r>
        <w:rPr>
          <w:rFonts w:ascii="宋体" w:eastAsia="宋体" w:hAnsi="宋体" w:cs="宋体" w:hint="eastAsia"/>
          <w:spacing w:val="11"/>
          <w:kern w:val="0"/>
          <w:sz w:val="28"/>
          <w:szCs w:val="28"/>
        </w:rPr>
        <w:t>（2）农业综合服务中心。</w:t>
      </w:r>
    </w:p>
    <w:p w:rsidR="005B6855" w:rsidRDefault="00B15E81">
      <w:pPr>
        <w:autoSpaceDE w:val="0"/>
        <w:snapToGrid w:val="0"/>
        <w:spacing w:line="540" w:lineRule="exact"/>
        <w:ind w:firstLineChars="200" w:firstLine="604"/>
        <w:jc w:val="left"/>
        <w:rPr>
          <w:rFonts w:ascii="宋体" w:eastAsia="宋体" w:hAnsi="宋体" w:cs="宋体"/>
          <w:spacing w:val="11"/>
          <w:kern w:val="0"/>
          <w:sz w:val="28"/>
          <w:szCs w:val="28"/>
        </w:rPr>
      </w:pPr>
      <w:r>
        <w:rPr>
          <w:rFonts w:ascii="宋体" w:eastAsia="宋体" w:hAnsi="宋体" w:cs="宋体" w:hint="eastAsia"/>
          <w:spacing w:val="11"/>
          <w:kern w:val="0"/>
          <w:sz w:val="28"/>
          <w:szCs w:val="28"/>
        </w:rPr>
        <w:t>（3）社会事业服务中心（挂便民服务中心、退役军人服务站、民族宗教事物所、综合文化站、社会救助事务所牌子）。</w:t>
      </w:r>
    </w:p>
    <w:p w:rsidR="005B6855" w:rsidRDefault="00B15E81">
      <w:pPr>
        <w:autoSpaceDE w:val="0"/>
        <w:snapToGrid w:val="0"/>
        <w:spacing w:line="540" w:lineRule="exact"/>
        <w:ind w:firstLineChars="200" w:firstLine="604"/>
        <w:jc w:val="left"/>
        <w:rPr>
          <w:rFonts w:ascii="宋体" w:eastAsia="宋体" w:hAnsi="宋体" w:cs="宋体"/>
          <w:spacing w:val="11"/>
          <w:kern w:val="0"/>
          <w:sz w:val="28"/>
          <w:szCs w:val="28"/>
        </w:rPr>
      </w:pPr>
      <w:r>
        <w:rPr>
          <w:rFonts w:ascii="宋体" w:eastAsia="宋体" w:hAnsi="宋体" w:cs="宋体" w:hint="eastAsia"/>
          <w:spacing w:val="11"/>
          <w:kern w:val="0"/>
          <w:sz w:val="28"/>
          <w:szCs w:val="28"/>
        </w:rPr>
        <w:t>（四）人员结构</w:t>
      </w:r>
    </w:p>
    <w:p w:rsidR="005B6855" w:rsidRDefault="00B15E81">
      <w:pPr>
        <w:autoSpaceDE w:val="0"/>
        <w:snapToGrid w:val="0"/>
        <w:spacing w:line="540" w:lineRule="exact"/>
        <w:ind w:firstLineChars="200" w:firstLine="604"/>
        <w:jc w:val="left"/>
        <w:rPr>
          <w:rFonts w:ascii="宋体" w:eastAsia="宋体" w:hAnsi="宋体" w:cs="宋体"/>
          <w:spacing w:val="11"/>
          <w:kern w:val="0"/>
          <w:sz w:val="28"/>
          <w:szCs w:val="28"/>
        </w:rPr>
      </w:pPr>
      <w:r>
        <w:rPr>
          <w:rFonts w:ascii="宋体" w:eastAsia="宋体" w:hAnsi="宋体" w:cs="宋体" w:hint="eastAsia"/>
          <w:spacing w:val="11"/>
          <w:kern w:val="0"/>
          <w:sz w:val="28"/>
          <w:szCs w:val="28"/>
        </w:rPr>
        <w:t>核定城北街道机关行政编制25名，至2019年底城北街道机关行政编制实有人数23名。核定城北街道事业编制32名，至2019年底城北街道事业编制实有人数35名。</w:t>
      </w:r>
    </w:p>
    <w:p w:rsidR="005B6855" w:rsidRDefault="00B15E81">
      <w:pPr>
        <w:widowControl/>
        <w:autoSpaceDE w:val="0"/>
        <w:snapToGrid w:val="0"/>
        <w:spacing w:line="540" w:lineRule="exact"/>
        <w:ind w:firstLineChars="200" w:firstLine="606"/>
        <w:jc w:val="left"/>
        <w:rPr>
          <w:rFonts w:ascii="宋体" w:eastAsia="宋体" w:hAnsi="宋体" w:cs="宋体"/>
          <w:b/>
          <w:spacing w:val="11"/>
          <w:kern w:val="0"/>
          <w:sz w:val="28"/>
          <w:szCs w:val="28"/>
        </w:rPr>
      </w:pPr>
      <w:r>
        <w:rPr>
          <w:rFonts w:ascii="宋体" w:eastAsia="宋体" w:hAnsi="宋体" w:cs="宋体" w:hint="eastAsia"/>
          <w:b/>
          <w:spacing w:val="11"/>
          <w:kern w:val="0"/>
          <w:sz w:val="28"/>
          <w:szCs w:val="28"/>
        </w:rPr>
        <w:t>三、本年收入完成情况</w:t>
      </w:r>
    </w:p>
    <w:p w:rsidR="005B6855" w:rsidRDefault="00B15E81">
      <w:pPr>
        <w:autoSpaceDE w:val="0"/>
        <w:snapToGrid w:val="0"/>
        <w:spacing w:line="540" w:lineRule="exact"/>
        <w:ind w:firstLineChars="200" w:firstLine="604"/>
        <w:jc w:val="left"/>
        <w:rPr>
          <w:rFonts w:ascii="宋体" w:eastAsia="宋体" w:hAnsi="宋体" w:cs="宋体"/>
          <w:spacing w:val="11"/>
          <w:kern w:val="0"/>
          <w:sz w:val="28"/>
          <w:szCs w:val="28"/>
        </w:rPr>
      </w:pPr>
      <w:r>
        <w:rPr>
          <w:rFonts w:ascii="宋体" w:eastAsia="宋体" w:hAnsi="宋体" w:cs="宋体" w:hint="eastAsia"/>
          <w:spacing w:val="11"/>
          <w:kern w:val="0"/>
          <w:sz w:val="28"/>
          <w:szCs w:val="28"/>
        </w:rPr>
        <w:t>2019年城北街道预算收入指标数33383.25万元，本年实际收入预算执行数39745.22万元，本年收入预算执行119.10%。（具体详见表1）</w:t>
      </w:r>
    </w:p>
    <w:p w:rsidR="005B6855" w:rsidRDefault="00B15E81">
      <w:pPr>
        <w:autoSpaceDE w:val="0"/>
        <w:snapToGrid w:val="0"/>
        <w:spacing w:line="540" w:lineRule="exact"/>
        <w:ind w:firstLineChars="200" w:firstLine="604"/>
        <w:jc w:val="center"/>
        <w:rPr>
          <w:rFonts w:ascii="宋体" w:eastAsia="宋体" w:hAnsi="宋体" w:cs="宋体"/>
          <w:spacing w:val="11"/>
          <w:kern w:val="0"/>
          <w:sz w:val="28"/>
          <w:szCs w:val="28"/>
        </w:rPr>
      </w:pPr>
      <w:r>
        <w:rPr>
          <w:rFonts w:ascii="宋体" w:eastAsia="宋体" w:hAnsi="宋体" w:cs="宋体" w:hint="eastAsia"/>
          <w:spacing w:val="11"/>
          <w:kern w:val="0"/>
          <w:sz w:val="28"/>
          <w:szCs w:val="28"/>
        </w:rPr>
        <w:t>表1  2019年城北街道财政收入预算执行情况</w:t>
      </w:r>
    </w:p>
    <w:p w:rsidR="005B6855" w:rsidRDefault="00B15E81">
      <w:pPr>
        <w:autoSpaceDE w:val="0"/>
        <w:snapToGrid w:val="0"/>
        <w:spacing w:line="520" w:lineRule="exact"/>
        <w:ind w:firstLineChars="2400" w:firstLine="7248"/>
        <w:jc w:val="left"/>
        <w:rPr>
          <w:rFonts w:ascii="宋体" w:eastAsia="宋体" w:hAnsi="宋体" w:cs="宋体"/>
          <w:spacing w:val="11"/>
          <w:kern w:val="0"/>
          <w:sz w:val="28"/>
          <w:szCs w:val="28"/>
        </w:rPr>
      </w:pPr>
      <w:r>
        <w:rPr>
          <w:rFonts w:ascii="宋体" w:eastAsia="宋体" w:hAnsi="宋体" w:cs="宋体" w:hint="eastAsia"/>
          <w:spacing w:val="11"/>
          <w:kern w:val="0"/>
          <w:sz w:val="28"/>
          <w:szCs w:val="28"/>
        </w:rPr>
        <w:t>单位：万</w:t>
      </w:r>
      <w:r>
        <w:rPr>
          <w:rFonts w:ascii="宋体" w:eastAsia="宋体" w:hAnsi="宋体" w:cs="宋体" w:hint="eastAsia"/>
          <w:spacing w:val="11"/>
          <w:kern w:val="0"/>
          <w:sz w:val="28"/>
          <w:szCs w:val="28"/>
        </w:rPr>
        <w:lastRenderedPageBreak/>
        <w:t>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3345"/>
        <w:gridCol w:w="1358"/>
        <w:gridCol w:w="1233"/>
        <w:gridCol w:w="1950"/>
      </w:tblGrid>
      <w:tr w:rsidR="005B6855">
        <w:trPr>
          <w:trHeight w:val="39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B6855" w:rsidRDefault="00B15E81">
            <w:pPr>
              <w:pStyle w:val="a7"/>
              <w:widowControl/>
              <w:spacing w:beforeAutospacing="1"/>
              <w:jc w:val="center"/>
              <w:rPr>
                <w:rFonts w:cs="宋体" w:hint="default"/>
                <w:sz w:val="24"/>
                <w:szCs w:val="24"/>
              </w:rPr>
            </w:pPr>
            <w:r>
              <w:rPr>
                <w:sz w:val="24"/>
                <w:szCs w:val="24"/>
              </w:rPr>
              <w:t>序号</w:t>
            </w:r>
          </w:p>
        </w:tc>
        <w:tc>
          <w:tcPr>
            <w:tcW w:w="3345" w:type="dxa"/>
            <w:tcBorders>
              <w:top w:val="single" w:sz="4" w:space="0" w:color="auto"/>
              <w:left w:val="nil"/>
              <w:bottom w:val="single" w:sz="4" w:space="0" w:color="auto"/>
              <w:right w:val="single" w:sz="4" w:space="0" w:color="auto"/>
            </w:tcBorders>
            <w:shd w:val="clear" w:color="auto" w:fill="auto"/>
            <w:vAlign w:val="center"/>
          </w:tcPr>
          <w:p w:rsidR="005B6855" w:rsidRDefault="00B15E81">
            <w:pPr>
              <w:pStyle w:val="a7"/>
              <w:widowControl/>
              <w:spacing w:beforeAutospacing="1"/>
              <w:jc w:val="center"/>
              <w:rPr>
                <w:rFonts w:cs="宋体" w:hint="default"/>
                <w:sz w:val="24"/>
                <w:szCs w:val="24"/>
              </w:rPr>
            </w:pPr>
            <w:r>
              <w:rPr>
                <w:sz w:val="24"/>
                <w:szCs w:val="24"/>
              </w:rPr>
              <w:t>预算科目</w:t>
            </w:r>
          </w:p>
        </w:tc>
        <w:tc>
          <w:tcPr>
            <w:tcW w:w="1358" w:type="dxa"/>
            <w:tcBorders>
              <w:top w:val="single" w:sz="4" w:space="0" w:color="auto"/>
              <w:left w:val="nil"/>
              <w:bottom w:val="single" w:sz="4" w:space="0" w:color="auto"/>
              <w:right w:val="single" w:sz="4" w:space="0" w:color="auto"/>
            </w:tcBorders>
            <w:shd w:val="clear" w:color="auto" w:fill="auto"/>
            <w:vAlign w:val="center"/>
          </w:tcPr>
          <w:p w:rsidR="005B6855" w:rsidRDefault="00B15E81">
            <w:pPr>
              <w:pStyle w:val="a7"/>
              <w:widowControl/>
              <w:spacing w:beforeAutospacing="1"/>
              <w:jc w:val="center"/>
              <w:rPr>
                <w:rFonts w:hint="default"/>
                <w:sz w:val="24"/>
                <w:szCs w:val="24"/>
              </w:rPr>
            </w:pPr>
            <w:r>
              <w:rPr>
                <w:sz w:val="24"/>
                <w:szCs w:val="24"/>
              </w:rPr>
              <w:t>收入预算指标数</w:t>
            </w:r>
          </w:p>
        </w:tc>
        <w:tc>
          <w:tcPr>
            <w:tcW w:w="1233" w:type="dxa"/>
            <w:tcBorders>
              <w:top w:val="single" w:sz="4" w:space="0" w:color="auto"/>
              <w:left w:val="nil"/>
              <w:bottom w:val="single" w:sz="4" w:space="0" w:color="auto"/>
              <w:right w:val="single" w:sz="4" w:space="0" w:color="auto"/>
            </w:tcBorders>
            <w:shd w:val="clear" w:color="auto" w:fill="auto"/>
            <w:vAlign w:val="center"/>
          </w:tcPr>
          <w:p w:rsidR="005B6855" w:rsidRDefault="00B15E81">
            <w:pPr>
              <w:pStyle w:val="a7"/>
              <w:widowControl/>
              <w:spacing w:beforeAutospacing="1"/>
              <w:jc w:val="center"/>
              <w:rPr>
                <w:rFonts w:hint="default"/>
                <w:sz w:val="24"/>
                <w:szCs w:val="24"/>
              </w:rPr>
            </w:pPr>
            <w:r>
              <w:rPr>
                <w:sz w:val="24"/>
                <w:szCs w:val="24"/>
              </w:rPr>
              <w:t>收入预算执行数</w:t>
            </w:r>
          </w:p>
        </w:tc>
        <w:tc>
          <w:tcPr>
            <w:tcW w:w="1950" w:type="dxa"/>
            <w:tcBorders>
              <w:top w:val="single" w:sz="4" w:space="0" w:color="auto"/>
              <w:left w:val="nil"/>
              <w:bottom w:val="single" w:sz="4" w:space="0" w:color="auto"/>
              <w:right w:val="single" w:sz="4" w:space="0" w:color="auto"/>
            </w:tcBorders>
            <w:shd w:val="clear" w:color="auto" w:fill="auto"/>
            <w:vAlign w:val="center"/>
          </w:tcPr>
          <w:p w:rsidR="005B6855" w:rsidRDefault="00B15E81">
            <w:pPr>
              <w:pStyle w:val="a7"/>
              <w:widowControl/>
              <w:spacing w:beforeAutospacing="1"/>
              <w:jc w:val="center"/>
              <w:rPr>
                <w:rFonts w:hint="default"/>
                <w:sz w:val="24"/>
                <w:szCs w:val="24"/>
              </w:rPr>
            </w:pPr>
            <w:r>
              <w:rPr>
                <w:sz w:val="24"/>
                <w:szCs w:val="24"/>
              </w:rPr>
              <w:t>收入预算执行率</w:t>
            </w:r>
          </w:p>
        </w:tc>
      </w:tr>
      <w:tr w:rsidR="005B6855">
        <w:trPr>
          <w:trHeight w:val="39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B6855" w:rsidRDefault="00B15E81">
            <w:pPr>
              <w:pStyle w:val="a7"/>
              <w:widowControl/>
              <w:spacing w:beforeAutospacing="1"/>
              <w:jc w:val="center"/>
              <w:rPr>
                <w:rFonts w:cs="宋体" w:hint="default"/>
                <w:sz w:val="24"/>
                <w:szCs w:val="24"/>
              </w:rPr>
            </w:pPr>
            <w:r>
              <w:rPr>
                <w:sz w:val="24"/>
                <w:szCs w:val="24"/>
              </w:rPr>
              <w:t>1</w:t>
            </w:r>
          </w:p>
        </w:tc>
        <w:tc>
          <w:tcPr>
            <w:tcW w:w="3345" w:type="dxa"/>
            <w:tcBorders>
              <w:top w:val="single" w:sz="4" w:space="0" w:color="auto"/>
              <w:left w:val="nil"/>
              <w:bottom w:val="single" w:sz="4" w:space="0" w:color="auto"/>
              <w:right w:val="single" w:sz="4" w:space="0" w:color="auto"/>
            </w:tcBorders>
            <w:shd w:val="clear" w:color="auto" w:fill="auto"/>
            <w:vAlign w:val="center"/>
          </w:tcPr>
          <w:p w:rsidR="005B6855" w:rsidRDefault="00B15E81">
            <w:pPr>
              <w:pStyle w:val="a7"/>
              <w:widowControl/>
              <w:spacing w:beforeAutospacing="1"/>
              <w:jc w:val="left"/>
              <w:rPr>
                <w:rFonts w:hint="default"/>
                <w:sz w:val="24"/>
                <w:szCs w:val="24"/>
              </w:rPr>
            </w:pPr>
            <w:r>
              <w:rPr>
                <w:sz w:val="24"/>
                <w:szCs w:val="24"/>
              </w:rPr>
              <w:t>一般公共预算拨款收入</w:t>
            </w:r>
          </w:p>
        </w:tc>
        <w:tc>
          <w:tcPr>
            <w:tcW w:w="1358" w:type="dxa"/>
            <w:tcBorders>
              <w:top w:val="single" w:sz="4" w:space="0" w:color="auto"/>
              <w:left w:val="nil"/>
              <w:bottom w:val="single" w:sz="4" w:space="0" w:color="auto"/>
              <w:right w:val="single" w:sz="4" w:space="0" w:color="auto"/>
            </w:tcBorders>
            <w:shd w:val="clear" w:color="auto" w:fill="auto"/>
            <w:vAlign w:val="bottom"/>
          </w:tcPr>
          <w:p w:rsidR="005B6855" w:rsidRDefault="00B15E81">
            <w:pPr>
              <w:pStyle w:val="a7"/>
              <w:widowControl/>
              <w:spacing w:beforeAutospacing="1"/>
              <w:rPr>
                <w:rFonts w:hint="default"/>
                <w:sz w:val="24"/>
                <w:szCs w:val="24"/>
              </w:rPr>
            </w:pPr>
            <w:r>
              <w:rPr>
                <w:sz w:val="24"/>
                <w:szCs w:val="24"/>
              </w:rPr>
              <w:t>3785.19</w:t>
            </w:r>
          </w:p>
        </w:tc>
        <w:tc>
          <w:tcPr>
            <w:tcW w:w="1233" w:type="dxa"/>
            <w:tcBorders>
              <w:top w:val="single" w:sz="4" w:space="0" w:color="auto"/>
              <w:left w:val="nil"/>
              <w:bottom w:val="single" w:sz="4" w:space="0" w:color="auto"/>
              <w:right w:val="single" w:sz="4" w:space="0" w:color="auto"/>
            </w:tcBorders>
            <w:shd w:val="clear" w:color="auto" w:fill="auto"/>
            <w:vAlign w:val="bottom"/>
          </w:tcPr>
          <w:p w:rsidR="005B6855" w:rsidRDefault="00B15E81">
            <w:pPr>
              <w:pStyle w:val="a7"/>
              <w:widowControl/>
              <w:spacing w:beforeAutospacing="1"/>
              <w:rPr>
                <w:rFonts w:hint="default"/>
                <w:sz w:val="24"/>
                <w:szCs w:val="24"/>
              </w:rPr>
            </w:pPr>
            <w:r>
              <w:rPr>
                <w:sz w:val="24"/>
                <w:szCs w:val="24"/>
              </w:rPr>
              <w:t>2944.39</w:t>
            </w:r>
          </w:p>
        </w:tc>
        <w:tc>
          <w:tcPr>
            <w:tcW w:w="1950" w:type="dxa"/>
            <w:tcBorders>
              <w:top w:val="single" w:sz="4" w:space="0" w:color="auto"/>
              <w:left w:val="nil"/>
              <w:bottom w:val="single" w:sz="4" w:space="0" w:color="auto"/>
              <w:right w:val="single" w:sz="4" w:space="0" w:color="auto"/>
            </w:tcBorders>
            <w:shd w:val="clear" w:color="auto" w:fill="auto"/>
            <w:vAlign w:val="bottom"/>
          </w:tcPr>
          <w:p w:rsidR="005B6855" w:rsidRDefault="00B15E81">
            <w:pPr>
              <w:pStyle w:val="a7"/>
              <w:widowControl/>
              <w:spacing w:beforeAutospacing="1"/>
              <w:rPr>
                <w:rFonts w:hint="default"/>
                <w:sz w:val="24"/>
                <w:szCs w:val="24"/>
              </w:rPr>
            </w:pPr>
            <w:r>
              <w:rPr>
                <w:sz w:val="24"/>
                <w:szCs w:val="24"/>
              </w:rPr>
              <w:t>77.80%</w:t>
            </w:r>
          </w:p>
        </w:tc>
      </w:tr>
      <w:tr w:rsidR="005B6855">
        <w:trPr>
          <w:trHeight w:val="39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B6855" w:rsidRDefault="00B15E81">
            <w:pPr>
              <w:pStyle w:val="a7"/>
              <w:widowControl/>
              <w:spacing w:beforeAutospacing="1"/>
              <w:jc w:val="center"/>
              <w:rPr>
                <w:rFonts w:cs="宋体" w:hint="default"/>
                <w:sz w:val="24"/>
                <w:szCs w:val="24"/>
              </w:rPr>
            </w:pPr>
            <w:r>
              <w:rPr>
                <w:sz w:val="24"/>
                <w:szCs w:val="24"/>
              </w:rPr>
              <w:t>2</w:t>
            </w:r>
          </w:p>
        </w:tc>
        <w:tc>
          <w:tcPr>
            <w:tcW w:w="3345" w:type="dxa"/>
            <w:tcBorders>
              <w:top w:val="single" w:sz="4" w:space="0" w:color="auto"/>
              <w:left w:val="nil"/>
              <w:bottom w:val="single" w:sz="4" w:space="0" w:color="auto"/>
              <w:right w:val="single" w:sz="4" w:space="0" w:color="auto"/>
            </w:tcBorders>
            <w:shd w:val="clear" w:color="auto" w:fill="auto"/>
            <w:vAlign w:val="center"/>
          </w:tcPr>
          <w:p w:rsidR="005B6855" w:rsidRDefault="00B15E81">
            <w:pPr>
              <w:pStyle w:val="a7"/>
              <w:widowControl/>
              <w:spacing w:beforeAutospacing="1"/>
              <w:jc w:val="left"/>
              <w:rPr>
                <w:rFonts w:hint="default"/>
                <w:sz w:val="24"/>
                <w:szCs w:val="24"/>
              </w:rPr>
            </w:pPr>
            <w:r>
              <w:rPr>
                <w:sz w:val="24"/>
                <w:szCs w:val="24"/>
              </w:rPr>
              <w:t>省(财政)补助收入</w:t>
            </w:r>
          </w:p>
        </w:tc>
        <w:tc>
          <w:tcPr>
            <w:tcW w:w="1358" w:type="dxa"/>
            <w:tcBorders>
              <w:top w:val="single" w:sz="4" w:space="0" w:color="auto"/>
              <w:left w:val="nil"/>
              <w:bottom w:val="single" w:sz="4" w:space="0" w:color="auto"/>
              <w:right w:val="single" w:sz="4" w:space="0" w:color="auto"/>
            </w:tcBorders>
            <w:shd w:val="clear" w:color="auto" w:fill="auto"/>
            <w:vAlign w:val="bottom"/>
          </w:tcPr>
          <w:p w:rsidR="005B6855" w:rsidRDefault="005B6855">
            <w:pPr>
              <w:pStyle w:val="a7"/>
              <w:widowControl/>
              <w:spacing w:beforeAutospacing="1"/>
              <w:rPr>
                <w:rFonts w:hint="default"/>
                <w:sz w:val="24"/>
                <w:szCs w:val="24"/>
              </w:rPr>
            </w:pPr>
          </w:p>
        </w:tc>
        <w:tc>
          <w:tcPr>
            <w:tcW w:w="1233" w:type="dxa"/>
            <w:tcBorders>
              <w:top w:val="single" w:sz="4" w:space="0" w:color="auto"/>
              <w:left w:val="nil"/>
              <w:bottom w:val="single" w:sz="4" w:space="0" w:color="auto"/>
              <w:right w:val="single" w:sz="4" w:space="0" w:color="auto"/>
            </w:tcBorders>
            <w:shd w:val="clear" w:color="auto" w:fill="auto"/>
            <w:vAlign w:val="bottom"/>
          </w:tcPr>
          <w:p w:rsidR="005B6855" w:rsidRDefault="005B6855">
            <w:pPr>
              <w:pStyle w:val="a7"/>
              <w:widowControl/>
              <w:spacing w:beforeAutospacing="1"/>
              <w:rPr>
                <w:rFonts w:hint="default"/>
                <w:sz w:val="24"/>
                <w:szCs w:val="24"/>
              </w:rPr>
            </w:pPr>
          </w:p>
        </w:tc>
        <w:tc>
          <w:tcPr>
            <w:tcW w:w="1950" w:type="dxa"/>
            <w:tcBorders>
              <w:top w:val="single" w:sz="4" w:space="0" w:color="auto"/>
              <w:left w:val="nil"/>
              <w:bottom w:val="single" w:sz="4" w:space="0" w:color="auto"/>
              <w:right w:val="single" w:sz="4" w:space="0" w:color="auto"/>
            </w:tcBorders>
            <w:shd w:val="clear" w:color="auto" w:fill="auto"/>
            <w:vAlign w:val="bottom"/>
          </w:tcPr>
          <w:p w:rsidR="005B6855" w:rsidRDefault="005B6855">
            <w:pPr>
              <w:pStyle w:val="a7"/>
              <w:widowControl/>
              <w:spacing w:beforeAutospacing="1"/>
              <w:rPr>
                <w:rFonts w:hint="default"/>
                <w:sz w:val="24"/>
                <w:szCs w:val="24"/>
              </w:rPr>
            </w:pPr>
          </w:p>
        </w:tc>
      </w:tr>
      <w:tr w:rsidR="005B6855">
        <w:trPr>
          <w:trHeight w:val="39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B6855" w:rsidRDefault="00B15E81">
            <w:pPr>
              <w:pStyle w:val="a7"/>
              <w:widowControl/>
              <w:spacing w:beforeAutospacing="1"/>
              <w:jc w:val="center"/>
              <w:rPr>
                <w:rFonts w:cs="宋体" w:hint="default"/>
                <w:sz w:val="24"/>
                <w:szCs w:val="24"/>
              </w:rPr>
            </w:pPr>
            <w:r>
              <w:rPr>
                <w:sz w:val="24"/>
                <w:szCs w:val="24"/>
              </w:rPr>
              <w:t>3</w:t>
            </w:r>
          </w:p>
        </w:tc>
        <w:tc>
          <w:tcPr>
            <w:tcW w:w="3345" w:type="dxa"/>
            <w:tcBorders>
              <w:top w:val="single" w:sz="4" w:space="0" w:color="auto"/>
              <w:left w:val="nil"/>
              <w:bottom w:val="single" w:sz="4" w:space="0" w:color="auto"/>
              <w:right w:val="single" w:sz="4" w:space="0" w:color="auto"/>
            </w:tcBorders>
            <w:shd w:val="clear" w:color="auto" w:fill="auto"/>
            <w:vAlign w:val="center"/>
          </w:tcPr>
          <w:p w:rsidR="005B6855" w:rsidRDefault="00B15E81">
            <w:pPr>
              <w:pStyle w:val="a7"/>
              <w:widowControl/>
              <w:spacing w:beforeAutospacing="1"/>
              <w:jc w:val="left"/>
              <w:rPr>
                <w:rFonts w:hint="default"/>
                <w:sz w:val="24"/>
                <w:szCs w:val="24"/>
              </w:rPr>
            </w:pPr>
            <w:r>
              <w:rPr>
                <w:sz w:val="24"/>
                <w:szCs w:val="24"/>
              </w:rPr>
              <w:t>政府性基金拨款收入</w:t>
            </w:r>
          </w:p>
        </w:tc>
        <w:tc>
          <w:tcPr>
            <w:tcW w:w="1358" w:type="dxa"/>
            <w:tcBorders>
              <w:top w:val="single" w:sz="4" w:space="0" w:color="auto"/>
              <w:left w:val="nil"/>
              <w:bottom w:val="single" w:sz="4" w:space="0" w:color="auto"/>
              <w:right w:val="single" w:sz="4" w:space="0" w:color="auto"/>
            </w:tcBorders>
            <w:shd w:val="clear" w:color="auto" w:fill="auto"/>
            <w:vAlign w:val="bottom"/>
          </w:tcPr>
          <w:p w:rsidR="005B6855" w:rsidRDefault="00B15E81">
            <w:pPr>
              <w:pStyle w:val="a7"/>
              <w:widowControl/>
              <w:spacing w:beforeAutospacing="1"/>
              <w:rPr>
                <w:rFonts w:hint="default"/>
                <w:sz w:val="24"/>
                <w:szCs w:val="24"/>
              </w:rPr>
            </w:pPr>
            <w:r>
              <w:rPr>
                <w:sz w:val="24"/>
                <w:szCs w:val="24"/>
              </w:rPr>
              <w:t>21292.51</w:t>
            </w:r>
          </w:p>
        </w:tc>
        <w:tc>
          <w:tcPr>
            <w:tcW w:w="1233" w:type="dxa"/>
            <w:tcBorders>
              <w:top w:val="single" w:sz="4" w:space="0" w:color="auto"/>
              <w:left w:val="nil"/>
              <w:bottom w:val="single" w:sz="4" w:space="0" w:color="auto"/>
              <w:right w:val="single" w:sz="4" w:space="0" w:color="auto"/>
            </w:tcBorders>
            <w:shd w:val="clear" w:color="auto" w:fill="auto"/>
            <w:vAlign w:val="bottom"/>
          </w:tcPr>
          <w:p w:rsidR="005B6855" w:rsidRDefault="00B15E81">
            <w:pPr>
              <w:pStyle w:val="a7"/>
              <w:widowControl/>
              <w:spacing w:beforeAutospacing="1"/>
              <w:rPr>
                <w:rFonts w:hint="default"/>
                <w:sz w:val="24"/>
                <w:szCs w:val="24"/>
              </w:rPr>
            </w:pPr>
            <w:r>
              <w:rPr>
                <w:sz w:val="24"/>
                <w:szCs w:val="24"/>
              </w:rPr>
              <w:t>14102.58</w:t>
            </w:r>
          </w:p>
        </w:tc>
        <w:tc>
          <w:tcPr>
            <w:tcW w:w="1950" w:type="dxa"/>
            <w:tcBorders>
              <w:top w:val="single" w:sz="4" w:space="0" w:color="auto"/>
              <w:left w:val="nil"/>
              <w:bottom w:val="single" w:sz="4" w:space="0" w:color="auto"/>
              <w:right w:val="single" w:sz="4" w:space="0" w:color="auto"/>
            </w:tcBorders>
            <w:shd w:val="clear" w:color="auto" w:fill="auto"/>
            <w:vAlign w:val="bottom"/>
          </w:tcPr>
          <w:p w:rsidR="005B6855" w:rsidRDefault="00B15E81">
            <w:pPr>
              <w:pStyle w:val="a7"/>
              <w:widowControl/>
              <w:spacing w:beforeAutospacing="1"/>
              <w:rPr>
                <w:rFonts w:hint="default"/>
                <w:sz w:val="24"/>
                <w:szCs w:val="24"/>
              </w:rPr>
            </w:pPr>
            <w:r>
              <w:rPr>
                <w:sz w:val="24"/>
                <w:szCs w:val="24"/>
              </w:rPr>
              <w:t>66.20%</w:t>
            </w:r>
          </w:p>
        </w:tc>
      </w:tr>
      <w:tr w:rsidR="005B6855">
        <w:trPr>
          <w:trHeight w:val="39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B6855" w:rsidRDefault="00B15E81">
            <w:pPr>
              <w:pStyle w:val="a7"/>
              <w:widowControl/>
              <w:spacing w:beforeAutospacing="1"/>
              <w:jc w:val="center"/>
              <w:rPr>
                <w:rFonts w:cs="宋体" w:hint="default"/>
                <w:sz w:val="24"/>
                <w:szCs w:val="24"/>
              </w:rPr>
            </w:pPr>
            <w:r>
              <w:rPr>
                <w:sz w:val="24"/>
                <w:szCs w:val="24"/>
              </w:rPr>
              <w:t>4</w:t>
            </w:r>
          </w:p>
        </w:tc>
        <w:tc>
          <w:tcPr>
            <w:tcW w:w="3345" w:type="dxa"/>
            <w:tcBorders>
              <w:top w:val="single" w:sz="4" w:space="0" w:color="auto"/>
              <w:left w:val="nil"/>
              <w:bottom w:val="single" w:sz="4" w:space="0" w:color="auto"/>
              <w:right w:val="single" w:sz="4" w:space="0" w:color="auto"/>
            </w:tcBorders>
            <w:shd w:val="clear" w:color="auto" w:fill="auto"/>
            <w:vAlign w:val="center"/>
          </w:tcPr>
          <w:p w:rsidR="005B6855" w:rsidRDefault="00B15E81">
            <w:pPr>
              <w:pStyle w:val="a7"/>
              <w:widowControl/>
              <w:spacing w:beforeAutospacing="1"/>
              <w:jc w:val="left"/>
              <w:rPr>
                <w:rFonts w:hint="default"/>
                <w:sz w:val="24"/>
                <w:szCs w:val="24"/>
              </w:rPr>
            </w:pPr>
            <w:r>
              <w:rPr>
                <w:sz w:val="24"/>
                <w:szCs w:val="24"/>
              </w:rPr>
              <w:t>专户收入</w:t>
            </w:r>
          </w:p>
        </w:tc>
        <w:tc>
          <w:tcPr>
            <w:tcW w:w="1358" w:type="dxa"/>
            <w:tcBorders>
              <w:top w:val="single" w:sz="4" w:space="0" w:color="auto"/>
              <w:left w:val="nil"/>
              <w:bottom w:val="single" w:sz="4" w:space="0" w:color="auto"/>
              <w:right w:val="single" w:sz="4" w:space="0" w:color="auto"/>
            </w:tcBorders>
            <w:shd w:val="clear" w:color="auto" w:fill="auto"/>
            <w:vAlign w:val="bottom"/>
          </w:tcPr>
          <w:p w:rsidR="005B6855" w:rsidRDefault="005B6855">
            <w:pPr>
              <w:pStyle w:val="a7"/>
              <w:widowControl/>
              <w:spacing w:beforeAutospacing="1"/>
              <w:rPr>
                <w:rFonts w:hint="default"/>
                <w:sz w:val="24"/>
                <w:szCs w:val="24"/>
              </w:rPr>
            </w:pPr>
          </w:p>
        </w:tc>
        <w:tc>
          <w:tcPr>
            <w:tcW w:w="1233" w:type="dxa"/>
            <w:tcBorders>
              <w:top w:val="single" w:sz="4" w:space="0" w:color="auto"/>
              <w:left w:val="nil"/>
              <w:bottom w:val="single" w:sz="4" w:space="0" w:color="auto"/>
              <w:right w:val="single" w:sz="4" w:space="0" w:color="auto"/>
            </w:tcBorders>
            <w:shd w:val="clear" w:color="auto" w:fill="auto"/>
            <w:vAlign w:val="bottom"/>
          </w:tcPr>
          <w:p w:rsidR="005B6855" w:rsidRDefault="005B6855">
            <w:pPr>
              <w:pStyle w:val="a7"/>
              <w:widowControl/>
              <w:spacing w:beforeAutospacing="1"/>
              <w:rPr>
                <w:rFonts w:hint="default"/>
                <w:sz w:val="24"/>
                <w:szCs w:val="24"/>
              </w:rPr>
            </w:pPr>
          </w:p>
        </w:tc>
        <w:tc>
          <w:tcPr>
            <w:tcW w:w="1950" w:type="dxa"/>
            <w:tcBorders>
              <w:top w:val="single" w:sz="4" w:space="0" w:color="auto"/>
              <w:left w:val="nil"/>
              <w:bottom w:val="single" w:sz="4" w:space="0" w:color="auto"/>
              <w:right w:val="single" w:sz="4" w:space="0" w:color="auto"/>
            </w:tcBorders>
            <w:shd w:val="clear" w:color="auto" w:fill="auto"/>
            <w:vAlign w:val="bottom"/>
          </w:tcPr>
          <w:p w:rsidR="005B6855" w:rsidRDefault="005B6855">
            <w:pPr>
              <w:pStyle w:val="a7"/>
              <w:widowControl/>
              <w:spacing w:beforeAutospacing="1"/>
              <w:rPr>
                <w:rFonts w:hint="default"/>
                <w:sz w:val="24"/>
                <w:szCs w:val="24"/>
              </w:rPr>
            </w:pPr>
          </w:p>
        </w:tc>
      </w:tr>
      <w:tr w:rsidR="005B6855">
        <w:trPr>
          <w:trHeight w:val="39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B6855" w:rsidRDefault="00B15E81">
            <w:pPr>
              <w:pStyle w:val="a7"/>
              <w:widowControl/>
              <w:spacing w:beforeAutospacing="1"/>
              <w:jc w:val="center"/>
              <w:rPr>
                <w:rFonts w:cs="宋体" w:hint="default"/>
                <w:sz w:val="24"/>
                <w:szCs w:val="24"/>
              </w:rPr>
            </w:pPr>
            <w:r>
              <w:rPr>
                <w:sz w:val="24"/>
                <w:szCs w:val="24"/>
              </w:rPr>
              <w:t>5</w:t>
            </w:r>
          </w:p>
        </w:tc>
        <w:tc>
          <w:tcPr>
            <w:tcW w:w="3345" w:type="dxa"/>
            <w:tcBorders>
              <w:top w:val="single" w:sz="4" w:space="0" w:color="auto"/>
              <w:left w:val="nil"/>
              <w:bottom w:val="single" w:sz="4" w:space="0" w:color="auto"/>
              <w:right w:val="single" w:sz="4" w:space="0" w:color="auto"/>
            </w:tcBorders>
            <w:shd w:val="clear" w:color="auto" w:fill="auto"/>
            <w:vAlign w:val="center"/>
          </w:tcPr>
          <w:p w:rsidR="005B6855" w:rsidRDefault="00B15E81">
            <w:pPr>
              <w:pStyle w:val="a7"/>
              <w:widowControl/>
              <w:spacing w:beforeAutospacing="1"/>
              <w:jc w:val="left"/>
              <w:rPr>
                <w:rFonts w:hint="default"/>
                <w:sz w:val="24"/>
                <w:szCs w:val="24"/>
              </w:rPr>
            </w:pPr>
            <w:r>
              <w:rPr>
                <w:sz w:val="24"/>
                <w:szCs w:val="24"/>
              </w:rPr>
              <w:t>主管部门和上级单位补助收入</w:t>
            </w:r>
          </w:p>
        </w:tc>
        <w:tc>
          <w:tcPr>
            <w:tcW w:w="1358" w:type="dxa"/>
            <w:tcBorders>
              <w:top w:val="single" w:sz="4" w:space="0" w:color="auto"/>
              <w:left w:val="nil"/>
              <w:bottom w:val="single" w:sz="4" w:space="0" w:color="auto"/>
              <w:right w:val="single" w:sz="4" w:space="0" w:color="auto"/>
            </w:tcBorders>
            <w:shd w:val="clear" w:color="auto" w:fill="auto"/>
            <w:vAlign w:val="bottom"/>
          </w:tcPr>
          <w:p w:rsidR="005B6855" w:rsidRDefault="005B6855">
            <w:pPr>
              <w:pStyle w:val="a7"/>
              <w:widowControl/>
              <w:spacing w:beforeAutospacing="1"/>
              <w:rPr>
                <w:rFonts w:hint="default"/>
                <w:sz w:val="24"/>
                <w:szCs w:val="24"/>
              </w:rPr>
            </w:pPr>
          </w:p>
        </w:tc>
        <w:tc>
          <w:tcPr>
            <w:tcW w:w="1233" w:type="dxa"/>
            <w:tcBorders>
              <w:top w:val="single" w:sz="4" w:space="0" w:color="auto"/>
              <w:left w:val="nil"/>
              <w:bottom w:val="single" w:sz="4" w:space="0" w:color="auto"/>
              <w:right w:val="single" w:sz="4" w:space="0" w:color="auto"/>
            </w:tcBorders>
            <w:shd w:val="clear" w:color="auto" w:fill="auto"/>
            <w:vAlign w:val="bottom"/>
          </w:tcPr>
          <w:p w:rsidR="005B6855" w:rsidRDefault="005B6855">
            <w:pPr>
              <w:pStyle w:val="a7"/>
              <w:widowControl/>
              <w:spacing w:beforeAutospacing="1"/>
              <w:rPr>
                <w:rFonts w:hint="default"/>
                <w:sz w:val="24"/>
                <w:szCs w:val="24"/>
              </w:rPr>
            </w:pPr>
          </w:p>
        </w:tc>
        <w:tc>
          <w:tcPr>
            <w:tcW w:w="1950" w:type="dxa"/>
            <w:tcBorders>
              <w:top w:val="single" w:sz="4" w:space="0" w:color="auto"/>
              <w:left w:val="nil"/>
              <w:bottom w:val="single" w:sz="4" w:space="0" w:color="auto"/>
              <w:right w:val="single" w:sz="4" w:space="0" w:color="auto"/>
            </w:tcBorders>
            <w:shd w:val="clear" w:color="auto" w:fill="auto"/>
            <w:vAlign w:val="bottom"/>
          </w:tcPr>
          <w:p w:rsidR="005B6855" w:rsidRDefault="005B6855">
            <w:pPr>
              <w:pStyle w:val="a7"/>
              <w:widowControl/>
              <w:spacing w:beforeAutospacing="1"/>
              <w:rPr>
                <w:rFonts w:hint="default"/>
                <w:sz w:val="24"/>
                <w:szCs w:val="24"/>
              </w:rPr>
            </w:pPr>
          </w:p>
        </w:tc>
      </w:tr>
      <w:tr w:rsidR="005B6855">
        <w:trPr>
          <w:trHeight w:val="39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B6855" w:rsidRDefault="00B15E81">
            <w:pPr>
              <w:pStyle w:val="a7"/>
              <w:widowControl/>
              <w:spacing w:beforeAutospacing="1"/>
              <w:jc w:val="center"/>
              <w:rPr>
                <w:rFonts w:cs="宋体" w:hint="default"/>
                <w:sz w:val="24"/>
                <w:szCs w:val="24"/>
              </w:rPr>
            </w:pPr>
            <w:r>
              <w:rPr>
                <w:sz w:val="24"/>
                <w:szCs w:val="24"/>
              </w:rPr>
              <w:t>6</w:t>
            </w:r>
          </w:p>
        </w:tc>
        <w:tc>
          <w:tcPr>
            <w:tcW w:w="3345" w:type="dxa"/>
            <w:tcBorders>
              <w:top w:val="single" w:sz="4" w:space="0" w:color="auto"/>
              <w:left w:val="nil"/>
              <w:bottom w:val="single" w:sz="4" w:space="0" w:color="auto"/>
              <w:right w:val="single" w:sz="4" w:space="0" w:color="auto"/>
            </w:tcBorders>
            <w:shd w:val="clear" w:color="auto" w:fill="auto"/>
            <w:vAlign w:val="center"/>
          </w:tcPr>
          <w:p w:rsidR="005B6855" w:rsidRDefault="00B15E81">
            <w:pPr>
              <w:pStyle w:val="a7"/>
              <w:widowControl/>
              <w:spacing w:beforeAutospacing="1"/>
              <w:jc w:val="left"/>
              <w:rPr>
                <w:rFonts w:hint="default"/>
                <w:sz w:val="24"/>
                <w:szCs w:val="24"/>
              </w:rPr>
            </w:pPr>
            <w:r>
              <w:rPr>
                <w:sz w:val="24"/>
                <w:szCs w:val="24"/>
              </w:rPr>
              <w:t>其他收入</w:t>
            </w:r>
          </w:p>
        </w:tc>
        <w:tc>
          <w:tcPr>
            <w:tcW w:w="1358" w:type="dxa"/>
            <w:tcBorders>
              <w:top w:val="single" w:sz="4" w:space="0" w:color="auto"/>
              <w:left w:val="nil"/>
              <w:bottom w:val="single" w:sz="4" w:space="0" w:color="auto"/>
              <w:right w:val="single" w:sz="4" w:space="0" w:color="auto"/>
            </w:tcBorders>
            <w:shd w:val="clear" w:color="auto" w:fill="auto"/>
            <w:vAlign w:val="bottom"/>
          </w:tcPr>
          <w:p w:rsidR="005B6855" w:rsidRDefault="00B15E81">
            <w:pPr>
              <w:pStyle w:val="a7"/>
              <w:widowControl/>
              <w:spacing w:beforeAutospacing="1"/>
              <w:rPr>
                <w:rFonts w:hint="default"/>
                <w:sz w:val="24"/>
                <w:szCs w:val="24"/>
              </w:rPr>
            </w:pPr>
            <w:r>
              <w:rPr>
                <w:sz w:val="24"/>
                <w:szCs w:val="24"/>
              </w:rPr>
              <w:t>8305.55</w:t>
            </w:r>
          </w:p>
        </w:tc>
        <w:tc>
          <w:tcPr>
            <w:tcW w:w="1233" w:type="dxa"/>
            <w:tcBorders>
              <w:top w:val="single" w:sz="4" w:space="0" w:color="auto"/>
              <w:left w:val="nil"/>
              <w:bottom w:val="single" w:sz="4" w:space="0" w:color="auto"/>
              <w:right w:val="single" w:sz="4" w:space="0" w:color="auto"/>
            </w:tcBorders>
            <w:shd w:val="clear" w:color="auto" w:fill="auto"/>
            <w:vAlign w:val="bottom"/>
          </w:tcPr>
          <w:p w:rsidR="005B6855" w:rsidRDefault="00B15E81">
            <w:pPr>
              <w:pStyle w:val="a7"/>
              <w:widowControl/>
              <w:spacing w:beforeAutospacing="1"/>
              <w:rPr>
                <w:rFonts w:hint="default"/>
                <w:sz w:val="24"/>
                <w:szCs w:val="24"/>
              </w:rPr>
            </w:pPr>
            <w:r>
              <w:rPr>
                <w:sz w:val="24"/>
                <w:szCs w:val="24"/>
              </w:rPr>
              <w:t>22698.25</w:t>
            </w:r>
          </w:p>
        </w:tc>
        <w:tc>
          <w:tcPr>
            <w:tcW w:w="1950" w:type="dxa"/>
            <w:tcBorders>
              <w:top w:val="single" w:sz="4" w:space="0" w:color="auto"/>
              <w:left w:val="nil"/>
              <w:bottom w:val="single" w:sz="4" w:space="0" w:color="auto"/>
              <w:right w:val="single" w:sz="4" w:space="0" w:color="auto"/>
            </w:tcBorders>
            <w:shd w:val="clear" w:color="auto" w:fill="auto"/>
            <w:vAlign w:val="bottom"/>
          </w:tcPr>
          <w:p w:rsidR="005B6855" w:rsidRDefault="00B15E81">
            <w:pPr>
              <w:pStyle w:val="a7"/>
              <w:widowControl/>
              <w:spacing w:beforeAutospacing="1"/>
              <w:rPr>
                <w:rFonts w:hint="default"/>
                <w:sz w:val="24"/>
                <w:szCs w:val="24"/>
              </w:rPr>
            </w:pPr>
            <w:r>
              <w:rPr>
                <w:sz w:val="24"/>
                <w:szCs w:val="24"/>
              </w:rPr>
              <w:t>273.30%</w:t>
            </w:r>
          </w:p>
        </w:tc>
      </w:tr>
      <w:tr w:rsidR="005B6855">
        <w:trPr>
          <w:trHeight w:val="391"/>
        </w:trPr>
        <w:tc>
          <w:tcPr>
            <w:tcW w:w="41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B6855" w:rsidRDefault="00B15E81">
            <w:pPr>
              <w:pStyle w:val="a7"/>
              <w:widowControl/>
              <w:spacing w:beforeAutospacing="1"/>
              <w:jc w:val="center"/>
              <w:rPr>
                <w:rFonts w:hint="default"/>
              </w:rPr>
            </w:pPr>
            <w:r>
              <w:rPr>
                <w:sz w:val="24"/>
                <w:szCs w:val="24"/>
              </w:rPr>
              <w:t>合计</w:t>
            </w:r>
          </w:p>
        </w:tc>
        <w:tc>
          <w:tcPr>
            <w:tcW w:w="1358" w:type="dxa"/>
            <w:tcBorders>
              <w:top w:val="single" w:sz="4" w:space="0" w:color="auto"/>
              <w:left w:val="nil"/>
              <w:bottom w:val="single" w:sz="4" w:space="0" w:color="auto"/>
              <w:right w:val="single" w:sz="4" w:space="0" w:color="auto"/>
            </w:tcBorders>
            <w:shd w:val="clear" w:color="auto" w:fill="auto"/>
            <w:vAlign w:val="bottom"/>
          </w:tcPr>
          <w:p w:rsidR="005B6855" w:rsidRDefault="00B15E81">
            <w:pPr>
              <w:pStyle w:val="a7"/>
              <w:widowControl/>
              <w:spacing w:beforeAutospacing="1"/>
              <w:rPr>
                <w:rFonts w:hint="default"/>
                <w:sz w:val="24"/>
                <w:szCs w:val="24"/>
              </w:rPr>
            </w:pPr>
            <w:r>
              <w:rPr>
                <w:sz w:val="24"/>
                <w:szCs w:val="24"/>
              </w:rPr>
              <w:t>33383.25</w:t>
            </w:r>
          </w:p>
        </w:tc>
        <w:tc>
          <w:tcPr>
            <w:tcW w:w="1233" w:type="dxa"/>
            <w:tcBorders>
              <w:top w:val="single" w:sz="4" w:space="0" w:color="auto"/>
              <w:left w:val="nil"/>
              <w:bottom w:val="single" w:sz="4" w:space="0" w:color="auto"/>
              <w:right w:val="single" w:sz="4" w:space="0" w:color="auto"/>
            </w:tcBorders>
            <w:shd w:val="clear" w:color="auto" w:fill="auto"/>
            <w:vAlign w:val="bottom"/>
          </w:tcPr>
          <w:p w:rsidR="005B6855" w:rsidRDefault="00B15E81">
            <w:pPr>
              <w:pStyle w:val="a7"/>
              <w:widowControl/>
              <w:spacing w:beforeAutospacing="1"/>
              <w:rPr>
                <w:rFonts w:hint="default"/>
                <w:sz w:val="24"/>
                <w:szCs w:val="24"/>
              </w:rPr>
            </w:pPr>
            <w:r>
              <w:rPr>
                <w:sz w:val="24"/>
                <w:szCs w:val="24"/>
              </w:rPr>
              <w:t>39745.22</w:t>
            </w:r>
          </w:p>
        </w:tc>
        <w:tc>
          <w:tcPr>
            <w:tcW w:w="1950" w:type="dxa"/>
            <w:tcBorders>
              <w:top w:val="single" w:sz="4" w:space="0" w:color="auto"/>
              <w:left w:val="nil"/>
              <w:bottom w:val="single" w:sz="4" w:space="0" w:color="auto"/>
              <w:right w:val="single" w:sz="4" w:space="0" w:color="auto"/>
            </w:tcBorders>
            <w:shd w:val="clear" w:color="auto" w:fill="auto"/>
            <w:vAlign w:val="bottom"/>
          </w:tcPr>
          <w:p w:rsidR="005B6855" w:rsidRDefault="00B15E81">
            <w:pPr>
              <w:pStyle w:val="a7"/>
              <w:widowControl/>
              <w:spacing w:beforeAutospacing="1"/>
              <w:rPr>
                <w:rFonts w:hint="default"/>
                <w:sz w:val="24"/>
                <w:szCs w:val="24"/>
              </w:rPr>
            </w:pPr>
            <w:r>
              <w:rPr>
                <w:sz w:val="24"/>
                <w:szCs w:val="24"/>
              </w:rPr>
              <w:t>119.10%</w:t>
            </w:r>
          </w:p>
        </w:tc>
      </w:tr>
    </w:tbl>
    <w:p w:rsidR="005B6855" w:rsidRDefault="00B15E81">
      <w:pPr>
        <w:autoSpaceDE w:val="0"/>
        <w:snapToGrid w:val="0"/>
        <w:spacing w:line="560" w:lineRule="exact"/>
        <w:ind w:firstLineChars="200" w:firstLine="604"/>
        <w:jc w:val="left"/>
        <w:rPr>
          <w:rFonts w:ascii="宋体" w:eastAsia="宋体" w:hAnsi="宋体" w:cs="宋体"/>
          <w:spacing w:val="11"/>
          <w:kern w:val="0"/>
          <w:sz w:val="28"/>
          <w:szCs w:val="28"/>
        </w:rPr>
      </w:pPr>
      <w:r>
        <w:rPr>
          <w:rFonts w:ascii="宋体" w:eastAsia="宋体" w:hAnsi="宋体" w:cs="宋体" w:hint="eastAsia"/>
          <w:spacing w:val="11"/>
          <w:kern w:val="0"/>
          <w:sz w:val="28"/>
          <w:szCs w:val="28"/>
        </w:rPr>
        <w:t>其他收入预算执行率273.3%。由于2020年城北街道纳入部门预算，市财政拨入16700万元用于消</w:t>
      </w:r>
      <w:proofErr w:type="gramStart"/>
      <w:r>
        <w:rPr>
          <w:rFonts w:ascii="宋体" w:eastAsia="宋体" w:hAnsi="宋体" w:cs="宋体" w:hint="eastAsia"/>
          <w:spacing w:val="11"/>
          <w:kern w:val="0"/>
          <w:sz w:val="28"/>
          <w:szCs w:val="28"/>
        </w:rPr>
        <w:t>赤</w:t>
      </w:r>
      <w:proofErr w:type="gramEnd"/>
      <w:r>
        <w:rPr>
          <w:rFonts w:ascii="宋体" w:eastAsia="宋体" w:hAnsi="宋体" w:cs="宋体" w:hint="eastAsia"/>
          <w:spacing w:val="11"/>
          <w:kern w:val="0"/>
          <w:sz w:val="28"/>
          <w:szCs w:val="28"/>
        </w:rPr>
        <w:t>。</w:t>
      </w:r>
    </w:p>
    <w:p w:rsidR="005B6855" w:rsidRDefault="00B15E81">
      <w:pPr>
        <w:autoSpaceDE w:val="0"/>
        <w:snapToGrid w:val="0"/>
        <w:spacing w:line="560" w:lineRule="exact"/>
        <w:ind w:firstLineChars="200" w:firstLine="606"/>
        <w:jc w:val="left"/>
        <w:rPr>
          <w:rFonts w:ascii="宋体" w:eastAsia="宋体" w:hAnsi="宋体" w:cs="宋体"/>
          <w:b/>
          <w:spacing w:val="11"/>
          <w:kern w:val="0"/>
          <w:sz w:val="28"/>
          <w:szCs w:val="28"/>
        </w:rPr>
      </w:pPr>
      <w:r>
        <w:rPr>
          <w:rFonts w:ascii="宋体" w:eastAsia="宋体" w:hAnsi="宋体" w:cs="宋体" w:hint="eastAsia"/>
          <w:b/>
          <w:spacing w:val="11"/>
          <w:kern w:val="0"/>
          <w:sz w:val="28"/>
          <w:szCs w:val="28"/>
        </w:rPr>
        <w:t>四、本年支出完成情况</w:t>
      </w:r>
    </w:p>
    <w:p w:rsidR="005B6855" w:rsidRDefault="00B15E81">
      <w:pPr>
        <w:autoSpaceDE w:val="0"/>
        <w:snapToGrid w:val="0"/>
        <w:spacing w:line="560" w:lineRule="exact"/>
        <w:ind w:firstLineChars="200" w:firstLine="606"/>
        <w:jc w:val="left"/>
        <w:rPr>
          <w:rFonts w:ascii="宋体" w:eastAsia="宋体" w:hAnsi="宋体" w:cs="宋体"/>
          <w:b/>
          <w:spacing w:val="11"/>
          <w:kern w:val="0"/>
          <w:sz w:val="28"/>
          <w:szCs w:val="28"/>
        </w:rPr>
      </w:pPr>
      <w:r>
        <w:rPr>
          <w:rFonts w:ascii="宋体" w:eastAsia="宋体" w:hAnsi="宋体" w:cs="宋体" w:hint="eastAsia"/>
          <w:b/>
          <w:spacing w:val="11"/>
          <w:kern w:val="0"/>
          <w:sz w:val="28"/>
          <w:szCs w:val="28"/>
        </w:rPr>
        <w:t>（一）财政支出情况</w:t>
      </w:r>
    </w:p>
    <w:p w:rsidR="005B6855" w:rsidRDefault="00B15E81">
      <w:pPr>
        <w:autoSpaceDE w:val="0"/>
        <w:snapToGrid w:val="0"/>
        <w:spacing w:line="560" w:lineRule="exact"/>
        <w:ind w:firstLineChars="200" w:firstLine="604"/>
        <w:jc w:val="left"/>
        <w:rPr>
          <w:rFonts w:ascii="宋体" w:eastAsia="宋体" w:hAnsi="宋体" w:cs="宋体"/>
          <w:spacing w:val="11"/>
          <w:kern w:val="0"/>
          <w:sz w:val="28"/>
          <w:szCs w:val="28"/>
        </w:rPr>
      </w:pPr>
      <w:r>
        <w:rPr>
          <w:rFonts w:ascii="宋体" w:eastAsia="宋体" w:hAnsi="宋体" w:cs="宋体" w:hint="eastAsia"/>
          <w:spacing w:val="11"/>
          <w:kern w:val="0"/>
          <w:sz w:val="28"/>
          <w:szCs w:val="28"/>
        </w:rPr>
        <w:t>2019年城北街道预算支出指标数33459.75万元，本年实际支出预算执行数39745.22万元，本年支出预算执行118.80%。（具体详见表2）。</w:t>
      </w:r>
    </w:p>
    <w:p w:rsidR="005B6855" w:rsidRDefault="00B15E81">
      <w:pPr>
        <w:autoSpaceDE w:val="0"/>
        <w:snapToGrid w:val="0"/>
        <w:spacing w:line="560" w:lineRule="exact"/>
        <w:ind w:firstLineChars="200" w:firstLine="604"/>
        <w:jc w:val="center"/>
        <w:rPr>
          <w:rFonts w:ascii="宋体" w:eastAsia="宋体" w:hAnsi="宋体" w:cs="宋体"/>
          <w:spacing w:val="11"/>
          <w:kern w:val="0"/>
          <w:sz w:val="28"/>
          <w:szCs w:val="28"/>
        </w:rPr>
      </w:pPr>
      <w:r>
        <w:rPr>
          <w:rFonts w:ascii="宋体" w:eastAsia="宋体" w:hAnsi="宋体" w:cs="宋体" w:hint="eastAsia"/>
          <w:spacing w:val="11"/>
          <w:kern w:val="0"/>
          <w:sz w:val="28"/>
          <w:szCs w:val="28"/>
        </w:rPr>
        <w:t>表2  2019年城北街道财政支出预算执行情况</w:t>
      </w:r>
    </w:p>
    <w:p w:rsidR="005B6855" w:rsidRDefault="00B15E81">
      <w:pPr>
        <w:autoSpaceDE w:val="0"/>
        <w:snapToGrid w:val="0"/>
        <w:spacing w:line="520" w:lineRule="exact"/>
        <w:ind w:firstLineChars="200" w:firstLine="604"/>
        <w:jc w:val="center"/>
        <w:rPr>
          <w:rFonts w:ascii="宋体" w:eastAsia="宋体" w:hAnsi="宋体" w:cs="宋体"/>
          <w:spacing w:val="11"/>
          <w:kern w:val="0"/>
          <w:sz w:val="28"/>
          <w:szCs w:val="28"/>
        </w:rPr>
      </w:pPr>
      <w:r>
        <w:rPr>
          <w:rFonts w:ascii="宋体" w:eastAsia="宋体" w:hAnsi="宋体" w:cs="宋体" w:hint="eastAsia"/>
          <w:spacing w:val="11"/>
          <w:kern w:val="0"/>
          <w:sz w:val="28"/>
          <w:szCs w:val="28"/>
        </w:rPr>
        <w:t xml:space="preserve">                                         单位：万元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2"/>
        <w:gridCol w:w="3450"/>
        <w:gridCol w:w="1582"/>
        <w:gridCol w:w="1473"/>
        <w:gridCol w:w="1541"/>
      </w:tblGrid>
      <w:tr w:rsidR="005B6855">
        <w:trPr>
          <w:trHeight w:val="391"/>
        </w:trPr>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5B6855" w:rsidRDefault="00B15E81">
            <w:pPr>
              <w:pStyle w:val="a7"/>
              <w:widowControl/>
              <w:spacing w:beforeAutospacing="1"/>
              <w:jc w:val="left"/>
              <w:rPr>
                <w:rFonts w:hint="default"/>
                <w:sz w:val="24"/>
                <w:szCs w:val="24"/>
              </w:rPr>
            </w:pPr>
            <w:r>
              <w:rPr>
                <w:sz w:val="24"/>
                <w:szCs w:val="24"/>
              </w:rPr>
              <w:t>序号</w:t>
            </w:r>
          </w:p>
        </w:tc>
        <w:tc>
          <w:tcPr>
            <w:tcW w:w="3450" w:type="dxa"/>
            <w:tcBorders>
              <w:top w:val="single" w:sz="4" w:space="0" w:color="auto"/>
              <w:left w:val="nil"/>
              <w:bottom w:val="single" w:sz="4" w:space="0" w:color="auto"/>
              <w:right w:val="single" w:sz="4" w:space="0" w:color="auto"/>
            </w:tcBorders>
            <w:shd w:val="clear" w:color="auto" w:fill="auto"/>
            <w:vAlign w:val="center"/>
          </w:tcPr>
          <w:p w:rsidR="005B6855" w:rsidRDefault="00B15E81">
            <w:pPr>
              <w:pStyle w:val="a7"/>
              <w:widowControl/>
              <w:spacing w:beforeAutospacing="1"/>
              <w:jc w:val="left"/>
              <w:rPr>
                <w:rFonts w:hint="default"/>
                <w:sz w:val="24"/>
                <w:szCs w:val="24"/>
              </w:rPr>
            </w:pPr>
            <w:r>
              <w:rPr>
                <w:sz w:val="24"/>
                <w:szCs w:val="24"/>
              </w:rPr>
              <w:t>预算科目</w:t>
            </w:r>
          </w:p>
        </w:tc>
        <w:tc>
          <w:tcPr>
            <w:tcW w:w="1582" w:type="dxa"/>
            <w:tcBorders>
              <w:top w:val="single" w:sz="4" w:space="0" w:color="auto"/>
              <w:left w:val="nil"/>
              <w:bottom w:val="single" w:sz="4" w:space="0" w:color="auto"/>
              <w:right w:val="single" w:sz="4" w:space="0" w:color="auto"/>
            </w:tcBorders>
            <w:shd w:val="clear" w:color="auto" w:fill="auto"/>
            <w:vAlign w:val="center"/>
          </w:tcPr>
          <w:p w:rsidR="005B6855" w:rsidRDefault="00B15E81">
            <w:pPr>
              <w:pStyle w:val="a7"/>
              <w:widowControl/>
              <w:spacing w:beforeAutospacing="1"/>
              <w:jc w:val="center"/>
              <w:rPr>
                <w:rFonts w:hint="default"/>
                <w:sz w:val="24"/>
                <w:szCs w:val="24"/>
              </w:rPr>
            </w:pPr>
            <w:r>
              <w:rPr>
                <w:sz w:val="24"/>
                <w:szCs w:val="24"/>
              </w:rPr>
              <w:t>支出预算指标数</w:t>
            </w:r>
          </w:p>
        </w:tc>
        <w:tc>
          <w:tcPr>
            <w:tcW w:w="1473" w:type="dxa"/>
            <w:tcBorders>
              <w:top w:val="single" w:sz="4" w:space="0" w:color="auto"/>
              <w:left w:val="nil"/>
              <w:bottom w:val="single" w:sz="4" w:space="0" w:color="auto"/>
              <w:right w:val="single" w:sz="4" w:space="0" w:color="auto"/>
            </w:tcBorders>
            <w:shd w:val="clear" w:color="auto" w:fill="auto"/>
            <w:vAlign w:val="center"/>
          </w:tcPr>
          <w:p w:rsidR="005B6855" w:rsidRDefault="00B15E81">
            <w:pPr>
              <w:pStyle w:val="a7"/>
              <w:widowControl/>
              <w:spacing w:beforeAutospacing="1"/>
              <w:jc w:val="center"/>
              <w:rPr>
                <w:rFonts w:hint="default"/>
                <w:sz w:val="24"/>
                <w:szCs w:val="24"/>
              </w:rPr>
            </w:pPr>
            <w:r>
              <w:rPr>
                <w:sz w:val="24"/>
                <w:szCs w:val="24"/>
              </w:rPr>
              <w:t>支出预算执行数</w:t>
            </w:r>
          </w:p>
        </w:tc>
        <w:tc>
          <w:tcPr>
            <w:tcW w:w="1541" w:type="dxa"/>
            <w:tcBorders>
              <w:top w:val="single" w:sz="4" w:space="0" w:color="auto"/>
              <w:left w:val="nil"/>
              <w:bottom w:val="single" w:sz="4" w:space="0" w:color="auto"/>
              <w:right w:val="single" w:sz="4" w:space="0" w:color="auto"/>
            </w:tcBorders>
            <w:shd w:val="clear" w:color="auto" w:fill="auto"/>
            <w:vAlign w:val="center"/>
          </w:tcPr>
          <w:p w:rsidR="005B6855" w:rsidRDefault="00B15E81">
            <w:pPr>
              <w:pStyle w:val="a7"/>
              <w:widowControl/>
              <w:spacing w:beforeAutospacing="1"/>
              <w:jc w:val="center"/>
              <w:rPr>
                <w:rFonts w:hint="default"/>
                <w:sz w:val="24"/>
                <w:szCs w:val="24"/>
              </w:rPr>
            </w:pPr>
            <w:r>
              <w:rPr>
                <w:sz w:val="24"/>
                <w:szCs w:val="24"/>
              </w:rPr>
              <w:t>支出预算执行率</w:t>
            </w:r>
          </w:p>
        </w:tc>
      </w:tr>
      <w:tr w:rsidR="005B6855">
        <w:trPr>
          <w:trHeight w:val="391"/>
        </w:trPr>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5B6855" w:rsidRDefault="00B15E81">
            <w:pPr>
              <w:pStyle w:val="a7"/>
              <w:widowControl/>
              <w:spacing w:beforeAutospacing="1"/>
              <w:jc w:val="center"/>
              <w:rPr>
                <w:rFonts w:hint="default"/>
                <w:sz w:val="24"/>
                <w:szCs w:val="24"/>
              </w:rPr>
            </w:pPr>
            <w:r>
              <w:rPr>
                <w:sz w:val="24"/>
                <w:szCs w:val="24"/>
              </w:rPr>
              <w:t>1</w:t>
            </w:r>
          </w:p>
        </w:tc>
        <w:tc>
          <w:tcPr>
            <w:tcW w:w="3450" w:type="dxa"/>
            <w:tcBorders>
              <w:top w:val="single" w:sz="4" w:space="0" w:color="auto"/>
              <w:left w:val="nil"/>
              <w:bottom w:val="single" w:sz="4" w:space="0" w:color="auto"/>
              <w:right w:val="single" w:sz="4" w:space="0" w:color="auto"/>
            </w:tcBorders>
            <w:shd w:val="clear" w:color="auto" w:fill="auto"/>
            <w:vAlign w:val="center"/>
          </w:tcPr>
          <w:p w:rsidR="005B6855" w:rsidRDefault="00B15E81">
            <w:pPr>
              <w:pStyle w:val="a7"/>
              <w:widowControl/>
              <w:spacing w:beforeAutospacing="1"/>
              <w:jc w:val="left"/>
              <w:rPr>
                <w:rFonts w:hint="default"/>
                <w:sz w:val="24"/>
                <w:szCs w:val="24"/>
              </w:rPr>
            </w:pPr>
            <w:r>
              <w:rPr>
                <w:sz w:val="24"/>
                <w:szCs w:val="24"/>
              </w:rPr>
              <w:t>基本支出</w:t>
            </w:r>
          </w:p>
        </w:tc>
        <w:tc>
          <w:tcPr>
            <w:tcW w:w="1582" w:type="dxa"/>
            <w:tcBorders>
              <w:top w:val="single" w:sz="4" w:space="0" w:color="auto"/>
              <w:left w:val="nil"/>
              <w:bottom w:val="single" w:sz="4" w:space="0" w:color="auto"/>
              <w:right w:val="single" w:sz="4" w:space="0" w:color="auto"/>
            </w:tcBorders>
            <w:shd w:val="clear" w:color="auto" w:fill="auto"/>
            <w:vAlign w:val="center"/>
          </w:tcPr>
          <w:p w:rsidR="005B6855" w:rsidRDefault="00B15E81">
            <w:pPr>
              <w:pStyle w:val="a7"/>
              <w:widowControl/>
              <w:spacing w:beforeAutospacing="1"/>
              <w:rPr>
                <w:rFonts w:hint="default"/>
                <w:sz w:val="24"/>
                <w:szCs w:val="24"/>
              </w:rPr>
            </w:pPr>
            <w:r>
              <w:rPr>
                <w:sz w:val="24"/>
                <w:szCs w:val="24"/>
              </w:rPr>
              <w:t xml:space="preserve">1817.12 </w:t>
            </w:r>
          </w:p>
        </w:tc>
        <w:tc>
          <w:tcPr>
            <w:tcW w:w="1473" w:type="dxa"/>
            <w:tcBorders>
              <w:top w:val="single" w:sz="4" w:space="0" w:color="auto"/>
              <w:left w:val="nil"/>
              <w:bottom w:val="single" w:sz="4" w:space="0" w:color="auto"/>
              <w:right w:val="single" w:sz="4" w:space="0" w:color="auto"/>
            </w:tcBorders>
            <w:shd w:val="clear" w:color="auto" w:fill="auto"/>
            <w:vAlign w:val="center"/>
          </w:tcPr>
          <w:p w:rsidR="005B6855" w:rsidRDefault="00B15E81">
            <w:pPr>
              <w:pStyle w:val="a7"/>
              <w:widowControl/>
              <w:spacing w:beforeAutospacing="1"/>
              <w:rPr>
                <w:rFonts w:hint="default"/>
                <w:sz w:val="24"/>
                <w:szCs w:val="24"/>
              </w:rPr>
            </w:pPr>
            <w:r>
              <w:rPr>
                <w:sz w:val="24"/>
                <w:szCs w:val="24"/>
              </w:rPr>
              <w:t xml:space="preserve">1817.12 </w:t>
            </w:r>
          </w:p>
        </w:tc>
        <w:tc>
          <w:tcPr>
            <w:tcW w:w="1541" w:type="dxa"/>
            <w:tcBorders>
              <w:top w:val="single" w:sz="4" w:space="0" w:color="auto"/>
              <w:left w:val="nil"/>
              <w:bottom w:val="single" w:sz="4" w:space="0" w:color="auto"/>
              <w:right w:val="single" w:sz="4" w:space="0" w:color="auto"/>
            </w:tcBorders>
            <w:shd w:val="clear" w:color="auto" w:fill="auto"/>
            <w:vAlign w:val="center"/>
          </w:tcPr>
          <w:p w:rsidR="005B6855" w:rsidRDefault="00B15E81">
            <w:pPr>
              <w:pStyle w:val="a7"/>
              <w:widowControl/>
              <w:spacing w:beforeAutospacing="1"/>
              <w:rPr>
                <w:rFonts w:hint="default"/>
                <w:sz w:val="24"/>
                <w:szCs w:val="24"/>
              </w:rPr>
            </w:pPr>
            <w:r>
              <w:rPr>
                <w:sz w:val="24"/>
                <w:szCs w:val="24"/>
              </w:rPr>
              <w:t>100.00%</w:t>
            </w:r>
          </w:p>
        </w:tc>
      </w:tr>
      <w:tr w:rsidR="005B6855">
        <w:trPr>
          <w:trHeight w:val="391"/>
        </w:trPr>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5B6855" w:rsidRDefault="00B15E81">
            <w:pPr>
              <w:pStyle w:val="a7"/>
              <w:widowControl/>
              <w:spacing w:beforeAutospacing="1"/>
              <w:jc w:val="center"/>
              <w:rPr>
                <w:rFonts w:hint="default"/>
                <w:sz w:val="24"/>
                <w:szCs w:val="24"/>
              </w:rPr>
            </w:pPr>
            <w:r>
              <w:rPr>
                <w:sz w:val="24"/>
                <w:szCs w:val="24"/>
              </w:rPr>
              <w:t>1.1</w:t>
            </w:r>
          </w:p>
        </w:tc>
        <w:tc>
          <w:tcPr>
            <w:tcW w:w="3450" w:type="dxa"/>
            <w:tcBorders>
              <w:top w:val="single" w:sz="4" w:space="0" w:color="auto"/>
              <w:left w:val="nil"/>
              <w:bottom w:val="single" w:sz="4" w:space="0" w:color="auto"/>
              <w:right w:val="single" w:sz="4" w:space="0" w:color="auto"/>
            </w:tcBorders>
            <w:shd w:val="clear" w:color="auto" w:fill="auto"/>
            <w:vAlign w:val="center"/>
          </w:tcPr>
          <w:p w:rsidR="005B6855" w:rsidRDefault="00B15E81">
            <w:pPr>
              <w:pStyle w:val="a7"/>
              <w:widowControl/>
              <w:spacing w:beforeAutospacing="1"/>
              <w:jc w:val="left"/>
              <w:rPr>
                <w:rFonts w:hint="default"/>
                <w:sz w:val="24"/>
                <w:szCs w:val="24"/>
              </w:rPr>
            </w:pPr>
            <w:r>
              <w:rPr>
                <w:sz w:val="24"/>
                <w:szCs w:val="24"/>
              </w:rPr>
              <w:t>工资福利支出</w:t>
            </w:r>
          </w:p>
        </w:tc>
        <w:tc>
          <w:tcPr>
            <w:tcW w:w="1582" w:type="dxa"/>
            <w:tcBorders>
              <w:top w:val="single" w:sz="4" w:space="0" w:color="auto"/>
              <w:left w:val="nil"/>
              <w:bottom w:val="single" w:sz="4" w:space="0" w:color="auto"/>
              <w:right w:val="single" w:sz="4" w:space="0" w:color="auto"/>
            </w:tcBorders>
            <w:shd w:val="clear" w:color="auto" w:fill="auto"/>
            <w:vAlign w:val="center"/>
          </w:tcPr>
          <w:p w:rsidR="005B6855" w:rsidRDefault="00B15E81">
            <w:pPr>
              <w:pStyle w:val="a7"/>
              <w:widowControl/>
              <w:spacing w:beforeAutospacing="1"/>
              <w:rPr>
                <w:rFonts w:hint="default"/>
                <w:sz w:val="24"/>
                <w:szCs w:val="24"/>
              </w:rPr>
            </w:pPr>
            <w:r>
              <w:rPr>
                <w:sz w:val="24"/>
                <w:szCs w:val="24"/>
              </w:rPr>
              <w:t xml:space="preserve">1499.71 </w:t>
            </w:r>
          </w:p>
        </w:tc>
        <w:tc>
          <w:tcPr>
            <w:tcW w:w="1473" w:type="dxa"/>
            <w:tcBorders>
              <w:top w:val="single" w:sz="4" w:space="0" w:color="auto"/>
              <w:left w:val="nil"/>
              <w:bottom w:val="single" w:sz="4" w:space="0" w:color="auto"/>
              <w:right w:val="single" w:sz="4" w:space="0" w:color="auto"/>
            </w:tcBorders>
            <w:shd w:val="clear" w:color="auto" w:fill="auto"/>
            <w:vAlign w:val="center"/>
          </w:tcPr>
          <w:p w:rsidR="005B6855" w:rsidRDefault="00B15E81">
            <w:pPr>
              <w:pStyle w:val="a7"/>
              <w:widowControl/>
              <w:spacing w:beforeAutospacing="1"/>
              <w:rPr>
                <w:rFonts w:hint="default"/>
                <w:sz w:val="24"/>
                <w:szCs w:val="24"/>
              </w:rPr>
            </w:pPr>
            <w:r>
              <w:rPr>
                <w:sz w:val="24"/>
                <w:szCs w:val="24"/>
              </w:rPr>
              <w:t xml:space="preserve">1499.71 </w:t>
            </w:r>
          </w:p>
        </w:tc>
        <w:tc>
          <w:tcPr>
            <w:tcW w:w="1541" w:type="dxa"/>
            <w:tcBorders>
              <w:top w:val="single" w:sz="4" w:space="0" w:color="auto"/>
              <w:left w:val="nil"/>
              <w:bottom w:val="single" w:sz="4" w:space="0" w:color="auto"/>
              <w:right w:val="single" w:sz="4" w:space="0" w:color="auto"/>
            </w:tcBorders>
            <w:shd w:val="clear" w:color="auto" w:fill="auto"/>
            <w:vAlign w:val="center"/>
          </w:tcPr>
          <w:p w:rsidR="005B6855" w:rsidRDefault="00B15E81">
            <w:pPr>
              <w:pStyle w:val="a7"/>
              <w:widowControl/>
              <w:spacing w:beforeAutospacing="1"/>
              <w:rPr>
                <w:rFonts w:hint="default"/>
                <w:sz w:val="24"/>
                <w:szCs w:val="24"/>
              </w:rPr>
            </w:pPr>
            <w:r>
              <w:rPr>
                <w:sz w:val="24"/>
                <w:szCs w:val="24"/>
              </w:rPr>
              <w:t>100.00%</w:t>
            </w:r>
          </w:p>
        </w:tc>
      </w:tr>
      <w:tr w:rsidR="005B6855">
        <w:trPr>
          <w:trHeight w:val="391"/>
        </w:trPr>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5B6855" w:rsidRDefault="00B15E81">
            <w:pPr>
              <w:pStyle w:val="a7"/>
              <w:widowControl/>
              <w:spacing w:beforeAutospacing="1"/>
              <w:jc w:val="center"/>
              <w:rPr>
                <w:rFonts w:hint="default"/>
                <w:sz w:val="24"/>
                <w:szCs w:val="24"/>
              </w:rPr>
            </w:pPr>
            <w:r>
              <w:rPr>
                <w:sz w:val="24"/>
                <w:szCs w:val="24"/>
              </w:rPr>
              <w:t>1.2</w:t>
            </w:r>
          </w:p>
        </w:tc>
        <w:tc>
          <w:tcPr>
            <w:tcW w:w="3450" w:type="dxa"/>
            <w:tcBorders>
              <w:top w:val="single" w:sz="4" w:space="0" w:color="auto"/>
              <w:left w:val="nil"/>
              <w:bottom w:val="single" w:sz="4" w:space="0" w:color="auto"/>
              <w:right w:val="single" w:sz="4" w:space="0" w:color="auto"/>
            </w:tcBorders>
            <w:shd w:val="clear" w:color="auto" w:fill="auto"/>
            <w:vAlign w:val="center"/>
          </w:tcPr>
          <w:p w:rsidR="005B6855" w:rsidRDefault="00B15E81">
            <w:pPr>
              <w:pStyle w:val="a7"/>
              <w:widowControl/>
              <w:spacing w:beforeAutospacing="1"/>
              <w:jc w:val="left"/>
              <w:rPr>
                <w:rFonts w:hint="default"/>
                <w:sz w:val="24"/>
                <w:szCs w:val="24"/>
              </w:rPr>
            </w:pPr>
            <w:r>
              <w:rPr>
                <w:sz w:val="24"/>
                <w:szCs w:val="24"/>
              </w:rPr>
              <w:t>对个人和家庭的补助支出</w:t>
            </w:r>
          </w:p>
        </w:tc>
        <w:tc>
          <w:tcPr>
            <w:tcW w:w="1582" w:type="dxa"/>
            <w:tcBorders>
              <w:top w:val="single" w:sz="4" w:space="0" w:color="auto"/>
              <w:left w:val="nil"/>
              <w:bottom w:val="single" w:sz="4" w:space="0" w:color="auto"/>
              <w:right w:val="single" w:sz="4" w:space="0" w:color="auto"/>
            </w:tcBorders>
            <w:shd w:val="clear" w:color="auto" w:fill="auto"/>
            <w:vAlign w:val="center"/>
          </w:tcPr>
          <w:p w:rsidR="005B6855" w:rsidRDefault="00B15E81">
            <w:pPr>
              <w:pStyle w:val="a7"/>
              <w:widowControl/>
              <w:spacing w:beforeAutospacing="1"/>
              <w:rPr>
                <w:rFonts w:hint="default"/>
                <w:sz w:val="24"/>
                <w:szCs w:val="24"/>
              </w:rPr>
            </w:pPr>
            <w:r>
              <w:rPr>
                <w:sz w:val="24"/>
                <w:szCs w:val="24"/>
              </w:rPr>
              <w:t xml:space="preserve">122.01 </w:t>
            </w:r>
          </w:p>
        </w:tc>
        <w:tc>
          <w:tcPr>
            <w:tcW w:w="1473" w:type="dxa"/>
            <w:tcBorders>
              <w:top w:val="single" w:sz="4" w:space="0" w:color="auto"/>
              <w:left w:val="nil"/>
              <w:bottom w:val="single" w:sz="4" w:space="0" w:color="auto"/>
              <w:right w:val="single" w:sz="4" w:space="0" w:color="auto"/>
            </w:tcBorders>
            <w:shd w:val="clear" w:color="auto" w:fill="auto"/>
            <w:vAlign w:val="center"/>
          </w:tcPr>
          <w:p w:rsidR="005B6855" w:rsidRDefault="00B15E81">
            <w:pPr>
              <w:pStyle w:val="a7"/>
              <w:widowControl/>
              <w:spacing w:beforeAutospacing="1"/>
              <w:rPr>
                <w:rFonts w:hint="default"/>
                <w:sz w:val="24"/>
                <w:szCs w:val="24"/>
              </w:rPr>
            </w:pPr>
            <w:r>
              <w:rPr>
                <w:sz w:val="24"/>
                <w:szCs w:val="24"/>
              </w:rPr>
              <w:t xml:space="preserve">122.01 </w:t>
            </w:r>
          </w:p>
        </w:tc>
        <w:tc>
          <w:tcPr>
            <w:tcW w:w="1541" w:type="dxa"/>
            <w:tcBorders>
              <w:top w:val="single" w:sz="4" w:space="0" w:color="auto"/>
              <w:left w:val="nil"/>
              <w:bottom w:val="single" w:sz="4" w:space="0" w:color="auto"/>
              <w:right w:val="single" w:sz="4" w:space="0" w:color="auto"/>
            </w:tcBorders>
            <w:shd w:val="clear" w:color="auto" w:fill="auto"/>
            <w:vAlign w:val="center"/>
          </w:tcPr>
          <w:p w:rsidR="005B6855" w:rsidRDefault="00B15E81">
            <w:pPr>
              <w:pStyle w:val="a7"/>
              <w:widowControl/>
              <w:spacing w:beforeAutospacing="1"/>
              <w:rPr>
                <w:rFonts w:hint="default"/>
                <w:sz w:val="24"/>
                <w:szCs w:val="24"/>
              </w:rPr>
            </w:pPr>
            <w:r>
              <w:rPr>
                <w:sz w:val="24"/>
                <w:szCs w:val="24"/>
              </w:rPr>
              <w:t>100.00%</w:t>
            </w:r>
          </w:p>
        </w:tc>
      </w:tr>
      <w:tr w:rsidR="005B6855">
        <w:trPr>
          <w:trHeight w:val="391"/>
        </w:trPr>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5B6855" w:rsidRDefault="00B15E81">
            <w:pPr>
              <w:pStyle w:val="a7"/>
              <w:widowControl/>
              <w:spacing w:beforeAutospacing="1"/>
              <w:jc w:val="center"/>
              <w:rPr>
                <w:rFonts w:hint="default"/>
                <w:sz w:val="24"/>
                <w:szCs w:val="24"/>
              </w:rPr>
            </w:pPr>
            <w:r>
              <w:rPr>
                <w:sz w:val="24"/>
                <w:szCs w:val="24"/>
              </w:rPr>
              <w:t>1.3</w:t>
            </w:r>
          </w:p>
        </w:tc>
        <w:tc>
          <w:tcPr>
            <w:tcW w:w="3450" w:type="dxa"/>
            <w:tcBorders>
              <w:top w:val="single" w:sz="4" w:space="0" w:color="auto"/>
              <w:left w:val="nil"/>
              <w:bottom w:val="single" w:sz="4" w:space="0" w:color="auto"/>
              <w:right w:val="single" w:sz="4" w:space="0" w:color="auto"/>
            </w:tcBorders>
            <w:shd w:val="clear" w:color="auto" w:fill="auto"/>
            <w:vAlign w:val="center"/>
          </w:tcPr>
          <w:p w:rsidR="005B6855" w:rsidRDefault="00B15E81">
            <w:pPr>
              <w:pStyle w:val="a7"/>
              <w:widowControl/>
              <w:spacing w:beforeAutospacing="1"/>
              <w:jc w:val="left"/>
              <w:rPr>
                <w:rFonts w:hint="default"/>
                <w:sz w:val="24"/>
                <w:szCs w:val="24"/>
              </w:rPr>
            </w:pPr>
            <w:r>
              <w:rPr>
                <w:sz w:val="24"/>
                <w:szCs w:val="24"/>
              </w:rPr>
              <w:t>公用支出</w:t>
            </w:r>
          </w:p>
        </w:tc>
        <w:tc>
          <w:tcPr>
            <w:tcW w:w="1582" w:type="dxa"/>
            <w:tcBorders>
              <w:top w:val="single" w:sz="4" w:space="0" w:color="auto"/>
              <w:left w:val="nil"/>
              <w:bottom w:val="single" w:sz="4" w:space="0" w:color="auto"/>
              <w:right w:val="single" w:sz="4" w:space="0" w:color="auto"/>
            </w:tcBorders>
            <w:shd w:val="clear" w:color="auto" w:fill="auto"/>
            <w:vAlign w:val="center"/>
          </w:tcPr>
          <w:p w:rsidR="005B6855" w:rsidRDefault="00B15E81">
            <w:pPr>
              <w:pStyle w:val="a7"/>
              <w:widowControl/>
              <w:spacing w:beforeAutospacing="1"/>
              <w:rPr>
                <w:rFonts w:hint="default"/>
                <w:sz w:val="24"/>
                <w:szCs w:val="24"/>
              </w:rPr>
            </w:pPr>
            <w:r>
              <w:rPr>
                <w:sz w:val="24"/>
                <w:szCs w:val="24"/>
              </w:rPr>
              <w:t xml:space="preserve">195.40 </w:t>
            </w:r>
          </w:p>
        </w:tc>
        <w:tc>
          <w:tcPr>
            <w:tcW w:w="1473" w:type="dxa"/>
            <w:tcBorders>
              <w:top w:val="single" w:sz="4" w:space="0" w:color="auto"/>
              <w:left w:val="nil"/>
              <w:bottom w:val="single" w:sz="4" w:space="0" w:color="auto"/>
              <w:right w:val="single" w:sz="4" w:space="0" w:color="auto"/>
            </w:tcBorders>
            <w:shd w:val="clear" w:color="auto" w:fill="auto"/>
            <w:vAlign w:val="center"/>
          </w:tcPr>
          <w:p w:rsidR="005B6855" w:rsidRDefault="00B15E81">
            <w:pPr>
              <w:pStyle w:val="a7"/>
              <w:widowControl/>
              <w:spacing w:beforeAutospacing="1"/>
              <w:rPr>
                <w:rFonts w:hint="default"/>
                <w:sz w:val="24"/>
                <w:szCs w:val="24"/>
              </w:rPr>
            </w:pPr>
            <w:r>
              <w:rPr>
                <w:sz w:val="24"/>
                <w:szCs w:val="24"/>
              </w:rPr>
              <w:t xml:space="preserve">195.40 </w:t>
            </w:r>
          </w:p>
        </w:tc>
        <w:tc>
          <w:tcPr>
            <w:tcW w:w="1541" w:type="dxa"/>
            <w:tcBorders>
              <w:top w:val="single" w:sz="4" w:space="0" w:color="auto"/>
              <w:left w:val="nil"/>
              <w:bottom w:val="single" w:sz="4" w:space="0" w:color="auto"/>
              <w:right w:val="single" w:sz="4" w:space="0" w:color="auto"/>
            </w:tcBorders>
            <w:shd w:val="clear" w:color="auto" w:fill="auto"/>
            <w:vAlign w:val="center"/>
          </w:tcPr>
          <w:p w:rsidR="005B6855" w:rsidRDefault="00B15E81">
            <w:pPr>
              <w:pStyle w:val="a7"/>
              <w:widowControl/>
              <w:spacing w:beforeAutospacing="1"/>
              <w:rPr>
                <w:rFonts w:hint="default"/>
                <w:sz w:val="24"/>
                <w:szCs w:val="24"/>
              </w:rPr>
            </w:pPr>
            <w:r>
              <w:rPr>
                <w:sz w:val="24"/>
                <w:szCs w:val="24"/>
              </w:rPr>
              <w:t>100.00%</w:t>
            </w:r>
          </w:p>
        </w:tc>
      </w:tr>
      <w:tr w:rsidR="005B6855">
        <w:trPr>
          <w:trHeight w:val="391"/>
        </w:trPr>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5B6855" w:rsidRDefault="00B15E81">
            <w:pPr>
              <w:pStyle w:val="a7"/>
              <w:widowControl/>
              <w:spacing w:beforeAutospacing="1"/>
              <w:jc w:val="center"/>
              <w:rPr>
                <w:rFonts w:hint="default"/>
                <w:sz w:val="24"/>
                <w:szCs w:val="24"/>
              </w:rPr>
            </w:pPr>
            <w:r>
              <w:rPr>
                <w:sz w:val="24"/>
                <w:szCs w:val="24"/>
              </w:rPr>
              <w:t>2</w:t>
            </w:r>
          </w:p>
        </w:tc>
        <w:tc>
          <w:tcPr>
            <w:tcW w:w="3450" w:type="dxa"/>
            <w:tcBorders>
              <w:top w:val="single" w:sz="4" w:space="0" w:color="auto"/>
              <w:left w:val="nil"/>
              <w:bottom w:val="single" w:sz="4" w:space="0" w:color="auto"/>
              <w:right w:val="single" w:sz="4" w:space="0" w:color="auto"/>
            </w:tcBorders>
            <w:shd w:val="clear" w:color="auto" w:fill="auto"/>
            <w:vAlign w:val="center"/>
          </w:tcPr>
          <w:p w:rsidR="005B6855" w:rsidRDefault="00B15E81">
            <w:pPr>
              <w:pStyle w:val="a7"/>
              <w:widowControl/>
              <w:spacing w:beforeAutospacing="1"/>
              <w:jc w:val="left"/>
              <w:rPr>
                <w:rFonts w:hint="default"/>
                <w:sz w:val="24"/>
                <w:szCs w:val="24"/>
              </w:rPr>
            </w:pPr>
            <w:r>
              <w:rPr>
                <w:sz w:val="24"/>
                <w:szCs w:val="24"/>
              </w:rPr>
              <w:t>项目支出</w:t>
            </w:r>
          </w:p>
        </w:tc>
        <w:tc>
          <w:tcPr>
            <w:tcW w:w="1582" w:type="dxa"/>
            <w:tcBorders>
              <w:top w:val="single" w:sz="4" w:space="0" w:color="auto"/>
              <w:left w:val="nil"/>
              <w:bottom w:val="single" w:sz="4" w:space="0" w:color="auto"/>
              <w:right w:val="single" w:sz="4" w:space="0" w:color="auto"/>
            </w:tcBorders>
            <w:shd w:val="clear" w:color="auto" w:fill="auto"/>
            <w:vAlign w:val="center"/>
          </w:tcPr>
          <w:p w:rsidR="005B6855" w:rsidRDefault="00B15E81">
            <w:pPr>
              <w:pStyle w:val="a7"/>
              <w:widowControl/>
              <w:spacing w:beforeAutospacing="1"/>
              <w:rPr>
                <w:rFonts w:hint="default"/>
                <w:sz w:val="24"/>
                <w:szCs w:val="24"/>
              </w:rPr>
            </w:pPr>
            <w:r>
              <w:rPr>
                <w:sz w:val="24"/>
                <w:szCs w:val="24"/>
              </w:rPr>
              <w:t xml:space="preserve">31642.63 </w:t>
            </w:r>
          </w:p>
        </w:tc>
        <w:tc>
          <w:tcPr>
            <w:tcW w:w="1473" w:type="dxa"/>
            <w:tcBorders>
              <w:top w:val="single" w:sz="4" w:space="0" w:color="auto"/>
              <w:left w:val="nil"/>
              <w:bottom w:val="single" w:sz="4" w:space="0" w:color="auto"/>
              <w:right w:val="single" w:sz="4" w:space="0" w:color="auto"/>
            </w:tcBorders>
            <w:shd w:val="clear" w:color="auto" w:fill="auto"/>
            <w:vAlign w:val="center"/>
          </w:tcPr>
          <w:p w:rsidR="005B6855" w:rsidRDefault="00B15E81">
            <w:pPr>
              <w:pStyle w:val="a7"/>
              <w:widowControl/>
              <w:spacing w:beforeAutospacing="1"/>
              <w:rPr>
                <w:rFonts w:hint="default"/>
                <w:sz w:val="24"/>
                <w:szCs w:val="24"/>
              </w:rPr>
            </w:pPr>
            <w:r>
              <w:rPr>
                <w:sz w:val="24"/>
                <w:szCs w:val="24"/>
              </w:rPr>
              <w:t xml:space="preserve">26518.10 </w:t>
            </w:r>
          </w:p>
        </w:tc>
        <w:tc>
          <w:tcPr>
            <w:tcW w:w="1541" w:type="dxa"/>
            <w:tcBorders>
              <w:top w:val="single" w:sz="4" w:space="0" w:color="auto"/>
              <w:left w:val="nil"/>
              <w:bottom w:val="single" w:sz="4" w:space="0" w:color="auto"/>
              <w:right w:val="single" w:sz="4" w:space="0" w:color="auto"/>
            </w:tcBorders>
            <w:shd w:val="clear" w:color="auto" w:fill="auto"/>
            <w:vAlign w:val="center"/>
          </w:tcPr>
          <w:p w:rsidR="005B6855" w:rsidRDefault="00B15E81">
            <w:pPr>
              <w:pStyle w:val="a7"/>
              <w:widowControl/>
              <w:spacing w:beforeAutospacing="1"/>
              <w:rPr>
                <w:rFonts w:hint="default"/>
                <w:sz w:val="24"/>
                <w:szCs w:val="24"/>
              </w:rPr>
            </w:pPr>
            <w:r>
              <w:rPr>
                <w:sz w:val="24"/>
                <w:szCs w:val="24"/>
              </w:rPr>
              <w:t>83.80%</w:t>
            </w:r>
          </w:p>
        </w:tc>
      </w:tr>
      <w:tr w:rsidR="005B6855">
        <w:trPr>
          <w:trHeight w:val="391"/>
        </w:trPr>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5B6855" w:rsidRDefault="00B15E81">
            <w:pPr>
              <w:pStyle w:val="a7"/>
              <w:widowControl/>
              <w:spacing w:beforeAutospacing="1"/>
              <w:jc w:val="center"/>
              <w:rPr>
                <w:rFonts w:hint="default"/>
                <w:sz w:val="24"/>
                <w:szCs w:val="24"/>
              </w:rPr>
            </w:pPr>
            <w:r>
              <w:rPr>
                <w:sz w:val="24"/>
                <w:szCs w:val="24"/>
              </w:rPr>
              <w:t>2.1</w:t>
            </w:r>
          </w:p>
        </w:tc>
        <w:tc>
          <w:tcPr>
            <w:tcW w:w="3450" w:type="dxa"/>
            <w:tcBorders>
              <w:top w:val="single" w:sz="4" w:space="0" w:color="auto"/>
              <w:left w:val="nil"/>
              <w:bottom w:val="single" w:sz="4" w:space="0" w:color="auto"/>
              <w:right w:val="single" w:sz="4" w:space="0" w:color="auto"/>
            </w:tcBorders>
            <w:shd w:val="clear" w:color="auto" w:fill="auto"/>
            <w:vAlign w:val="center"/>
          </w:tcPr>
          <w:p w:rsidR="005B6855" w:rsidRDefault="00B15E81">
            <w:pPr>
              <w:pStyle w:val="a7"/>
              <w:widowControl/>
              <w:spacing w:beforeAutospacing="1"/>
              <w:jc w:val="left"/>
              <w:rPr>
                <w:rFonts w:hint="default"/>
                <w:sz w:val="24"/>
                <w:szCs w:val="24"/>
              </w:rPr>
            </w:pPr>
            <w:r>
              <w:rPr>
                <w:sz w:val="24"/>
                <w:szCs w:val="24"/>
              </w:rPr>
              <w:t>专项公用类项目支出</w:t>
            </w:r>
          </w:p>
        </w:tc>
        <w:tc>
          <w:tcPr>
            <w:tcW w:w="1582" w:type="dxa"/>
            <w:tcBorders>
              <w:top w:val="single" w:sz="4" w:space="0" w:color="auto"/>
              <w:left w:val="nil"/>
              <w:bottom w:val="single" w:sz="4" w:space="0" w:color="auto"/>
              <w:right w:val="single" w:sz="4" w:space="0" w:color="auto"/>
            </w:tcBorders>
            <w:shd w:val="clear" w:color="auto" w:fill="auto"/>
            <w:vAlign w:val="center"/>
          </w:tcPr>
          <w:p w:rsidR="005B6855" w:rsidRDefault="00B15E81">
            <w:pPr>
              <w:pStyle w:val="a7"/>
              <w:widowControl/>
              <w:spacing w:beforeAutospacing="1"/>
              <w:rPr>
                <w:rFonts w:hint="default"/>
                <w:sz w:val="24"/>
                <w:szCs w:val="24"/>
              </w:rPr>
            </w:pPr>
            <w:r>
              <w:rPr>
                <w:sz w:val="24"/>
                <w:szCs w:val="24"/>
              </w:rPr>
              <w:t xml:space="preserve">2281.27 </w:t>
            </w:r>
          </w:p>
        </w:tc>
        <w:tc>
          <w:tcPr>
            <w:tcW w:w="1473" w:type="dxa"/>
            <w:tcBorders>
              <w:top w:val="single" w:sz="4" w:space="0" w:color="auto"/>
              <w:left w:val="nil"/>
              <w:bottom w:val="single" w:sz="4" w:space="0" w:color="auto"/>
              <w:right w:val="single" w:sz="4" w:space="0" w:color="auto"/>
            </w:tcBorders>
            <w:shd w:val="clear" w:color="auto" w:fill="auto"/>
            <w:vAlign w:val="center"/>
          </w:tcPr>
          <w:p w:rsidR="005B6855" w:rsidRDefault="00B15E81">
            <w:pPr>
              <w:pStyle w:val="a7"/>
              <w:widowControl/>
              <w:spacing w:beforeAutospacing="1"/>
              <w:rPr>
                <w:rFonts w:hint="default"/>
                <w:sz w:val="24"/>
                <w:szCs w:val="24"/>
              </w:rPr>
            </w:pPr>
            <w:r>
              <w:rPr>
                <w:sz w:val="24"/>
                <w:szCs w:val="24"/>
              </w:rPr>
              <w:t xml:space="preserve">2007.27 </w:t>
            </w:r>
          </w:p>
        </w:tc>
        <w:tc>
          <w:tcPr>
            <w:tcW w:w="1541" w:type="dxa"/>
            <w:tcBorders>
              <w:top w:val="single" w:sz="4" w:space="0" w:color="auto"/>
              <w:left w:val="nil"/>
              <w:bottom w:val="single" w:sz="4" w:space="0" w:color="auto"/>
              <w:right w:val="single" w:sz="4" w:space="0" w:color="auto"/>
            </w:tcBorders>
            <w:shd w:val="clear" w:color="auto" w:fill="auto"/>
            <w:vAlign w:val="center"/>
          </w:tcPr>
          <w:p w:rsidR="005B6855" w:rsidRDefault="00B15E81">
            <w:pPr>
              <w:pStyle w:val="a7"/>
              <w:widowControl/>
              <w:spacing w:beforeAutospacing="1"/>
              <w:rPr>
                <w:rFonts w:hint="default"/>
                <w:sz w:val="24"/>
                <w:szCs w:val="24"/>
              </w:rPr>
            </w:pPr>
            <w:r>
              <w:rPr>
                <w:sz w:val="24"/>
                <w:szCs w:val="24"/>
              </w:rPr>
              <w:t>88.00%</w:t>
            </w:r>
          </w:p>
        </w:tc>
      </w:tr>
      <w:tr w:rsidR="005B6855">
        <w:trPr>
          <w:trHeight w:val="391"/>
        </w:trPr>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5B6855" w:rsidRDefault="00B15E81">
            <w:pPr>
              <w:pStyle w:val="a7"/>
              <w:widowControl/>
              <w:spacing w:beforeAutospacing="1"/>
              <w:jc w:val="center"/>
              <w:rPr>
                <w:rFonts w:hint="default"/>
                <w:sz w:val="24"/>
                <w:szCs w:val="24"/>
              </w:rPr>
            </w:pPr>
            <w:r>
              <w:rPr>
                <w:sz w:val="24"/>
                <w:szCs w:val="24"/>
              </w:rPr>
              <w:t>2.2</w:t>
            </w:r>
          </w:p>
        </w:tc>
        <w:tc>
          <w:tcPr>
            <w:tcW w:w="3450" w:type="dxa"/>
            <w:tcBorders>
              <w:top w:val="single" w:sz="4" w:space="0" w:color="auto"/>
              <w:left w:val="nil"/>
              <w:bottom w:val="single" w:sz="4" w:space="0" w:color="auto"/>
              <w:right w:val="single" w:sz="4" w:space="0" w:color="auto"/>
            </w:tcBorders>
            <w:shd w:val="clear" w:color="auto" w:fill="auto"/>
            <w:vAlign w:val="center"/>
          </w:tcPr>
          <w:p w:rsidR="005B6855" w:rsidRDefault="00B15E81">
            <w:pPr>
              <w:pStyle w:val="a7"/>
              <w:widowControl/>
              <w:spacing w:beforeAutospacing="1"/>
              <w:jc w:val="left"/>
              <w:rPr>
                <w:rFonts w:hint="default"/>
                <w:sz w:val="24"/>
                <w:szCs w:val="24"/>
              </w:rPr>
            </w:pPr>
            <w:r>
              <w:rPr>
                <w:sz w:val="24"/>
                <w:szCs w:val="24"/>
              </w:rPr>
              <w:t>政策类项目支出</w:t>
            </w:r>
          </w:p>
        </w:tc>
        <w:tc>
          <w:tcPr>
            <w:tcW w:w="1582" w:type="dxa"/>
            <w:tcBorders>
              <w:top w:val="single" w:sz="4" w:space="0" w:color="auto"/>
              <w:left w:val="nil"/>
              <w:bottom w:val="single" w:sz="4" w:space="0" w:color="auto"/>
              <w:right w:val="single" w:sz="4" w:space="0" w:color="auto"/>
            </w:tcBorders>
            <w:shd w:val="clear" w:color="auto" w:fill="auto"/>
            <w:vAlign w:val="center"/>
          </w:tcPr>
          <w:p w:rsidR="005B6855" w:rsidRDefault="00B15E81">
            <w:pPr>
              <w:pStyle w:val="a7"/>
              <w:widowControl/>
              <w:spacing w:beforeAutospacing="1"/>
              <w:rPr>
                <w:rFonts w:hint="default"/>
                <w:sz w:val="24"/>
                <w:szCs w:val="24"/>
              </w:rPr>
            </w:pPr>
            <w:r>
              <w:rPr>
                <w:sz w:val="24"/>
                <w:szCs w:val="24"/>
              </w:rPr>
              <w:t xml:space="preserve">5186.15 </w:t>
            </w:r>
          </w:p>
        </w:tc>
        <w:tc>
          <w:tcPr>
            <w:tcW w:w="1473" w:type="dxa"/>
            <w:tcBorders>
              <w:top w:val="single" w:sz="4" w:space="0" w:color="auto"/>
              <w:left w:val="nil"/>
              <w:bottom w:val="single" w:sz="4" w:space="0" w:color="auto"/>
              <w:right w:val="single" w:sz="4" w:space="0" w:color="auto"/>
            </w:tcBorders>
            <w:shd w:val="clear" w:color="auto" w:fill="auto"/>
            <w:vAlign w:val="center"/>
          </w:tcPr>
          <w:p w:rsidR="005B6855" w:rsidRDefault="00B15E81">
            <w:pPr>
              <w:pStyle w:val="a7"/>
              <w:widowControl/>
              <w:spacing w:beforeAutospacing="1"/>
              <w:rPr>
                <w:rFonts w:hint="default"/>
                <w:sz w:val="24"/>
                <w:szCs w:val="24"/>
              </w:rPr>
            </w:pPr>
            <w:r>
              <w:rPr>
                <w:sz w:val="24"/>
                <w:szCs w:val="24"/>
              </w:rPr>
              <w:t xml:space="preserve">4691.43 </w:t>
            </w:r>
          </w:p>
        </w:tc>
        <w:tc>
          <w:tcPr>
            <w:tcW w:w="1541" w:type="dxa"/>
            <w:tcBorders>
              <w:top w:val="single" w:sz="4" w:space="0" w:color="auto"/>
              <w:left w:val="nil"/>
              <w:bottom w:val="single" w:sz="4" w:space="0" w:color="auto"/>
              <w:right w:val="single" w:sz="4" w:space="0" w:color="auto"/>
            </w:tcBorders>
            <w:shd w:val="clear" w:color="auto" w:fill="auto"/>
            <w:vAlign w:val="center"/>
          </w:tcPr>
          <w:p w:rsidR="005B6855" w:rsidRDefault="00B15E81">
            <w:pPr>
              <w:pStyle w:val="a7"/>
              <w:widowControl/>
              <w:spacing w:beforeAutospacing="1"/>
              <w:rPr>
                <w:rFonts w:hint="default"/>
                <w:sz w:val="24"/>
                <w:szCs w:val="24"/>
              </w:rPr>
            </w:pPr>
            <w:r>
              <w:rPr>
                <w:sz w:val="24"/>
                <w:szCs w:val="24"/>
              </w:rPr>
              <w:t>90.50%</w:t>
            </w:r>
          </w:p>
        </w:tc>
      </w:tr>
      <w:tr w:rsidR="005B6855">
        <w:trPr>
          <w:trHeight w:val="391"/>
        </w:trPr>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5B6855" w:rsidRDefault="00B15E81">
            <w:pPr>
              <w:pStyle w:val="a7"/>
              <w:widowControl/>
              <w:spacing w:beforeAutospacing="1"/>
              <w:jc w:val="center"/>
              <w:rPr>
                <w:rFonts w:hint="default"/>
                <w:sz w:val="24"/>
                <w:szCs w:val="24"/>
              </w:rPr>
            </w:pPr>
            <w:r>
              <w:rPr>
                <w:sz w:val="24"/>
                <w:szCs w:val="24"/>
              </w:rPr>
              <w:t>2.3</w:t>
            </w:r>
          </w:p>
        </w:tc>
        <w:tc>
          <w:tcPr>
            <w:tcW w:w="3450" w:type="dxa"/>
            <w:tcBorders>
              <w:top w:val="single" w:sz="4" w:space="0" w:color="auto"/>
              <w:left w:val="nil"/>
              <w:bottom w:val="single" w:sz="4" w:space="0" w:color="auto"/>
              <w:right w:val="single" w:sz="4" w:space="0" w:color="auto"/>
            </w:tcBorders>
            <w:shd w:val="clear" w:color="auto" w:fill="auto"/>
            <w:vAlign w:val="center"/>
          </w:tcPr>
          <w:p w:rsidR="005B6855" w:rsidRDefault="00B15E81">
            <w:pPr>
              <w:pStyle w:val="a7"/>
              <w:widowControl/>
              <w:spacing w:beforeAutospacing="1"/>
              <w:jc w:val="left"/>
              <w:rPr>
                <w:rFonts w:hint="default"/>
                <w:sz w:val="24"/>
                <w:szCs w:val="24"/>
              </w:rPr>
            </w:pPr>
            <w:r>
              <w:rPr>
                <w:sz w:val="24"/>
                <w:szCs w:val="24"/>
              </w:rPr>
              <w:t>发展建设类项目支出</w:t>
            </w:r>
          </w:p>
        </w:tc>
        <w:tc>
          <w:tcPr>
            <w:tcW w:w="1582" w:type="dxa"/>
            <w:tcBorders>
              <w:top w:val="single" w:sz="4" w:space="0" w:color="auto"/>
              <w:left w:val="nil"/>
              <w:bottom w:val="single" w:sz="4" w:space="0" w:color="auto"/>
              <w:right w:val="single" w:sz="4" w:space="0" w:color="auto"/>
            </w:tcBorders>
            <w:shd w:val="clear" w:color="auto" w:fill="auto"/>
            <w:vAlign w:val="center"/>
          </w:tcPr>
          <w:p w:rsidR="005B6855" w:rsidRDefault="00B15E81">
            <w:pPr>
              <w:pStyle w:val="a7"/>
              <w:widowControl/>
              <w:spacing w:beforeAutospacing="1"/>
              <w:rPr>
                <w:rFonts w:hint="default"/>
                <w:sz w:val="24"/>
                <w:szCs w:val="24"/>
              </w:rPr>
            </w:pPr>
            <w:r>
              <w:rPr>
                <w:sz w:val="24"/>
                <w:szCs w:val="24"/>
              </w:rPr>
              <w:t xml:space="preserve">24175.21 </w:t>
            </w:r>
          </w:p>
        </w:tc>
        <w:tc>
          <w:tcPr>
            <w:tcW w:w="1473" w:type="dxa"/>
            <w:tcBorders>
              <w:top w:val="single" w:sz="4" w:space="0" w:color="auto"/>
              <w:left w:val="nil"/>
              <w:bottom w:val="single" w:sz="4" w:space="0" w:color="auto"/>
              <w:right w:val="single" w:sz="4" w:space="0" w:color="auto"/>
            </w:tcBorders>
            <w:shd w:val="clear" w:color="auto" w:fill="auto"/>
            <w:vAlign w:val="center"/>
          </w:tcPr>
          <w:p w:rsidR="005B6855" w:rsidRDefault="00B15E81">
            <w:pPr>
              <w:pStyle w:val="a7"/>
              <w:widowControl/>
              <w:spacing w:beforeAutospacing="1"/>
              <w:rPr>
                <w:rFonts w:hint="default"/>
                <w:sz w:val="24"/>
                <w:szCs w:val="24"/>
              </w:rPr>
            </w:pPr>
            <w:r>
              <w:rPr>
                <w:sz w:val="24"/>
                <w:szCs w:val="24"/>
              </w:rPr>
              <w:t xml:space="preserve">19819.40 </w:t>
            </w:r>
          </w:p>
        </w:tc>
        <w:tc>
          <w:tcPr>
            <w:tcW w:w="1541" w:type="dxa"/>
            <w:tcBorders>
              <w:top w:val="single" w:sz="4" w:space="0" w:color="auto"/>
              <w:left w:val="nil"/>
              <w:bottom w:val="single" w:sz="4" w:space="0" w:color="auto"/>
              <w:right w:val="single" w:sz="4" w:space="0" w:color="auto"/>
            </w:tcBorders>
            <w:shd w:val="clear" w:color="auto" w:fill="auto"/>
            <w:vAlign w:val="center"/>
          </w:tcPr>
          <w:p w:rsidR="005B6855" w:rsidRDefault="00B15E81">
            <w:pPr>
              <w:pStyle w:val="a7"/>
              <w:widowControl/>
              <w:spacing w:beforeAutospacing="1"/>
              <w:rPr>
                <w:rFonts w:hint="default"/>
                <w:sz w:val="24"/>
                <w:szCs w:val="24"/>
              </w:rPr>
            </w:pPr>
            <w:r>
              <w:rPr>
                <w:sz w:val="24"/>
                <w:szCs w:val="24"/>
              </w:rPr>
              <w:t>82.00%</w:t>
            </w:r>
          </w:p>
        </w:tc>
      </w:tr>
      <w:tr w:rsidR="005B6855">
        <w:trPr>
          <w:trHeight w:val="391"/>
        </w:trPr>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5B6855" w:rsidRDefault="00B15E81">
            <w:pPr>
              <w:pStyle w:val="a7"/>
              <w:widowControl/>
              <w:spacing w:beforeAutospacing="1"/>
              <w:jc w:val="center"/>
              <w:rPr>
                <w:rFonts w:hint="default"/>
                <w:sz w:val="24"/>
                <w:szCs w:val="24"/>
              </w:rPr>
            </w:pPr>
            <w:r>
              <w:rPr>
                <w:sz w:val="24"/>
                <w:szCs w:val="24"/>
              </w:rPr>
              <w:t>3</w:t>
            </w:r>
          </w:p>
        </w:tc>
        <w:tc>
          <w:tcPr>
            <w:tcW w:w="3450" w:type="dxa"/>
            <w:tcBorders>
              <w:top w:val="single" w:sz="4" w:space="0" w:color="auto"/>
              <w:left w:val="nil"/>
              <w:bottom w:val="single" w:sz="4" w:space="0" w:color="auto"/>
              <w:right w:val="single" w:sz="4" w:space="0" w:color="auto"/>
            </w:tcBorders>
            <w:shd w:val="clear" w:color="auto" w:fill="auto"/>
            <w:vAlign w:val="center"/>
          </w:tcPr>
          <w:p w:rsidR="005B6855" w:rsidRDefault="00B15E81">
            <w:pPr>
              <w:pStyle w:val="a7"/>
              <w:widowControl/>
              <w:spacing w:beforeAutospacing="1"/>
              <w:jc w:val="left"/>
              <w:rPr>
                <w:rFonts w:hint="default"/>
                <w:sz w:val="24"/>
                <w:szCs w:val="24"/>
              </w:rPr>
            </w:pPr>
            <w:r>
              <w:rPr>
                <w:sz w:val="24"/>
                <w:szCs w:val="24"/>
              </w:rPr>
              <w:t>还本付息支出</w:t>
            </w:r>
          </w:p>
        </w:tc>
        <w:tc>
          <w:tcPr>
            <w:tcW w:w="1582" w:type="dxa"/>
            <w:tcBorders>
              <w:top w:val="single" w:sz="4" w:space="0" w:color="auto"/>
              <w:left w:val="nil"/>
              <w:bottom w:val="single" w:sz="4" w:space="0" w:color="auto"/>
              <w:right w:val="single" w:sz="4" w:space="0" w:color="auto"/>
            </w:tcBorders>
            <w:shd w:val="clear" w:color="auto" w:fill="auto"/>
            <w:vAlign w:val="center"/>
          </w:tcPr>
          <w:p w:rsidR="005B6855" w:rsidRDefault="005B6855">
            <w:pPr>
              <w:pStyle w:val="a7"/>
              <w:widowControl/>
              <w:spacing w:beforeAutospacing="1"/>
              <w:rPr>
                <w:rFonts w:hint="default"/>
                <w:sz w:val="24"/>
                <w:szCs w:val="24"/>
              </w:rPr>
            </w:pPr>
          </w:p>
        </w:tc>
        <w:tc>
          <w:tcPr>
            <w:tcW w:w="1473" w:type="dxa"/>
            <w:tcBorders>
              <w:top w:val="single" w:sz="4" w:space="0" w:color="auto"/>
              <w:left w:val="nil"/>
              <w:bottom w:val="single" w:sz="4" w:space="0" w:color="auto"/>
              <w:right w:val="single" w:sz="4" w:space="0" w:color="auto"/>
            </w:tcBorders>
            <w:shd w:val="clear" w:color="auto" w:fill="auto"/>
            <w:vAlign w:val="center"/>
          </w:tcPr>
          <w:p w:rsidR="005B6855" w:rsidRDefault="00B15E81">
            <w:pPr>
              <w:pStyle w:val="a7"/>
              <w:widowControl/>
              <w:spacing w:beforeAutospacing="1"/>
              <w:rPr>
                <w:rFonts w:hint="default"/>
                <w:sz w:val="24"/>
                <w:szCs w:val="24"/>
              </w:rPr>
            </w:pPr>
            <w:r>
              <w:rPr>
                <w:sz w:val="24"/>
                <w:szCs w:val="24"/>
              </w:rPr>
              <w:t xml:space="preserve">11410.00 </w:t>
            </w:r>
          </w:p>
        </w:tc>
        <w:tc>
          <w:tcPr>
            <w:tcW w:w="1541" w:type="dxa"/>
            <w:tcBorders>
              <w:top w:val="single" w:sz="4" w:space="0" w:color="auto"/>
              <w:left w:val="nil"/>
              <w:bottom w:val="single" w:sz="4" w:space="0" w:color="auto"/>
              <w:right w:val="single" w:sz="4" w:space="0" w:color="auto"/>
            </w:tcBorders>
            <w:shd w:val="clear" w:color="auto" w:fill="auto"/>
            <w:vAlign w:val="center"/>
          </w:tcPr>
          <w:p w:rsidR="005B6855" w:rsidRDefault="005B6855">
            <w:pPr>
              <w:pStyle w:val="a7"/>
              <w:widowControl/>
              <w:spacing w:beforeAutospacing="1"/>
              <w:rPr>
                <w:rFonts w:hint="default"/>
                <w:sz w:val="24"/>
                <w:szCs w:val="24"/>
              </w:rPr>
            </w:pPr>
          </w:p>
        </w:tc>
      </w:tr>
      <w:tr w:rsidR="005B6855">
        <w:trPr>
          <w:trHeight w:val="391"/>
        </w:trPr>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5B6855" w:rsidRDefault="00B15E81">
            <w:pPr>
              <w:pStyle w:val="a7"/>
              <w:widowControl/>
              <w:spacing w:beforeAutospacing="1"/>
              <w:jc w:val="center"/>
              <w:rPr>
                <w:rFonts w:hint="default"/>
                <w:sz w:val="24"/>
                <w:szCs w:val="24"/>
              </w:rPr>
            </w:pPr>
            <w:r>
              <w:rPr>
                <w:sz w:val="24"/>
                <w:szCs w:val="24"/>
              </w:rPr>
              <w:lastRenderedPageBreak/>
              <w:t>3.1</w:t>
            </w:r>
          </w:p>
        </w:tc>
        <w:tc>
          <w:tcPr>
            <w:tcW w:w="3450" w:type="dxa"/>
            <w:tcBorders>
              <w:top w:val="single" w:sz="4" w:space="0" w:color="auto"/>
              <w:left w:val="nil"/>
              <w:bottom w:val="single" w:sz="4" w:space="0" w:color="auto"/>
              <w:right w:val="single" w:sz="4" w:space="0" w:color="auto"/>
            </w:tcBorders>
            <w:shd w:val="clear" w:color="auto" w:fill="auto"/>
            <w:vAlign w:val="center"/>
          </w:tcPr>
          <w:p w:rsidR="005B6855" w:rsidRDefault="00B15E81">
            <w:pPr>
              <w:pStyle w:val="a7"/>
              <w:widowControl/>
              <w:spacing w:beforeAutospacing="1"/>
              <w:jc w:val="left"/>
              <w:rPr>
                <w:rFonts w:hint="default"/>
                <w:sz w:val="24"/>
                <w:szCs w:val="24"/>
              </w:rPr>
            </w:pPr>
            <w:proofErr w:type="gramStart"/>
            <w:r>
              <w:rPr>
                <w:sz w:val="24"/>
                <w:szCs w:val="24"/>
              </w:rPr>
              <w:t>偿还市</w:t>
            </w:r>
            <w:proofErr w:type="gramEnd"/>
            <w:r>
              <w:rPr>
                <w:sz w:val="24"/>
                <w:szCs w:val="24"/>
              </w:rPr>
              <w:t>财政、国投、银行借款</w:t>
            </w:r>
          </w:p>
        </w:tc>
        <w:tc>
          <w:tcPr>
            <w:tcW w:w="1582" w:type="dxa"/>
            <w:tcBorders>
              <w:top w:val="single" w:sz="4" w:space="0" w:color="auto"/>
              <w:left w:val="nil"/>
              <w:bottom w:val="single" w:sz="4" w:space="0" w:color="auto"/>
              <w:right w:val="single" w:sz="4" w:space="0" w:color="auto"/>
            </w:tcBorders>
            <w:shd w:val="clear" w:color="auto" w:fill="auto"/>
            <w:vAlign w:val="center"/>
          </w:tcPr>
          <w:p w:rsidR="005B6855" w:rsidRDefault="005B6855">
            <w:pPr>
              <w:pStyle w:val="a7"/>
              <w:widowControl/>
              <w:spacing w:beforeAutospacing="1"/>
              <w:rPr>
                <w:rFonts w:hint="default"/>
                <w:sz w:val="24"/>
                <w:szCs w:val="24"/>
              </w:rPr>
            </w:pPr>
          </w:p>
        </w:tc>
        <w:tc>
          <w:tcPr>
            <w:tcW w:w="1473" w:type="dxa"/>
            <w:tcBorders>
              <w:top w:val="single" w:sz="4" w:space="0" w:color="auto"/>
              <w:left w:val="nil"/>
              <w:bottom w:val="single" w:sz="4" w:space="0" w:color="auto"/>
              <w:right w:val="single" w:sz="4" w:space="0" w:color="auto"/>
            </w:tcBorders>
            <w:shd w:val="clear" w:color="auto" w:fill="auto"/>
            <w:vAlign w:val="center"/>
          </w:tcPr>
          <w:p w:rsidR="005B6855" w:rsidRDefault="00B15E81">
            <w:pPr>
              <w:pStyle w:val="a7"/>
              <w:widowControl/>
              <w:spacing w:beforeAutospacing="1"/>
              <w:rPr>
                <w:rFonts w:hint="default"/>
                <w:sz w:val="24"/>
                <w:szCs w:val="24"/>
              </w:rPr>
            </w:pPr>
            <w:r>
              <w:rPr>
                <w:sz w:val="24"/>
                <w:szCs w:val="24"/>
              </w:rPr>
              <w:t xml:space="preserve">11410.00 </w:t>
            </w:r>
          </w:p>
        </w:tc>
        <w:tc>
          <w:tcPr>
            <w:tcW w:w="1541" w:type="dxa"/>
            <w:tcBorders>
              <w:top w:val="single" w:sz="4" w:space="0" w:color="auto"/>
              <w:left w:val="nil"/>
              <w:bottom w:val="single" w:sz="4" w:space="0" w:color="auto"/>
              <w:right w:val="single" w:sz="4" w:space="0" w:color="auto"/>
            </w:tcBorders>
            <w:shd w:val="clear" w:color="auto" w:fill="auto"/>
            <w:vAlign w:val="center"/>
          </w:tcPr>
          <w:p w:rsidR="005B6855" w:rsidRDefault="005B6855">
            <w:pPr>
              <w:pStyle w:val="a7"/>
              <w:widowControl/>
              <w:spacing w:beforeAutospacing="1"/>
              <w:rPr>
                <w:rFonts w:hint="default"/>
                <w:sz w:val="24"/>
                <w:szCs w:val="24"/>
              </w:rPr>
            </w:pPr>
          </w:p>
        </w:tc>
      </w:tr>
      <w:tr w:rsidR="005B6855">
        <w:trPr>
          <w:trHeight w:val="344"/>
        </w:trPr>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5B6855" w:rsidRDefault="00B15E81">
            <w:pPr>
              <w:pStyle w:val="a7"/>
              <w:widowControl/>
              <w:spacing w:beforeAutospacing="1"/>
              <w:jc w:val="center"/>
              <w:rPr>
                <w:rFonts w:hint="default"/>
                <w:sz w:val="24"/>
                <w:szCs w:val="24"/>
              </w:rPr>
            </w:pPr>
            <w:r>
              <w:rPr>
                <w:sz w:val="24"/>
                <w:szCs w:val="24"/>
              </w:rPr>
              <w:t>4</w:t>
            </w:r>
          </w:p>
        </w:tc>
        <w:tc>
          <w:tcPr>
            <w:tcW w:w="3450" w:type="dxa"/>
            <w:tcBorders>
              <w:top w:val="single" w:sz="4" w:space="0" w:color="auto"/>
              <w:left w:val="nil"/>
              <w:bottom w:val="single" w:sz="4" w:space="0" w:color="auto"/>
              <w:right w:val="single" w:sz="4" w:space="0" w:color="auto"/>
            </w:tcBorders>
            <w:shd w:val="clear" w:color="auto" w:fill="auto"/>
            <w:vAlign w:val="center"/>
          </w:tcPr>
          <w:p w:rsidR="005B6855" w:rsidRDefault="00B15E81">
            <w:pPr>
              <w:pStyle w:val="a7"/>
              <w:widowControl/>
              <w:spacing w:beforeAutospacing="1"/>
              <w:jc w:val="left"/>
              <w:rPr>
                <w:rFonts w:hint="default"/>
                <w:sz w:val="24"/>
                <w:szCs w:val="24"/>
              </w:rPr>
            </w:pPr>
            <w:r>
              <w:rPr>
                <w:sz w:val="24"/>
                <w:szCs w:val="24"/>
              </w:rPr>
              <w:t>上缴上级支出</w:t>
            </w:r>
          </w:p>
        </w:tc>
        <w:tc>
          <w:tcPr>
            <w:tcW w:w="1582" w:type="dxa"/>
            <w:tcBorders>
              <w:top w:val="single" w:sz="4" w:space="0" w:color="auto"/>
              <w:left w:val="nil"/>
              <w:bottom w:val="single" w:sz="4" w:space="0" w:color="auto"/>
              <w:right w:val="single" w:sz="4" w:space="0" w:color="auto"/>
            </w:tcBorders>
            <w:shd w:val="clear" w:color="auto" w:fill="auto"/>
            <w:vAlign w:val="bottom"/>
          </w:tcPr>
          <w:p w:rsidR="005B6855" w:rsidRDefault="005B6855">
            <w:pPr>
              <w:pStyle w:val="a7"/>
              <w:widowControl/>
              <w:spacing w:beforeAutospacing="1"/>
              <w:rPr>
                <w:rFonts w:hint="default"/>
                <w:sz w:val="24"/>
                <w:szCs w:val="24"/>
              </w:rPr>
            </w:pPr>
          </w:p>
        </w:tc>
        <w:tc>
          <w:tcPr>
            <w:tcW w:w="1473" w:type="dxa"/>
            <w:tcBorders>
              <w:top w:val="single" w:sz="4" w:space="0" w:color="auto"/>
              <w:left w:val="nil"/>
              <w:bottom w:val="single" w:sz="4" w:space="0" w:color="auto"/>
              <w:right w:val="single" w:sz="4" w:space="0" w:color="auto"/>
            </w:tcBorders>
            <w:shd w:val="clear" w:color="auto" w:fill="auto"/>
            <w:vAlign w:val="bottom"/>
          </w:tcPr>
          <w:p w:rsidR="005B6855" w:rsidRDefault="005B6855">
            <w:pPr>
              <w:pStyle w:val="a7"/>
              <w:widowControl/>
              <w:spacing w:beforeAutospacing="1"/>
              <w:rPr>
                <w:rFonts w:hint="default"/>
                <w:sz w:val="24"/>
                <w:szCs w:val="24"/>
              </w:rPr>
            </w:pPr>
          </w:p>
        </w:tc>
        <w:tc>
          <w:tcPr>
            <w:tcW w:w="1541" w:type="dxa"/>
            <w:tcBorders>
              <w:top w:val="single" w:sz="4" w:space="0" w:color="auto"/>
              <w:left w:val="nil"/>
              <w:bottom w:val="single" w:sz="4" w:space="0" w:color="auto"/>
              <w:right w:val="single" w:sz="4" w:space="0" w:color="auto"/>
            </w:tcBorders>
            <w:shd w:val="clear" w:color="auto" w:fill="auto"/>
            <w:vAlign w:val="center"/>
          </w:tcPr>
          <w:p w:rsidR="005B6855" w:rsidRDefault="005B6855">
            <w:pPr>
              <w:pStyle w:val="a7"/>
              <w:widowControl/>
              <w:spacing w:beforeAutospacing="1"/>
              <w:rPr>
                <w:rFonts w:hint="default"/>
                <w:sz w:val="24"/>
                <w:szCs w:val="24"/>
              </w:rPr>
            </w:pPr>
          </w:p>
        </w:tc>
      </w:tr>
      <w:tr w:rsidR="005B6855">
        <w:trPr>
          <w:trHeight w:val="391"/>
        </w:trPr>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5B6855" w:rsidRDefault="00B15E81">
            <w:pPr>
              <w:pStyle w:val="a7"/>
              <w:widowControl/>
              <w:spacing w:beforeAutospacing="1"/>
              <w:jc w:val="center"/>
              <w:rPr>
                <w:rFonts w:hint="default"/>
                <w:sz w:val="24"/>
                <w:szCs w:val="24"/>
              </w:rPr>
            </w:pPr>
            <w:r>
              <w:rPr>
                <w:sz w:val="24"/>
                <w:szCs w:val="24"/>
              </w:rPr>
              <w:t>5</w:t>
            </w:r>
          </w:p>
        </w:tc>
        <w:tc>
          <w:tcPr>
            <w:tcW w:w="3450" w:type="dxa"/>
            <w:tcBorders>
              <w:top w:val="single" w:sz="4" w:space="0" w:color="auto"/>
              <w:left w:val="nil"/>
              <w:bottom w:val="single" w:sz="4" w:space="0" w:color="auto"/>
              <w:right w:val="single" w:sz="4" w:space="0" w:color="auto"/>
            </w:tcBorders>
            <w:shd w:val="clear" w:color="auto" w:fill="auto"/>
            <w:vAlign w:val="center"/>
          </w:tcPr>
          <w:p w:rsidR="005B6855" w:rsidRDefault="00B15E81">
            <w:pPr>
              <w:pStyle w:val="a7"/>
              <w:widowControl/>
              <w:spacing w:beforeAutospacing="1"/>
              <w:jc w:val="left"/>
              <w:rPr>
                <w:rFonts w:hint="default"/>
                <w:sz w:val="24"/>
                <w:szCs w:val="24"/>
              </w:rPr>
            </w:pPr>
            <w:r>
              <w:rPr>
                <w:sz w:val="24"/>
                <w:szCs w:val="24"/>
              </w:rPr>
              <w:t>补助下级支出</w:t>
            </w:r>
          </w:p>
        </w:tc>
        <w:tc>
          <w:tcPr>
            <w:tcW w:w="1582" w:type="dxa"/>
            <w:tcBorders>
              <w:top w:val="single" w:sz="4" w:space="0" w:color="auto"/>
              <w:left w:val="nil"/>
              <w:bottom w:val="single" w:sz="4" w:space="0" w:color="auto"/>
              <w:right w:val="single" w:sz="4" w:space="0" w:color="auto"/>
            </w:tcBorders>
            <w:shd w:val="clear" w:color="auto" w:fill="auto"/>
            <w:vAlign w:val="bottom"/>
          </w:tcPr>
          <w:p w:rsidR="005B6855" w:rsidRDefault="005B6855">
            <w:pPr>
              <w:pStyle w:val="a7"/>
              <w:widowControl/>
              <w:spacing w:beforeAutospacing="1"/>
              <w:rPr>
                <w:rFonts w:hint="default"/>
                <w:sz w:val="24"/>
                <w:szCs w:val="24"/>
              </w:rPr>
            </w:pPr>
          </w:p>
        </w:tc>
        <w:tc>
          <w:tcPr>
            <w:tcW w:w="1473" w:type="dxa"/>
            <w:tcBorders>
              <w:top w:val="single" w:sz="4" w:space="0" w:color="auto"/>
              <w:left w:val="nil"/>
              <w:bottom w:val="single" w:sz="4" w:space="0" w:color="auto"/>
              <w:right w:val="single" w:sz="4" w:space="0" w:color="auto"/>
            </w:tcBorders>
            <w:shd w:val="clear" w:color="auto" w:fill="auto"/>
            <w:vAlign w:val="bottom"/>
          </w:tcPr>
          <w:p w:rsidR="005B6855" w:rsidRDefault="005B6855">
            <w:pPr>
              <w:pStyle w:val="a7"/>
              <w:widowControl/>
              <w:spacing w:beforeAutospacing="1"/>
              <w:rPr>
                <w:rFonts w:hint="default"/>
                <w:sz w:val="24"/>
                <w:szCs w:val="24"/>
              </w:rPr>
            </w:pPr>
          </w:p>
        </w:tc>
        <w:tc>
          <w:tcPr>
            <w:tcW w:w="1541" w:type="dxa"/>
            <w:tcBorders>
              <w:top w:val="single" w:sz="4" w:space="0" w:color="auto"/>
              <w:left w:val="nil"/>
              <w:bottom w:val="single" w:sz="4" w:space="0" w:color="auto"/>
              <w:right w:val="single" w:sz="4" w:space="0" w:color="auto"/>
            </w:tcBorders>
            <w:shd w:val="clear" w:color="auto" w:fill="auto"/>
            <w:vAlign w:val="center"/>
          </w:tcPr>
          <w:p w:rsidR="005B6855" w:rsidRDefault="005B6855">
            <w:pPr>
              <w:pStyle w:val="a7"/>
              <w:widowControl/>
              <w:spacing w:beforeAutospacing="1"/>
              <w:rPr>
                <w:rFonts w:hint="default"/>
                <w:sz w:val="24"/>
                <w:szCs w:val="24"/>
              </w:rPr>
            </w:pPr>
          </w:p>
        </w:tc>
      </w:tr>
      <w:tr w:rsidR="005B6855">
        <w:trPr>
          <w:trHeight w:val="391"/>
        </w:trPr>
        <w:tc>
          <w:tcPr>
            <w:tcW w:w="41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B6855" w:rsidRDefault="00B15E81">
            <w:pPr>
              <w:pStyle w:val="a7"/>
              <w:widowControl/>
              <w:spacing w:beforeAutospacing="1"/>
              <w:jc w:val="center"/>
              <w:rPr>
                <w:rFonts w:hint="default"/>
              </w:rPr>
            </w:pPr>
            <w:r>
              <w:rPr>
                <w:sz w:val="24"/>
                <w:szCs w:val="24"/>
              </w:rPr>
              <w:t>合计</w:t>
            </w:r>
          </w:p>
        </w:tc>
        <w:tc>
          <w:tcPr>
            <w:tcW w:w="1582" w:type="dxa"/>
            <w:tcBorders>
              <w:top w:val="single" w:sz="4" w:space="0" w:color="auto"/>
              <w:left w:val="nil"/>
              <w:bottom w:val="single" w:sz="4" w:space="0" w:color="auto"/>
              <w:right w:val="single" w:sz="4" w:space="0" w:color="auto"/>
            </w:tcBorders>
            <w:shd w:val="clear" w:color="auto" w:fill="auto"/>
            <w:vAlign w:val="center"/>
          </w:tcPr>
          <w:p w:rsidR="005B6855" w:rsidRDefault="00B15E81">
            <w:pPr>
              <w:pStyle w:val="a7"/>
              <w:widowControl/>
              <w:spacing w:beforeAutospacing="1"/>
              <w:rPr>
                <w:rFonts w:hint="default"/>
                <w:sz w:val="24"/>
                <w:szCs w:val="24"/>
              </w:rPr>
            </w:pPr>
            <w:r>
              <w:rPr>
                <w:sz w:val="24"/>
                <w:szCs w:val="24"/>
              </w:rPr>
              <w:t xml:space="preserve">33459.75 </w:t>
            </w:r>
          </w:p>
        </w:tc>
        <w:tc>
          <w:tcPr>
            <w:tcW w:w="1473" w:type="dxa"/>
            <w:tcBorders>
              <w:top w:val="single" w:sz="4" w:space="0" w:color="auto"/>
              <w:left w:val="nil"/>
              <w:bottom w:val="single" w:sz="4" w:space="0" w:color="auto"/>
              <w:right w:val="single" w:sz="4" w:space="0" w:color="auto"/>
            </w:tcBorders>
            <w:shd w:val="clear" w:color="auto" w:fill="auto"/>
            <w:vAlign w:val="center"/>
          </w:tcPr>
          <w:p w:rsidR="005B6855" w:rsidRDefault="00B15E81">
            <w:pPr>
              <w:pStyle w:val="a7"/>
              <w:widowControl/>
              <w:spacing w:beforeAutospacing="1"/>
              <w:rPr>
                <w:rFonts w:hint="default"/>
                <w:sz w:val="24"/>
                <w:szCs w:val="24"/>
              </w:rPr>
            </w:pPr>
            <w:r>
              <w:rPr>
                <w:sz w:val="24"/>
                <w:szCs w:val="24"/>
              </w:rPr>
              <w:t xml:space="preserve">39745.22 </w:t>
            </w:r>
          </w:p>
        </w:tc>
        <w:tc>
          <w:tcPr>
            <w:tcW w:w="1541" w:type="dxa"/>
            <w:tcBorders>
              <w:top w:val="single" w:sz="4" w:space="0" w:color="auto"/>
              <w:left w:val="nil"/>
              <w:bottom w:val="single" w:sz="4" w:space="0" w:color="auto"/>
              <w:right w:val="single" w:sz="4" w:space="0" w:color="auto"/>
            </w:tcBorders>
            <w:shd w:val="clear" w:color="auto" w:fill="auto"/>
            <w:vAlign w:val="center"/>
          </w:tcPr>
          <w:p w:rsidR="005B6855" w:rsidRDefault="00B15E81">
            <w:pPr>
              <w:pStyle w:val="a7"/>
              <w:widowControl/>
              <w:spacing w:beforeAutospacing="1"/>
              <w:rPr>
                <w:rFonts w:hint="default"/>
                <w:sz w:val="24"/>
                <w:szCs w:val="24"/>
              </w:rPr>
            </w:pPr>
            <w:r>
              <w:rPr>
                <w:sz w:val="24"/>
                <w:szCs w:val="24"/>
              </w:rPr>
              <w:t>118.80%</w:t>
            </w:r>
          </w:p>
        </w:tc>
      </w:tr>
    </w:tbl>
    <w:p w:rsidR="005B6855" w:rsidRDefault="00B15E81">
      <w:pPr>
        <w:autoSpaceDE w:val="0"/>
        <w:snapToGrid w:val="0"/>
        <w:spacing w:line="560" w:lineRule="exact"/>
        <w:ind w:firstLineChars="72" w:firstLine="218"/>
        <w:rPr>
          <w:rFonts w:ascii="宋体" w:eastAsia="宋体" w:hAnsi="宋体" w:cs="宋体"/>
          <w:b/>
          <w:spacing w:val="11"/>
          <w:sz w:val="28"/>
          <w:szCs w:val="28"/>
        </w:rPr>
      </w:pPr>
      <w:r>
        <w:rPr>
          <w:rFonts w:ascii="宋体" w:eastAsia="宋体" w:hAnsi="宋体" w:cs="宋体" w:hint="eastAsia"/>
          <w:b/>
          <w:spacing w:val="11"/>
          <w:sz w:val="28"/>
          <w:szCs w:val="28"/>
        </w:rPr>
        <w:t>（二） “三公”经费使用情况</w:t>
      </w:r>
    </w:p>
    <w:p w:rsidR="005B6855" w:rsidRDefault="00B15E81">
      <w:pPr>
        <w:pStyle w:val="a6"/>
        <w:autoSpaceDE w:val="0"/>
        <w:snapToGrid w:val="0"/>
        <w:spacing w:beforeAutospacing="0" w:afterAutospacing="0" w:line="560" w:lineRule="exact"/>
        <w:ind w:firstLineChars="200" w:firstLine="604"/>
        <w:rPr>
          <w:rFonts w:cs="宋体"/>
          <w:spacing w:val="11"/>
          <w:sz w:val="28"/>
          <w:szCs w:val="28"/>
        </w:rPr>
      </w:pPr>
      <w:r>
        <w:rPr>
          <w:rFonts w:cs="宋体" w:hint="eastAsia"/>
          <w:spacing w:val="11"/>
          <w:kern w:val="2"/>
          <w:sz w:val="28"/>
          <w:szCs w:val="28"/>
        </w:rPr>
        <w:t>2019年城北街道实际支出“三公”经费及会议、培训32.86万元，其中因公出国（境）费用0.00万元，公务接待费1.01万元，公务用车运行维护费25.19万元，会议费0.78万元，培训费5.88万元。2019年实际支出“三公”经费及会议</w:t>
      </w:r>
      <w:proofErr w:type="gramStart"/>
      <w:r>
        <w:rPr>
          <w:rFonts w:cs="宋体" w:hint="eastAsia"/>
          <w:spacing w:val="11"/>
          <w:kern w:val="2"/>
          <w:sz w:val="28"/>
          <w:szCs w:val="28"/>
        </w:rPr>
        <w:t>培训费较2018年</w:t>
      </w:r>
      <w:proofErr w:type="gramEnd"/>
      <w:r>
        <w:rPr>
          <w:rFonts w:cs="宋体" w:hint="eastAsia"/>
          <w:spacing w:val="11"/>
          <w:kern w:val="2"/>
          <w:sz w:val="28"/>
          <w:szCs w:val="28"/>
        </w:rPr>
        <w:t>增加17.15万元，增长率为109.17%（具体详见表3）。</w:t>
      </w:r>
    </w:p>
    <w:p w:rsidR="005B6855" w:rsidRDefault="00B15E81">
      <w:pPr>
        <w:widowControl/>
        <w:autoSpaceDE w:val="0"/>
        <w:adjustRightInd w:val="0"/>
        <w:snapToGrid w:val="0"/>
        <w:spacing w:line="560" w:lineRule="exact"/>
        <w:ind w:firstLineChars="200" w:firstLine="604"/>
        <w:jc w:val="center"/>
        <w:rPr>
          <w:rFonts w:ascii="宋体" w:eastAsia="宋体" w:hAnsi="宋体" w:cs="宋体"/>
          <w:spacing w:val="11"/>
          <w:sz w:val="28"/>
          <w:szCs w:val="28"/>
        </w:rPr>
      </w:pPr>
      <w:r>
        <w:rPr>
          <w:rFonts w:ascii="宋体" w:eastAsia="宋体" w:hAnsi="宋体" w:cs="宋体" w:hint="eastAsia"/>
          <w:spacing w:val="11"/>
          <w:sz w:val="28"/>
          <w:szCs w:val="28"/>
        </w:rPr>
        <w:t>表3  2019年城北街道三</w:t>
      </w:r>
      <w:proofErr w:type="gramStart"/>
      <w:r>
        <w:rPr>
          <w:rFonts w:ascii="宋体" w:eastAsia="宋体" w:hAnsi="宋体" w:cs="宋体" w:hint="eastAsia"/>
          <w:spacing w:val="11"/>
          <w:sz w:val="28"/>
          <w:szCs w:val="28"/>
        </w:rPr>
        <w:t>公经费</w:t>
      </w:r>
      <w:proofErr w:type="gramEnd"/>
      <w:r>
        <w:rPr>
          <w:rFonts w:ascii="宋体" w:eastAsia="宋体" w:hAnsi="宋体" w:cs="宋体" w:hint="eastAsia"/>
          <w:spacing w:val="11"/>
          <w:sz w:val="28"/>
          <w:szCs w:val="28"/>
        </w:rPr>
        <w:t>使用情况</w:t>
      </w:r>
    </w:p>
    <w:p w:rsidR="005B6855" w:rsidRDefault="00B15E81">
      <w:pPr>
        <w:widowControl/>
        <w:autoSpaceDE w:val="0"/>
        <w:adjustRightInd w:val="0"/>
        <w:snapToGrid w:val="0"/>
        <w:spacing w:line="520" w:lineRule="exact"/>
        <w:ind w:firstLineChars="200" w:firstLine="604"/>
        <w:jc w:val="right"/>
        <w:rPr>
          <w:rFonts w:ascii="宋体" w:eastAsia="宋体" w:hAnsi="宋体" w:cs="宋体"/>
          <w:spacing w:val="11"/>
          <w:sz w:val="28"/>
          <w:szCs w:val="28"/>
        </w:rPr>
      </w:pPr>
      <w:r>
        <w:rPr>
          <w:rFonts w:ascii="宋体" w:eastAsia="宋体" w:hAnsi="宋体" w:cs="宋体" w:hint="eastAsia"/>
          <w:spacing w:val="11"/>
          <w:sz w:val="28"/>
          <w:szCs w:val="28"/>
        </w:rPr>
        <w:t>单位：万元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9"/>
        <w:gridCol w:w="1666"/>
        <w:gridCol w:w="1732"/>
        <w:gridCol w:w="1273"/>
        <w:gridCol w:w="1222"/>
      </w:tblGrid>
      <w:tr w:rsidR="005B6855">
        <w:tc>
          <w:tcPr>
            <w:tcW w:w="15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6855" w:rsidRDefault="00B15E81">
            <w:pPr>
              <w:pStyle w:val="a7"/>
              <w:autoSpaceDE w:val="0"/>
              <w:spacing w:beforeAutospacing="1" w:line="480" w:lineRule="exact"/>
              <w:jc w:val="left"/>
              <w:rPr>
                <w:rFonts w:hint="default"/>
                <w:sz w:val="24"/>
                <w:szCs w:val="24"/>
              </w:rPr>
            </w:pPr>
            <w:r>
              <w:rPr>
                <w:sz w:val="24"/>
                <w:szCs w:val="24"/>
              </w:rPr>
              <w:t>项目</w:t>
            </w:r>
          </w:p>
        </w:tc>
        <w:tc>
          <w:tcPr>
            <w:tcW w:w="977" w:type="pct"/>
            <w:tcBorders>
              <w:top w:val="single" w:sz="4" w:space="0" w:color="000000"/>
              <w:left w:val="nil"/>
              <w:bottom w:val="single" w:sz="4" w:space="0" w:color="000000"/>
              <w:right w:val="single" w:sz="4" w:space="0" w:color="000000"/>
            </w:tcBorders>
            <w:shd w:val="clear" w:color="auto" w:fill="auto"/>
            <w:vAlign w:val="center"/>
          </w:tcPr>
          <w:p w:rsidR="005B6855" w:rsidRDefault="00B15E81">
            <w:pPr>
              <w:pStyle w:val="a7"/>
              <w:autoSpaceDE w:val="0"/>
              <w:spacing w:beforeAutospacing="1" w:line="480" w:lineRule="exact"/>
              <w:jc w:val="left"/>
              <w:rPr>
                <w:rFonts w:hint="default"/>
                <w:sz w:val="24"/>
                <w:szCs w:val="24"/>
              </w:rPr>
            </w:pPr>
            <w:r>
              <w:rPr>
                <w:sz w:val="24"/>
                <w:szCs w:val="24"/>
              </w:rPr>
              <w:t>2018年执行数</w:t>
            </w:r>
          </w:p>
        </w:tc>
        <w:tc>
          <w:tcPr>
            <w:tcW w:w="1016" w:type="pct"/>
            <w:tcBorders>
              <w:top w:val="single" w:sz="4" w:space="0" w:color="000000"/>
              <w:left w:val="nil"/>
              <w:bottom w:val="single" w:sz="4" w:space="0" w:color="000000"/>
              <w:right w:val="single" w:sz="4" w:space="0" w:color="000000"/>
            </w:tcBorders>
            <w:shd w:val="clear" w:color="auto" w:fill="auto"/>
            <w:vAlign w:val="center"/>
          </w:tcPr>
          <w:p w:rsidR="005B6855" w:rsidRDefault="00B15E81">
            <w:pPr>
              <w:pStyle w:val="a7"/>
              <w:autoSpaceDE w:val="0"/>
              <w:spacing w:beforeAutospacing="1" w:line="480" w:lineRule="exact"/>
              <w:jc w:val="left"/>
              <w:rPr>
                <w:rFonts w:hint="default"/>
                <w:sz w:val="24"/>
                <w:szCs w:val="24"/>
              </w:rPr>
            </w:pPr>
            <w:r>
              <w:rPr>
                <w:sz w:val="24"/>
                <w:szCs w:val="24"/>
              </w:rPr>
              <w:t>2019年执行数</w:t>
            </w:r>
          </w:p>
        </w:tc>
        <w:tc>
          <w:tcPr>
            <w:tcW w:w="747" w:type="pct"/>
            <w:tcBorders>
              <w:top w:val="single" w:sz="4" w:space="0" w:color="000000"/>
              <w:left w:val="nil"/>
              <w:bottom w:val="single" w:sz="4" w:space="0" w:color="000000"/>
              <w:right w:val="single" w:sz="4" w:space="0" w:color="000000"/>
            </w:tcBorders>
            <w:shd w:val="clear" w:color="auto" w:fill="auto"/>
            <w:vAlign w:val="center"/>
          </w:tcPr>
          <w:p w:rsidR="005B6855" w:rsidRDefault="00B15E81">
            <w:pPr>
              <w:pStyle w:val="a7"/>
              <w:autoSpaceDE w:val="0"/>
              <w:spacing w:beforeAutospacing="1" w:line="480" w:lineRule="exact"/>
              <w:jc w:val="left"/>
              <w:rPr>
                <w:rFonts w:hint="default"/>
                <w:sz w:val="24"/>
                <w:szCs w:val="24"/>
              </w:rPr>
            </w:pPr>
            <w:r>
              <w:rPr>
                <w:sz w:val="24"/>
                <w:szCs w:val="24"/>
              </w:rPr>
              <w:t>增长额</w:t>
            </w:r>
          </w:p>
        </w:tc>
        <w:tc>
          <w:tcPr>
            <w:tcW w:w="717" w:type="pct"/>
            <w:tcBorders>
              <w:top w:val="single" w:sz="4" w:space="0" w:color="000000"/>
              <w:left w:val="nil"/>
              <w:bottom w:val="single" w:sz="4" w:space="0" w:color="000000"/>
              <w:right w:val="single" w:sz="4" w:space="0" w:color="000000"/>
            </w:tcBorders>
            <w:shd w:val="clear" w:color="auto" w:fill="auto"/>
            <w:vAlign w:val="center"/>
          </w:tcPr>
          <w:p w:rsidR="005B6855" w:rsidRDefault="00B15E81">
            <w:pPr>
              <w:pStyle w:val="a7"/>
              <w:autoSpaceDE w:val="0"/>
              <w:spacing w:beforeAutospacing="1" w:line="480" w:lineRule="exact"/>
              <w:jc w:val="left"/>
              <w:rPr>
                <w:rFonts w:hint="default"/>
                <w:sz w:val="24"/>
                <w:szCs w:val="24"/>
              </w:rPr>
            </w:pPr>
            <w:r>
              <w:rPr>
                <w:sz w:val="24"/>
                <w:szCs w:val="24"/>
              </w:rPr>
              <w:t>增长率</w:t>
            </w:r>
          </w:p>
        </w:tc>
      </w:tr>
      <w:tr w:rsidR="005B6855">
        <w:tc>
          <w:tcPr>
            <w:tcW w:w="15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6855" w:rsidRDefault="00B15E81">
            <w:pPr>
              <w:pStyle w:val="a7"/>
              <w:autoSpaceDE w:val="0"/>
              <w:spacing w:beforeAutospacing="1" w:line="480" w:lineRule="exact"/>
              <w:jc w:val="left"/>
              <w:rPr>
                <w:rFonts w:hint="default"/>
                <w:sz w:val="24"/>
                <w:szCs w:val="24"/>
              </w:rPr>
            </w:pPr>
            <w:r>
              <w:rPr>
                <w:sz w:val="24"/>
                <w:szCs w:val="24"/>
              </w:rPr>
              <w:t>因公出国（境）费用</w:t>
            </w:r>
          </w:p>
        </w:tc>
        <w:tc>
          <w:tcPr>
            <w:tcW w:w="977" w:type="pct"/>
            <w:tcBorders>
              <w:top w:val="single" w:sz="4" w:space="0" w:color="000000"/>
              <w:left w:val="nil"/>
              <w:bottom w:val="single" w:sz="4" w:space="0" w:color="000000"/>
              <w:right w:val="single" w:sz="4" w:space="0" w:color="000000"/>
            </w:tcBorders>
            <w:shd w:val="clear" w:color="auto" w:fill="auto"/>
            <w:vAlign w:val="center"/>
          </w:tcPr>
          <w:p w:rsidR="005B6855" w:rsidRDefault="005B6855">
            <w:pPr>
              <w:pStyle w:val="a7"/>
              <w:autoSpaceDE w:val="0"/>
              <w:spacing w:beforeAutospacing="1" w:line="480" w:lineRule="exact"/>
              <w:rPr>
                <w:rFonts w:hint="default"/>
                <w:sz w:val="24"/>
                <w:szCs w:val="24"/>
              </w:rPr>
            </w:pPr>
          </w:p>
        </w:tc>
        <w:tc>
          <w:tcPr>
            <w:tcW w:w="1016" w:type="pct"/>
            <w:tcBorders>
              <w:top w:val="single" w:sz="4" w:space="0" w:color="000000"/>
              <w:left w:val="nil"/>
              <w:bottom w:val="single" w:sz="4" w:space="0" w:color="000000"/>
              <w:right w:val="single" w:sz="4" w:space="0" w:color="000000"/>
            </w:tcBorders>
            <w:shd w:val="clear" w:color="auto" w:fill="auto"/>
            <w:vAlign w:val="center"/>
          </w:tcPr>
          <w:p w:rsidR="005B6855" w:rsidRDefault="005B6855">
            <w:pPr>
              <w:pStyle w:val="a7"/>
              <w:autoSpaceDE w:val="0"/>
              <w:spacing w:beforeAutospacing="1" w:line="480" w:lineRule="exact"/>
              <w:rPr>
                <w:rFonts w:hint="default"/>
                <w:sz w:val="24"/>
                <w:szCs w:val="24"/>
              </w:rPr>
            </w:pPr>
          </w:p>
        </w:tc>
        <w:tc>
          <w:tcPr>
            <w:tcW w:w="747" w:type="pct"/>
            <w:tcBorders>
              <w:top w:val="single" w:sz="4" w:space="0" w:color="000000"/>
              <w:left w:val="nil"/>
              <w:bottom w:val="single" w:sz="4" w:space="0" w:color="000000"/>
              <w:right w:val="single" w:sz="4" w:space="0" w:color="000000"/>
            </w:tcBorders>
            <w:shd w:val="clear" w:color="auto" w:fill="auto"/>
            <w:vAlign w:val="center"/>
          </w:tcPr>
          <w:p w:rsidR="005B6855" w:rsidRDefault="005B6855">
            <w:pPr>
              <w:pStyle w:val="a7"/>
              <w:autoSpaceDE w:val="0"/>
              <w:spacing w:beforeAutospacing="1" w:line="480" w:lineRule="exact"/>
              <w:rPr>
                <w:rFonts w:hint="default"/>
                <w:sz w:val="24"/>
                <w:szCs w:val="24"/>
              </w:rPr>
            </w:pPr>
          </w:p>
        </w:tc>
        <w:tc>
          <w:tcPr>
            <w:tcW w:w="717" w:type="pct"/>
            <w:tcBorders>
              <w:top w:val="single" w:sz="4" w:space="0" w:color="000000"/>
              <w:left w:val="nil"/>
              <w:bottom w:val="single" w:sz="4" w:space="0" w:color="000000"/>
              <w:right w:val="single" w:sz="4" w:space="0" w:color="000000"/>
            </w:tcBorders>
            <w:shd w:val="clear" w:color="auto" w:fill="auto"/>
            <w:vAlign w:val="center"/>
          </w:tcPr>
          <w:p w:rsidR="005B6855" w:rsidRDefault="005B6855">
            <w:pPr>
              <w:pStyle w:val="a7"/>
              <w:autoSpaceDE w:val="0"/>
              <w:spacing w:beforeAutospacing="1" w:line="480" w:lineRule="exact"/>
              <w:rPr>
                <w:rFonts w:hint="default"/>
                <w:sz w:val="24"/>
                <w:szCs w:val="24"/>
              </w:rPr>
            </w:pPr>
          </w:p>
        </w:tc>
      </w:tr>
      <w:tr w:rsidR="005B6855">
        <w:tc>
          <w:tcPr>
            <w:tcW w:w="15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6855" w:rsidRDefault="00B15E81">
            <w:pPr>
              <w:pStyle w:val="a7"/>
              <w:autoSpaceDE w:val="0"/>
              <w:spacing w:beforeAutospacing="1" w:line="480" w:lineRule="exact"/>
              <w:jc w:val="left"/>
              <w:rPr>
                <w:rFonts w:hint="default"/>
                <w:sz w:val="24"/>
                <w:szCs w:val="24"/>
              </w:rPr>
            </w:pPr>
            <w:r>
              <w:rPr>
                <w:sz w:val="24"/>
                <w:szCs w:val="24"/>
              </w:rPr>
              <w:t>公务接待费</w:t>
            </w:r>
          </w:p>
        </w:tc>
        <w:tc>
          <w:tcPr>
            <w:tcW w:w="977" w:type="pct"/>
            <w:tcBorders>
              <w:top w:val="single" w:sz="4" w:space="0" w:color="000000"/>
              <w:left w:val="nil"/>
              <w:bottom w:val="single" w:sz="4" w:space="0" w:color="000000"/>
              <w:right w:val="single" w:sz="4" w:space="0" w:color="000000"/>
            </w:tcBorders>
            <w:shd w:val="clear" w:color="auto" w:fill="auto"/>
            <w:vAlign w:val="center"/>
          </w:tcPr>
          <w:p w:rsidR="005B6855" w:rsidRDefault="00B15E81">
            <w:pPr>
              <w:pStyle w:val="a7"/>
              <w:autoSpaceDE w:val="0"/>
              <w:spacing w:beforeAutospacing="1" w:line="480" w:lineRule="exact"/>
              <w:rPr>
                <w:rFonts w:hint="default"/>
                <w:sz w:val="24"/>
                <w:szCs w:val="24"/>
              </w:rPr>
            </w:pPr>
            <w:r>
              <w:rPr>
                <w:sz w:val="24"/>
                <w:szCs w:val="24"/>
              </w:rPr>
              <w:t>1.03</w:t>
            </w:r>
          </w:p>
        </w:tc>
        <w:tc>
          <w:tcPr>
            <w:tcW w:w="1016" w:type="pct"/>
            <w:tcBorders>
              <w:top w:val="single" w:sz="4" w:space="0" w:color="000000"/>
              <w:left w:val="nil"/>
              <w:bottom w:val="single" w:sz="4" w:space="0" w:color="000000"/>
              <w:right w:val="single" w:sz="4" w:space="0" w:color="000000"/>
            </w:tcBorders>
            <w:shd w:val="clear" w:color="auto" w:fill="auto"/>
            <w:vAlign w:val="center"/>
          </w:tcPr>
          <w:p w:rsidR="005B6855" w:rsidRDefault="00B15E81">
            <w:pPr>
              <w:pStyle w:val="a7"/>
              <w:autoSpaceDE w:val="0"/>
              <w:spacing w:beforeAutospacing="1" w:line="480" w:lineRule="exact"/>
              <w:rPr>
                <w:rFonts w:hint="default"/>
                <w:sz w:val="24"/>
                <w:szCs w:val="24"/>
              </w:rPr>
            </w:pPr>
            <w:r>
              <w:rPr>
                <w:sz w:val="24"/>
                <w:szCs w:val="24"/>
              </w:rPr>
              <w:t>1.01</w:t>
            </w:r>
          </w:p>
        </w:tc>
        <w:tc>
          <w:tcPr>
            <w:tcW w:w="747" w:type="pct"/>
            <w:tcBorders>
              <w:top w:val="single" w:sz="4" w:space="0" w:color="000000"/>
              <w:left w:val="nil"/>
              <w:bottom w:val="single" w:sz="4" w:space="0" w:color="000000"/>
              <w:right w:val="single" w:sz="4" w:space="0" w:color="000000"/>
            </w:tcBorders>
            <w:shd w:val="clear" w:color="auto" w:fill="auto"/>
            <w:vAlign w:val="center"/>
          </w:tcPr>
          <w:p w:rsidR="005B6855" w:rsidRDefault="00B15E81">
            <w:pPr>
              <w:pStyle w:val="a7"/>
              <w:autoSpaceDE w:val="0"/>
              <w:spacing w:beforeAutospacing="1" w:line="480" w:lineRule="exact"/>
              <w:rPr>
                <w:rFonts w:hint="default"/>
                <w:sz w:val="24"/>
                <w:szCs w:val="24"/>
              </w:rPr>
            </w:pPr>
            <w:r>
              <w:rPr>
                <w:sz w:val="24"/>
                <w:szCs w:val="24"/>
              </w:rPr>
              <w:t>-0.02</w:t>
            </w:r>
          </w:p>
        </w:tc>
        <w:tc>
          <w:tcPr>
            <w:tcW w:w="717" w:type="pct"/>
            <w:tcBorders>
              <w:top w:val="single" w:sz="4" w:space="0" w:color="000000"/>
              <w:left w:val="nil"/>
              <w:bottom w:val="single" w:sz="4" w:space="0" w:color="000000"/>
              <w:right w:val="single" w:sz="4" w:space="0" w:color="000000"/>
            </w:tcBorders>
            <w:shd w:val="clear" w:color="auto" w:fill="auto"/>
            <w:vAlign w:val="center"/>
          </w:tcPr>
          <w:p w:rsidR="005B6855" w:rsidRDefault="00B15E81">
            <w:pPr>
              <w:pStyle w:val="a7"/>
              <w:autoSpaceDE w:val="0"/>
              <w:spacing w:beforeAutospacing="1" w:line="480" w:lineRule="exact"/>
              <w:rPr>
                <w:rFonts w:hint="default"/>
                <w:sz w:val="24"/>
                <w:szCs w:val="24"/>
              </w:rPr>
            </w:pPr>
            <w:r>
              <w:rPr>
                <w:sz w:val="24"/>
                <w:szCs w:val="24"/>
              </w:rPr>
              <w:t>-1.94%</w:t>
            </w:r>
          </w:p>
        </w:tc>
      </w:tr>
      <w:tr w:rsidR="005B6855">
        <w:tc>
          <w:tcPr>
            <w:tcW w:w="15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6855" w:rsidRDefault="00B15E81">
            <w:pPr>
              <w:pStyle w:val="a7"/>
              <w:autoSpaceDE w:val="0"/>
              <w:spacing w:beforeAutospacing="1" w:line="480" w:lineRule="exact"/>
              <w:jc w:val="left"/>
              <w:rPr>
                <w:rFonts w:hint="default"/>
                <w:sz w:val="24"/>
                <w:szCs w:val="24"/>
              </w:rPr>
            </w:pPr>
            <w:r>
              <w:rPr>
                <w:sz w:val="24"/>
                <w:szCs w:val="24"/>
              </w:rPr>
              <w:t>公务用车购置费及运行</w:t>
            </w:r>
          </w:p>
        </w:tc>
        <w:tc>
          <w:tcPr>
            <w:tcW w:w="977" w:type="pct"/>
            <w:tcBorders>
              <w:top w:val="single" w:sz="4" w:space="0" w:color="000000"/>
              <w:left w:val="nil"/>
              <w:bottom w:val="single" w:sz="4" w:space="0" w:color="000000"/>
              <w:right w:val="single" w:sz="4" w:space="0" w:color="000000"/>
            </w:tcBorders>
            <w:shd w:val="clear" w:color="auto" w:fill="auto"/>
            <w:vAlign w:val="center"/>
          </w:tcPr>
          <w:p w:rsidR="005B6855" w:rsidRDefault="00B15E81">
            <w:pPr>
              <w:pStyle w:val="a7"/>
              <w:autoSpaceDE w:val="0"/>
              <w:spacing w:beforeAutospacing="1" w:line="480" w:lineRule="exact"/>
              <w:rPr>
                <w:rFonts w:hint="default"/>
                <w:sz w:val="24"/>
                <w:szCs w:val="24"/>
              </w:rPr>
            </w:pPr>
            <w:r>
              <w:rPr>
                <w:sz w:val="24"/>
                <w:szCs w:val="24"/>
              </w:rPr>
              <w:t>6.08</w:t>
            </w:r>
          </w:p>
        </w:tc>
        <w:tc>
          <w:tcPr>
            <w:tcW w:w="1016" w:type="pct"/>
            <w:tcBorders>
              <w:top w:val="single" w:sz="4" w:space="0" w:color="000000"/>
              <w:left w:val="nil"/>
              <w:bottom w:val="single" w:sz="4" w:space="0" w:color="000000"/>
              <w:right w:val="single" w:sz="4" w:space="0" w:color="000000"/>
            </w:tcBorders>
            <w:shd w:val="clear" w:color="auto" w:fill="auto"/>
            <w:vAlign w:val="center"/>
          </w:tcPr>
          <w:p w:rsidR="005B6855" w:rsidRDefault="00B15E81">
            <w:pPr>
              <w:pStyle w:val="a7"/>
              <w:autoSpaceDE w:val="0"/>
              <w:spacing w:beforeAutospacing="1" w:line="480" w:lineRule="exact"/>
              <w:rPr>
                <w:rFonts w:hint="default"/>
                <w:sz w:val="24"/>
                <w:szCs w:val="24"/>
              </w:rPr>
            </w:pPr>
            <w:r>
              <w:rPr>
                <w:sz w:val="24"/>
                <w:szCs w:val="24"/>
              </w:rPr>
              <w:t>25.19</w:t>
            </w:r>
          </w:p>
        </w:tc>
        <w:tc>
          <w:tcPr>
            <w:tcW w:w="747" w:type="pct"/>
            <w:tcBorders>
              <w:top w:val="single" w:sz="4" w:space="0" w:color="000000"/>
              <w:left w:val="nil"/>
              <w:bottom w:val="single" w:sz="4" w:space="0" w:color="000000"/>
              <w:right w:val="single" w:sz="4" w:space="0" w:color="000000"/>
            </w:tcBorders>
            <w:shd w:val="clear" w:color="auto" w:fill="auto"/>
            <w:vAlign w:val="center"/>
          </w:tcPr>
          <w:p w:rsidR="005B6855" w:rsidRDefault="00B15E81">
            <w:pPr>
              <w:pStyle w:val="a7"/>
              <w:autoSpaceDE w:val="0"/>
              <w:spacing w:beforeAutospacing="1" w:line="480" w:lineRule="exact"/>
              <w:rPr>
                <w:rFonts w:hint="default"/>
                <w:sz w:val="24"/>
                <w:szCs w:val="24"/>
              </w:rPr>
            </w:pPr>
            <w:r>
              <w:rPr>
                <w:sz w:val="24"/>
                <w:szCs w:val="24"/>
              </w:rPr>
              <w:t>19.11</w:t>
            </w:r>
          </w:p>
        </w:tc>
        <w:tc>
          <w:tcPr>
            <w:tcW w:w="717" w:type="pct"/>
            <w:tcBorders>
              <w:top w:val="single" w:sz="4" w:space="0" w:color="000000"/>
              <w:left w:val="nil"/>
              <w:bottom w:val="single" w:sz="4" w:space="0" w:color="000000"/>
              <w:right w:val="single" w:sz="4" w:space="0" w:color="000000"/>
            </w:tcBorders>
            <w:shd w:val="clear" w:color="auto" w:fill="auto"/>
            <w:vAlign w:val="center"/>
          </w:tcPr>
          <w:p w:rsidR="005B6855" w:rsidRDefault="00B15E81">
            <w:pPr>
              <w:pStyle w:val="a7"/>
              <w:autoSpaceDE w:val="0"/>
              <w:spacing w:beforeAutospacing="1" w:line="480" w:lineRule="exact"/>
              <w:rPr>
                <w:rFonts w:hint="default"/>
                <w:sz w:val="24"/>
                <w:szCs w:val="24"/>
              </w:rPr>
            </w:pPr>
            <w:r>
              <w:rPr>
                <w:sz w:val="24"/>
                <w:szCs w:val="24"/>
              </w:rPr>
              <w:t>314.31%</w:t>
            </w:r>
          </w:p>
        </w:tc>
      </w:tr>
      <w:tr w:rsidR="005B6855">
        <w:tc>
          <w:tcPr>
            <w:tcW w:w="15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6855" w:rsidRDefault="00B15E81">
            <w:pPr>
              <w:pStyle w:val="a7"/>
              <w:autoSpaceDE w:val="0"/>
              <w:spacing w:beforeAutospacing="1" w:line="480" w:lineRule="exact"/>
              <w:jc w:val="left"/>
              <w:rPr>
                <w:rFonts w:hint="default"/>
                <w:sz w:val="24"/>
                <w:szCs w:val="24"/>
              </w:rPr>
            </w:pPr>
            <w:r>
              <w:rPr>
                <w:sz w:val="24"/>
                <w:szCs w:val="24"/>
              </w:rPr>
              <w:t>会议费</w:t>
            </w:r>
          </w:p>
        </w:tc>
        <w:tc>
          <w:tcPr>
            <w:tcW w:w="977" w:type="pct"/>
            <w:tcBorders>
              <w:top w:val="single" w:sz="4" w:space="0" w:color="000000"/>
              <w:left w:val="nil"/>
              <w:bottom w:val="single" w:sz="4" w:space="0" w:color="000000"/>
              <w:right w:val="single" w:sz="4" w:space="0" w:color="000000"/>
            </w:tcBorders>
            <w:shd w:val="clear" w:color="auto" w:fill="auto"/>
            <w:vAlign w:val="center"/>
          </w:tcPr>
          <w:p w:rsidR="005B6855" w:rsidRDefault="00B15E81">
            <w:pPr>
              <w:pStyle w:val="a7"/>
              <w:autoSpaceDE w:val="0"/>
              <w:spacing w:beforeAutospacing="1" w:line="480" w:lineRule="exact"/>
              <w:rPr>
                <w:rFonts w:hint="default"/>
                <w:sz w:val="24"/>
                <w:szCs w:val="24"/>
              </w:rPr>
            </w:pPr>
            <w:r>
              <w:rPr>
                <w:sz w:val="24"/>
                <w:szCs w:val="24"/>
              </w:rPr>
              <w:t>2.71</w:t>
            </w:r>
          </w:p>
        </w:tc>
        <w:tc>
          <w:tcPr>
            <w:tcW w:w="1016" w:type="pct"/>
            <w:tcBorders>
              <w:top w:val="single" w:sz="4" w:space="0" w:color="000000"/>
              <w:left w:val="nil"/>
              <w:bottom w:val="single" w:sz="4" w:space="0" w:color="000000"/>
              <w:right w:val="single" w:sz="4" w:space="0" w:color="000000"/>
            </w:tcBorders>
            <w:shd w:val="clear" w:color="auto" w:fill="auto"/>
            <w:vAlign w:val="center"/>
          </w:tcPr>
          <w:p w:rsidR="005B6855" w:rsidRDefault="00B15E81">
            <w:pPr>
              <w:pStyle w:val="a7"/>
              <w:autoSpaceDE w:val="0"/>
              <w:spacing w:beforeAutospacing="1" w:line="480" w:lineRule="exact"/>
              <w:rPr>
                <w:rFonts w:hint="default"/>
                <w:sz w:val="24"/>
                <w:szCs w:val="24"/>
              </w:rPr>
            </w:pPr>
            <w:r>
              <w:rPr>
                <w:sz w:val="24"/>
                <w:szCs w:val="24"/>
              </w:rPr>
              <w:t>0.78</w:t>
            </w:r>
          </w:p>
        </w:tc>
        <w:tc>
          <w:tcPr>
            <w:tcW w:w="747" w:type="pct"/>
            <w:tcBorders>
              <w:top w:val="single" w:sz="4" w:space="0" w:color="000000"/>
              <w:left w:val="nil"/>
              <w:bottom w:val="single" w:sz="4" w:space="0" w:color="000000"/>
              <w:right w:val="single" w:sz="4" w:space="0" w:color="000000"/>
            </w:tcBorders>
            <w:shd w:val="clear" w:color="auto" w:fill="auto"/>
            <w:vAlign w:val="center"/>
          </w:tcPr>
          <w:p w:rsidR="005B6855" w:rsidRDefault="00B15E81">
            <w:pPr>
              <w:pStyle w:val="a7"/>
              <w:autoSpaceDE w:val="0"/>
              <w:spacing w:beforeAutospacing="1" w:line="480" w:lineRule="exact"/>
              <w:rPr>
                <w:rFonts w:hint="default"/>
                <w:sz w:val="24"/>
                <w:szCs w:val="24"/>
              </w:rPr>
            </w:pPr>
            <w:r>
              <w:rPr>
                <w:sz w:val="24"/>
                <w:szCs w:val="24"/>
              </w:rPr>
              <w:t>-1.93</w:t>
            </w:r>
          </w:p>
        </w:tc>
        <w:tc>
          <w:tcPr>
            <w:tcW w:w="717" w:type="pct"/>
            <w:tcBorders>
              <w:top w:val="single" w:sz="4" w:space="0" w:color="000000"/>
              <w:left w:val="nil"/>
              <w:bottom w:val="single" w:sz="4" w:space="0" w:color="000000"/>
              <w:right w:val="single" w:sz="4" w:space="0" w:color="000000"/>
            </w:tcBorders>
            <w:shd w:val="clear" w:color="auto" w:fill="auto"/>
            <w:vAlign w:val="center"/>
          </w:tcPr>
          <w:p w:rsidR="005B6855" w:rsidRDefault="00B15E81">
            <w:pPr>
              <w:pStyle w:val="a7"/>
              <w:autoSpaceDE w:val="0"/>
              <w:spacing w:beforeAutospacing="1" w:line="480" w:lineRule="exact"/>
              <w:rPr>
                <w:rFonts w:hint="default"/>
                <w:sz w:val="24"/>
                <w:szCs w:val="24"/>
              </w:rPr>
            </w:pPr>
            <w:r>
              <w:rPr>
                <w:sz w:val="24"/>
                <w:szCs w:val="24"/>
              </w:rPr>
              <w:t>-71.22%</w:t>
            </w:r>
          </w:p>
        </w:tc>
      </w:tr>
      <w:tr w:rsidR="005B6855">
        <w:tc>
          <w:tcPr>
            <w:tcW w:w="15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6855" w:rsidRDefault="00B15E81">
            <w:pPr>
              <w:pStyle w:val="a7"/>
              <w:autoSpaceDE w:val="0"/>
              <w:spacing w:beforeAutospacing="1" w:line="480" w:lineRule="exact"/>
              <w:jc w:val="left"/>
              <w:rPr>
                <w:rFonts w:hint="default"/>
                <w:sz w:val="24"/>
                <w:szCs w:val="24"/>
              </w:rPr>
            </w:pPr>
            <w:r>
              <w:rPr>
                <w:sz w:val="24"/>
                <w:szCs w:val="24"/>
              </w:rPr>
              <w:t>培训费</w:t>
            </w:r>
          </w:p>
        </w:tc>
        <w:tc>
          <w:tcPr>
            <w:tcW w:w="977" w:type="pct"/>
            <w:tcBorders>
              <w:top w:val="single" w:sz="4" w:space="0" w:color="000000"/>
              <w:left w:val="nil"/>
              <w:bottom w:val="single" w:sz="4" w:space="0" w:color="000000"/>
              <w:right w:val="single" w:sz="4" w:space="0" w:color="000000"/>
            </w:tcBorders>
            <w:shd w:val="clear" w:color="auto" w:fill="auto"/>
            <w:vAlign w:val="center"/>
          </w:tcPr>
          <w:p w:rsidR="005B6855" w:rsidRDefault="00B15E81">
            <w:pPr>
              <w:pStyle w:val="a7"/>
              <w:autoSpaceDE w:val="0"/>
              <w:spacing w:beforeAutospacing="1" w:line="480" w:lineRule="exact"/>
              <w:rPr>
                <w:rFonts w:hint="default"/>
                <w:sz w:val="24"/>
                <w:szCs w:val="24"/>
              </w:rPr>
            </w:pPr>
            <w:r>
              <w:rPr>
                <w:sz w:val="24"/>
                <w:szCs w:val="24"/>
              </w:rPr>
              <w:t>5.89</w:t>
            </w:r>
          </w:p>
        </w:tc>
        <w:tc>
          <w:tcPr>
            <w:tcW w:w="1016" w:type="pct"/>
            <w:tcBorders>
              <w:top w:val="single" w:sz="4" w:space="0" w:color="000000"/>
              <w:left w:val="nil"/>
              <w:bottom w:val="single" w:sz="4" w:space="0" w:color="000000"/>
              <w:right w:val="single" w:sz="4" w:space="0" w:color="000000"/>
            </w:tcBorders>
            <w:shd w:val="clear" w:color="auto" w:fill="auto"/>
            <w:vAlign w:val="center"/>
          </w:tcPr>
          <w:p w:rsidR="005B6855" w:rsidRDefault="00B15E81">
            <w:pPr>
              <w:pStyle w:val="a7"/>
              <w:autoSpaceDE w:val="0"/>
              <w:spacing w:beforeAutospacing="1" w:line="480" w:lineRule="exact"/>
              <w:rPr>
                <w:rFonts w:hint="default"/>
                <w:sz w:val="24"/>
                <w:szCs w:val="24"/>
              </w:rPr>
            </w:pPr>
            <w:r>
              <w:rPr>
                <w:sz w:val="24"/>
                <w:szCs w:val="24"/>
              </w:rPr>
              <w:t>5.88</w:t>
            </w:r>
          </w:p>
        </w:tc>
        <w:tc>
          <w:tcPr>
            <w:tcW w:w="747" w:type="pct"/>
            <w:tcBorders>
              <w:top w:val="single" w:sz="4" w:space="0" w:color="000000"/>
              <w:left w:val="nil"/>
              <w:bottom w:val="single" w:sz="4" w:space="0" w:color="000000"/>
              <w:right w:val="single" w:sz="4" w:space="0" w:color="000000"/>
            </w:tcBorders>
            <w:shd w:val="clear" w:color="auto" w:fill="auto"/>
            <w:vAlign w:val="center"/>
          </w:tcPr>
          <w:p w:rsidR="005B6855" w:rsidRDefault="00B15E81">
            <w:pPr>
              <w:pStyle w:val="a7"/>
              <w:autoSpaceDE w:val="0"/>
              <w:spacing w:beforeAutospacing="1" w:line="480" w:lineRule="exact"/>
              <w:rPr>
                <w:rFonts w:hint="default"/>
                <w:sz w:val="24"/>
                <w:szCs w:val="24"/>
              </w:rPr>
            </w:pPr>
            <w:r>
              <w:rPr>
                <w:sz w:val="24"/>
                <w:szCs w:val="24"/>
              </w:rPr>
              <w:t>-0.01</w:t>
            </w:r>
          </w:p>
        </w:tc>
        <w:tc>
          <w:tcPr>
            <w:tcW w:w="717" w:type="pct"/>
            <w:tcBorders>
              <w:top w:val="single" w:sz="4" w:space="0" w:color="000000"/>
              <w:left w:val="nil"/>
              <w:bottom w:val="single" w:sz="4" w:space="0" w:color="000000"/>
              <w:right w:val="single" w:sz="4" w:space="0" w:color="000000"/>
            </w:tcBorders>
            <w:shd w:val="clear" w:color="auto" w:fill="auto"/>
            <w:vAlign w:val="center"/>
          </w:tcPr>
          <w:p w:rsidR="005B6855" w:rsidRDefault="00B15E81">
            <w:pPr>
              <w:pStyle w:val="a7"/>
              <w:autoSpaceDE w:val="0"/>
              <w:spacing w:beforeAutospacing="1" w:line="480" w:lineRule="exact"/>
              <w:rPr>
                <w:rFonts w:hint="default"/>
                <w:sz w:val="24"/>
                <w:szCs w:val="24"/>
              </w:rPr>
            </w:pPr>
            <w:r>
              <w:rPr>
                <w:sz w:val="24"/>
                <w:szCs w:val="24"/>
              </w:rPr>
              <w:t>-0.17%</w:t>
            </w:r>
          </w:p>
        </w:tc>
      </w:tr>
      <w:tr w:rsidR="005B6855">
        <w:tc>
          <w:tcPr>
            <w:tcW w:w="15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5B6855" w:rsidRDefault="00B15E81">
            <w:pPr>
              <w:pStyle w:val="a7"/>
              <w:autoSpaceDE w:val="0"/>
              <w:spacing w:beforeAutospacing="1" w:line="480" w:lineRule="exact"/>
              <w:jc w:val="center"/>
              <w:rPr>
                <w:rFonts w:hint="default"/>
                <w:sz w:val="24"/>
                <w:szCs w:val="24"/>
              </w:rPr>
            </w:pPr>
            <w:r>
              <w:rPr>
                <w:sz w:val="24"/>
                <w:szCs w:val="24"/>
              </w:rPr>
              <w:t>合计</w:t>
            </w:r>
          </w:p>
        </w:tc>
        <w:tc>
          <w:tcPr>
            <w:tcW w:w="977" w:type="pct"/>
            <w:tcBorders>
              <w:top w:val="single" w:sz="4" w:space="0" w:color="000000"/>
              <w:left w:val="nil"/>
              <w:bottom w:val="single" w:sz="4" w:space="0" w:color="000000"/>
              <w:right w:val="single" w:sz="4" w:space="0" w:color="000000"/>
            </w:tcBorders>
            <w:shd w:val="clear" w:color="auto" w:fill="auto"/>
            <w:vAlign w:val="center"/>
          </w:tcPr>
          <w:p w:rsidR="005B6855" w:rsidRDefault="00B15E81">
            <w:pPr>
              <w:pStyle w:val="a7"/>
              <w:autoSpaceDE w:val="0"/>
              <w:spacing w:beforeAutospacing="1" w:line="480" w:lineRule="exact"/>
              <w:rPr>
                <w:rFonts w:hint="default"/>
                <w:sz w:val="24"/>
                <w:szCs w:val="24"/>
              </w:rPr>
            </w:pPr>
            <w:r>
              <w:rPr>
                <w:sz w:val="24"/>
                <w:szCs w:val="24"/>
              </w:rPr>
              <w:t>15.71</w:t>
            </w:r>
          </w:p>
        </w:tc>
        <w:tc>
          <w:tcPr>
            <w:tcW w:w="1016" w:type="pct"/>
            <w:tcBorders>
              <w:top w:val="single" w:sz="4" w:space="0" w:color="000000"/>
              <w:left w:val="nil"/>
              <w:bottom w:val="single" w:sz="4" w:space="0" w:color="000000"/>
              <w:right w:val="single" w:sz="4" w:space="0" w:color="000000"/>
            </w:tcBorders>
            <w:shd w:val="clear" w:color="auto" w:fill="auto"/>
            <w:vAlign w:val="center"/>
          </w:tcPr>
          <w:p w:rsidR="005B6855" w:rsidRDefault="00B15E81">
            <w:pPr>
              <w:pStyle w:val="a7"/>
              <w:autoSpaceDE w:val="0"/>
              <w:spacing w:beforeAutospacing="1" w:line="480" w:lineRule="exact"/>
              <w:rPr>
                <w:rFonts w:hint="default"/>
                <w:sz w:val="24"/>
                <w:szCs w:val="24"/>
              </w:rPr>
            </w:pPr>
            <w:r>
              <w:rPr>
                <w:sz w:val="24"/>
                <w:szCs w:val="24"/>
              </w:rPr>
              <w:t>32.86</w:t>
            </w:r>
          </w:p>
        </w:tc>
        <w:tc>
          <w:tcPr>
            <w:tcW w:w="747" w:type="pct"/>
            <w:tcBorders>
              <w:top w:val="single" w:sz="4" w:space="0" w:color="000000"/>
              <w:left w:val="nil"/>
              <w:bottom w:val="single" w:sz="4" w:space="0" w:color="000000"/>
              <w:right w:val="single" w:sz="4" w:space="0" w:color="000000"/>
            </w:tcBorders>
            <w:shd w:val="clear" w:color="auto" w:fill="auto"/>
            <w:vAlign w:val="center"/>
          </w:tcPr>
          <w:p w:rsidR="005B6855" w:rsidRDefault="00B15E81">
            <w:pPr>
              <w:pStyle w:val="a7"/>
              <w:autoSpaceDE w:val="0"/>
              <w:spacing w:beforeAutospacing="1" w:line="480" w:lineRule="exact"/>
              <w:rPr>
                <w:rFonts w:hint="default"/>
                <w:sz w:val="24"/>
                <w:szCs w:val="24"/>
              </w:rPr>
            </w:pPr>
            <w:r>
              <w:rPr>
                <w:sz w:val="24"/>
                <w:szCs w:val="24"/>
              </w:rPr>
              <w:t>17.15</w:t>
            </w:r>
          </w:p>
        </w:tc>
        <w:tc>
          <w:tcPr>
            <w:tcW w:w="717" w:type="pct"/>
            <w:tcBorders>
              <w:top w:val="single" w:sz="4" w:space="0" w:color="000000"/>
              <w:left w:val="nil"/>
              <w:bottom w:val="single" w:sz="4" w:space="0" w:color="000000"/>
              <w:right w:val="single" w:sz="4" w:space="0" w:color="000000"/>
            </w:tcBorders>
            <w:shd w:val="clear" w:color="auto" w:fill="auto"/>
            <w:vAlign w:val="center"/>
          </w:tcPr>
          <w:p w:rsidR="005B6855" w:rsidRDefault="00B15E81">
            <w:pPr>
              <w:pStyle w:val="a7"/>
              <w:autoSpaceDE w:val="0"/>
              <w:spacing w:beforeAutospacing="1" w:line="480" w:lineRule="exact"/>
              <w:rPr>
                <w:rFonts w:hint="default"/>
                <w:sz w:val="24"/>
                <w:szCs w:val="24"/>
              </w:rPr>
            </w:pPr>
            <w:r>
              <w:rPr>
                <w:sz w:val="24"/>
                <w:szCs w:val="24"/>
              </w:rPr>
              <w:t>109.17%</w:t>
            </w:r>
          </w:p>
        </w:tc>
      </w:tr>
    </w:tbl>
    <w:p w:rsidR="005B6855" w:rsidRDefault="00B15E81">
      <w:pPr>
        <w:widowControl/>
        <w:autoSpaceDE w:val="0"/>
        <w:snapToGrid w:val="0"/>
        <w:spacing w:line="560" w:lineRule="exact"/>
        <w:ind w:firstLineChars="200" w:firstLine="606"/>
        <w:jc w:val="left"/>
        <w:rPr>
          <w:rFonts w:ascii="宋体" w:eastAsia="宋体" w:hAnsi="宋体" w:cs="宋体"/>
          <w:b/>
          <w:spacing w:val="11"/>
          <w:kern w:val="0"/>
          <w:sz w:val="28"/>
          <w:szCs w:val="28"/>
        </w:rPr>
      </w:pPr>
      <w:r>
        <w:rPr>
          <w:rFonts w:ascii="宋体" w:eastAsia="宋体" w:hAnsi="宋体" w:cs="宋体" w:hint="eastAsia"/>
          <w:b/>
          <w:spacing w:val="11"/>
          <w:kern w:val="0"/>
          <w:sz w:val="28"/>
          <w:szCs w:val="28"/>
        </w:rPr>
        <w:t>五、本年目标实现情况</w:t>
      </w:r>
    </w:p>
    <w:p w:rsidR="005B6855" w:rsidRDefault="00B15E81">
      <w:pPr>
        <w:widowControl/>
        <w:autoSpaceDE w:val="0"/>
        <w:snapToGrid w:val="0"/>
        <w:spacing w:line="560" w:lineRule="exact"/>
        <w:ind w:firstLineChars="200" w:firstLine="606"/>
        <w:jc w:val="left"/>
        <w:rPr>
          <w:rFonts w:ascii="宋体" w:eastAsia="宋体" w:hAnsi="宋体" w:cs="宋体"/>
          <w:b/>
          <w:spacing w:val="11"/>
          <w:kern w:val="0"/>
          <w:sz w:val="28"/>
          <w:szCs w:val="28"/>
        </w:rPr>
      </w:pPr>
      <w:r>
        <w:rPr>
          <w:rFonts w:ascii="宋体" w:eastAsia="宋体" w:hAnsi="宋体" w:cs="宋体" w:hint="eastAsia"/>
          <w:b/>
          <w:spacing w:val="11"/>
          <w:kern w:val="0"/>
          <w:sz w:val="28"/>
          <w:szCs w:val="28"/>
        </w:rPr>
        <w:t>（一）工作目标</w:t>
      </w:r>
    </w:p>
    <w:p w:rsidR="005B6855" w:rsidRDefault="00B15E81">
      <w:pPr>
        <w:widowControl/>
        <w:autoSpaceDE w:val="0"/>
        <w:adjustRightInd w:val="0"/>
        <w:snapToGrid w:val="0"/>
        <w:spacing w:line="560" w:lineRule="exact"/>
        <w:ind w:firstLineChars="200" w:firstLine="604"/>
        <w:jc w:val="left"/>
        <w:rPr>
          <w:rFonts w:ascii="宋体" w:eastAsia="宋体" w:hAnsi="宋体" w:cs="宋体"/>
          <w:b/>
          <w:spacing w:val="11"/>
          <w:kern w:val="0"/>
          <w:sz w:val="28"/>
          <w:szCs w:val="28"/>
        </w:rPr>
      </w:pPr>
      <w:r>
        <w:rPr>
          <w:rFonts w:ascii="宋体" w:eastAsia="宋体" w:hAnsi="宋体" w:cs="宋体" w:hint="eastAsia"/>
          <w:spacing w:val="11"/>
          <w:kern w:val="0"/>
          <w:sz w:val="28"/>
          <w:szCs w:val="28"/>
          <w:shd w:val="clear" w:color="auto" w:fill="FFFFFF"/>
        </w:rPr>
        <w:t>2019年围绕“产业优化升级”主线，突出抓好“环境提升、项目推进、平安建设、作风锻造”四大任务，以新时代“超创干”精神推动城北各项事业再上台阶、再创佳绩。推进鞋业提升和转型升级，巩固2018年鞋业整治成果，确保</w:t>
      </w:r>
      <w:proofErr w:type="gramStart"/>
      <w:r>
        <w:rPr>
          <w:rFonts w:ascii="宋体" w:eastAsia="宋体" w:hAnsi="宋体" w:cs="宋体" w:hint="eastAsia"/>
          <w:spacing w:val="11"/>
          <w:kern w:val="0"/>
          <w:sz w:val="28"/>
          <w:szCs w:val="28"/>
          <w:shd w:val="clear" w:color="auto" w:fill="FFFFFF"/>
        </w:rPr>
        <w:t>鞋企从</w:t>
      </w:r>
      <w:proofErr w:type="gramEnd"/>
      <w:r>
        <w:rPr>
          <w:rFonts w:ascii="宋体" w:eastAsia="宋体" w:hAnsi="宋体" w:cs="宋体" w:hint="eastAsia"/>
          <w:spacing w:val="11"/>
          <w:kern w:val="0"/>
          <w:sz w:val="28"/>
          <w:szCs w:val="28"/>
          <w:shd w:val="clear" w:color="auto" w:fill="FFFFFF"/>
        </w:rPr>
        <w:t>民房退出不发生反弹。加快老旧工业园区改造，为企业提供发展新渠道。坚持</w:t>
      </w:r>
      <w:r>
        <w:rPr>
          <w:rFonts w:ascii="宋体" w:eastAsia="宋体" w:hAnsi="宋体" w:cs="宋体" w:hint="eastAsia"/>
          <w:spacing w:val="11"/>
          <w:kern w:val="0"/>
          <w:sz w:val="28"/>
          <w:szCs w:val="28"/>
          <w:shd w:val="clear" w:color="auto" w:fill="FFFFFF"/>
        </w:rPr>
        <w:lastRenderedPageBreak/>
        <w:t>“抓大扶中育小推上市”，积极培育企业上市。巩固小城镇环境综合整治成果，保持市容、街路、环卫的管理力度和六乱整治的态势，提升城镇管理水平。强势推进重点项目政策处理及旧工业区改造。推进平安城北建设。不断完善监管责任体系。</w:t>
      </w:r>
    </w:p>
    <w:p w:rsidR="005B6855" w:rsidRDefault="00B15E81">
      <w:pPr>
        <w:widowControl/>
        <w:numPr>
          <w:ilvl w:val="0"/>
          <w:numId w:val="3"/>
        </w:numPr>
        <w:autoSpaceDE w:val="0"/>
        <w:adjustRightInd w:val="0"/>
        <w:snapToGrid w:val="0"/>
        <w:spacing w:line="560" w:lineRule="exact"/>
        <w:ind w:firstLineChars="200" w:firstLine="606"/>
        <w:jc w:val="left"/>
        <w:rPr>
          <w:rFonts w:ascii="宋体" w:eastAsia="宋体" w:hAnsi="宋体" w:cs="宋体"/>
          <w:b/>
          <w:spacing w:val="11"/>
          <w:kern w:val="0"/>
          <w:sz w:val="28"/>
          <w:szCs w:val="28"/>
        </w:rPr>
      </w:pPr>
      <w:r>
        <w:rPr>
          <w:rFonts w:ascii="宋体" w:eastAsia="宋体" w:hAnsi="宋体" w:cs="宋体" w:hint="eastAsia"/>
          <w:b/>
          <w:spacing w:val="11"/>
          <w:kern w:val="0"/>
          <w:sz w:val="28"/>
          <w:szCs w:val="28"/>
        </w:rPr>
        <w:t>执行情况</w:t>
      </w:r>
    </w:p>
    <w:p w:rsidR="005B6855" w:rsidRDefault="00B15E81">
      <w:pPr>
        <w:pStyle w:val="a6"/>
        <w:widowControl/>
        <w:autoSpaceDE w:val="0"/>
        <w:snapToGrid w:val="0"/>
        <w:spacing w:beforeAutospacing="0" w:afterAutospacing="0" w:line="560" w:lineRule="exact"/>
        <w:ind w:firstLine="640"/>
        <w:jc w:val="both"/>
        <w:rPr>
          <w:rFonts w:cs="宋体"/>
          <w:b/>
          <w:spacing w:val="11"/>
          <w:sz w:val="28"/>
          <w:szCs w:val="28"/>
        </w:rPr>
      </w:pPr>
      <w:r>
        <w:rPr>
          <w:rFonts w:cs="宋体" w:hint="eastAsia"/>
          <w:spacing w:val="11"/>
          <w:sz w:val="28"/>
          <w:szCs w:val="28"/>
          <w:shd w:val="clear" w:color="auto" w:fill="FFFFFF"/>
        </w:rPr>
        <w:t>2019年城北街道实现财政总收入2.27亿元，地方财政收入1.27亿元，比去年同期减少7.8%。2019年城北街道预算收入执行数为39745.22万元，预算执行率119.10%，街道预算支出执行数39745.22万元，预算执行率118.8%。年初预算安排“三公”经费47.44万元，2019年“三公”经费支出总额26.2万元，执行率55.2%。</w:t>
      </w:r>
    </w:p>
    <w:p w:rsidR="005B6855" w:rsidRDefault="00B15E81">
      <w:pPr>
        <w:widowControl/>
        <w:numPr>
          <w:ilvl w:val="0"/>
          <w:numId w:val="3"/>
        </w:numPr>
        <w:autoSpaceDE w:val="0"/>
        <w:adjustRightInd w:val="0"/>
        <w:snapToGrid w:val="0"/>
        <w:spacing w:line="560" w:lineRule="exact"/>
        <w:ind w:firstLineChars="200" w:firstLine="606"/>
        <w:jc w:val="left"/>
        <w:rPr>
          <w:rFonts w:ascii="宋体" w:eastAsia="宋体" w:hAnsi="宋体" w:cs="宋体"/>
          <w:b/>
          <w:spacing w:val="11"/>
          <w:kern w:val="0"/>
          <w:sz w:val="28"/>
          <w:szCs w:val="28"/>
        </w:rPr>
      </w:pPr>
      <w:r>
        <w:rPr>
          <w:rFonts w:ascii="宋体" w:eastAsia="宋体" w:hAnsi="宋体" w:cs="宋体" w:hint="eastAsia"/>
          <w:b/>
          <w:spacing w:val="11"/>
          <w:kern w:val="0"/>
          <w:sz w:val="28"/>
          <w:szCs w:val="28"/>
        </w:rPr>
        <w:t>评价工作开展</w:t>
      </w:r>
    </w:p>
    <w:p w:rsidR="005B6855" w:rsidRDefault="00B15E81">
      <w:pPr>
        <w:widowControl/>
        <w:autoSpaceDE w:val="0"/>
        <w:snapToGrid w:val="0"/>
        <w:spacing w:line="560" w:lineRule="exact"/>
        <w:ind w:firstLineChars="200" w:firstLine="600"/>
        <w:jc w:val="left"/>
        <w:rPr>
          <w:rFonts w:ascii="宋体" w:eastAsia="宋体" w:hAnsi="宋体" w:cs="宋体"/>
          <w:spacing w:val="10"/>
          <w:kern w:val="0"/>
          <w:sz w:val="28"/>
          <w:szCs w:val="28"/>
          <w:shd w:val="clear" w:color="auto" w:fill="FFFFFF"/>
        </w:rPr>
      </w:pPr>
      <w:r>
        <w:rPr>
          <w:rFonts w:ascii="宋体" w:eastAsia="宋体" w:hAnsi="宋体" w:cs="宋体" w:hint="eastAsia"/>
          <w:spacing w:val="10"/>
          <w:kern w:val="0"/>
          <w:sz w:val="28"/>
          <w:szCs w:val="28"/>
          <w:shd w:val="clear" w:color="auto" w:fill="FFFFFF"/>
        </w:rPr>
        <w:t>根据《浙江省财政支出绩效评价实施方法》、《温岭市财政局关于开展2019年度全市绩效自评工作的通知》</w:t>
      </w:r>
      <w:proofErr w:type="gramStart"/>
      <w:r>
        <w:rPr>
          <w:rFonts w:ascii="宋体" w:eastAsia="宋体" w:hAnsi="宋体" w:cs="宋体" w:hint="eastAsia"/>
          <w:spacing w:val="10"/>
          <w:kern w:val="0"/>
          <w:sz w:val="28"/>
          <w:szCs w:val="28"/>
          <w:shd w:val="clear" w:color="auto" w:fill="FFFFFF"/>
        </w:rPr>
        <w:t>温财监督</w:t>
      </w:r>
      <w:proofErr w:type="gramEnd"/>
      <w:r>
        <w:rPr>
          <w:rFonts w:ascii="宋体" w:eastAsia="宋体" w:hAnsi="宋体" w:cs="宋体" w:hint="eastAsia"/>
          <w:spacing w:val="10"/>
          <w:kern w:val="0"/>
          <w:sz w:val="28"/>
          <w:szCs w:val="28"/>
          <w:shd w:val="clear" w:color="auto" w:fill="FFFFFF"/>
        </w:rPr>
        <w:t>[2020]6号，我单位组织</w:t>
      </w:r>
      <w:proofErr w:type="gramStart"/>
      <w:r>
        <w:rPr>
          <w:rFonts w:ascii="宋体" w:eastAsia="宋体" w:hAnsi="宋体" w:cs="宋体" w:hint="eastAsia"/>
          <w:spacing w:val="10"/>
          <w:kern w:val="0"/>
          <w:sz w:val="28"/>
          <w:szCs w:val="28"/>
          <w:shd w:val="clear" w:color="auto" w:fill="FFFFFF"/>
        </w:rPr>
        <w:t>评价组</w:t>
      </w:r>
      <w:proofErr w:type="gramEnd"/>
      <w:r>
        <w:rPr>
          <w:rFonts w:ascii="宋体" w:eastAsia="宋体" w:hAnsi="宋体" w:cs="宋体" w:hint="eastAsia"/>
          <w:spacing w:val="10"/>
          <w:kern w:val="0"/>
          <w:sz w:val="28"/>
          <w:szCs w:val="28"/>
          <w:shd w:val="clear" w:color="auto" w:fill="FFFFFF"/>
        </w:rPr>
        <w:t>于2020年5月15日-5月29日展开绩效评价工作。</w:t>
      </w:r>
    </w:p>
    <w:p w:rsidR="005B6855" w:rsidRDefault="00B15E81">
      <w:pPr>
        <w:widowControl/>
        <w:autoSpaceDE w:val="0"/>
        <w:snapToGrid w:val="0"/>
        <w:spacing w:line="560" w:lineRule="exact"/>
        <w:ind w:firstLineChars="200" w:firstLine="604"/>
        <w:rPr>
          <w:rFonts w:ascii="宋体" w:eastAsia="宋体" w:hAnsi="宋体" w:cs="宋体"/>
          <w:spacing w:val="11"/>
          <w:kern w:val="0"/>
          <w:sz w:val="28"/>
          <w:szCs w:val="28"/>
        </w:rPr>
      </w:pPr>
      <w:proofErr w:type="gramStart"/>
      <w:r>
        <w:rPr>
          <w:rFonts w:ascii="宋体" w:eastAsia="宋体" w:hAnsi="宋体" w:cs="宋体" w:hint="eastAsia"/>
          <w:spacing w:val="11"/>
          <w:kern w:val="0"/>
          <w:sz w:val="28"/>
          <w:szCs w:val="28"/>
        </w:rPr>
        <w:t>评价组</w:t>
      </w:r>
      <w:proofErr w:type="gramEnd"/>
      <w:r>
        <w:rPr>
          <w:rFonts w:ascii="宋体" w:eastAsia="宋体" w:hAnsi="宋体" w:cs="宋体" w:hint="eastAsia"/>
          <w:spacing w:val="11"/>
          <w:kern w:val="0"/>
          <w:sz w:val="28"/>
          <w:szCs w:val="28"/>
        </w:rPr>
        <w:t>通过对汇总分析项目资料及实地抽查，对照评价指标和标准进行评议和打分，2019年城北街道整体支出绩效评价得分88.72 分，评价等级为一般（具体详见表4）。</w:t>
      </w:r>
    </w:p>
    <w:p w:rsidR="005B6855" w:rsidRDefault="00B15E81">
      <w:pPr>
        <w:widowControl/>
        <w:autoSpaceDE w:val="0"/>
        <w:snapToGrid w:val="0"/>
        <w:spacing w:line="560" w:lineRule="exact"/>
        <w:ind w:firstLineChars="600" w:firstLine="1812"/>
        <w:jc w:val="left"/>
        <w:rPr>
          <w:rFonts w:ascii="宋体" w:eastAsia="宋体" w:hAnsi="宋体" w:cs="宋体"/>
          <w:spacing w:val="11"/>
          <w:kern w:val="0"/>
          <w:sz w:val="28"/>
          <w:szCs w:val="28"/>
        </w:rPr>
      </w:pPr>
      <w:r>
        <w:rPr>
          <w:rFonts w:ascii="宋体" w:eastAsia="宋体" w:hAnsi="宋体" w:cs="宋体" w:hint="eastAsia"/>
          <w:spacing w:val="11"/>
          <w:kern w:val="0"/>
          <w:sz w:val="28"/>
          <w:szCs w:val="28"/>
        </w:rPr>
        <w:t>表4  城北街道整体绩效评价结果汇总表</w:t>
      </w:r>
    </w:p>
    <w:tbl>
      <w:tblPr>
        <w:tblW w:w="0" w:type="auto"/>
        <w:tblInd w:w="93" w:type="dxa"/>
        <w:tblLayout w:type="fixed"/>
        <w:tblCellMar>
          <w:left w:w="0" w:type="dxa"/>
          <w:right w:w="0" w:type="dxa"/>
        </w:tblCellMar>
        <w:tblLook w:val="04A0" w:firstRow="1" w:lastRow="0" w:firstColumn="1" w:lastColumn="0" w:noHBand="0" w:noVBand="1"/>
      </w:tblPr>
      <w:tblGrid>
        <w:gridCol w:w="1865"/>
        <w:gridCol w:w="1264"/>
        <w:gridCol w:w="1450"/>
        <w:gridCol w:w="1411"/>
        <w:gridCol w:w="1500"/>
        <w:gridCol w:w="1270"/>
      </w:tblGrid>
      <w:tr w:rsidR="005B6855">
        <w:trPr>
          <w:trHeight w:val="914"/>
        </w:trPr>
        <w:tc>
          <w:tcPr>
            <w:tcW w:w="186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B6855" w:rsidRDefault="00B15E81">
            <w:pPr>
              <w:widowControl/>
              <w:autoSpaceDE w:val="0"/>
              <w:spacing w:line="480" w:lineRule="exact"/>
              <w:jc w:val="center"/>
              <w:textAlignment w:val="center"/>
              <w:rPr>
                <w:rFonts w:ascii="宋体" w:eastAsia="宋体" w:hAnsi="宋体" w:cs="宋体"/>
                <w:color w:val="000000"/>
                <w:spacing w:val="11"/>
                <w:kern w:val="0"/>
                <w:sz w:val="24"/>
              </w:rPr>
            </w:pPr>
            <w:r>
              <w:rPr>
                <w:rFonts w:ascii="宋体" w:eastAsia="宋体" w:hAnsi="宋体" w:cs="宋体" w:hint="eastAsia"/>
                <w:color w:val="000000"/>
                <w:spacing w:val="11"/>
                <w:kern w:val="0"/>
                <w:sz w:val="24"/>
              </w:rPr>
              <w:t>评价内容</w:t>
            </w:r>
          </w:p>
        </w:tc>
        <w:tc>
          <w:tcPr>
            <w:tcW w:w="1264" w:type="dxa"/>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5B6855" w:rsidRDefault="00B15E81">
            <w:pPr>
              <w:widowControl/>
              <w:autoSpaceDE w:val="0"/>
              <w:spacing w:line="480" w:lineRule="exact"/>
              <w:jc w:val="center"/>
              <w:textAlignment w:val="center"/>
              <w:rPr>
                <w:rFonts w:ascii="宋体" w:eastAsia="宋体" w:hAnsi="宋体" w:cs="宋体"/>
                <w:color w:val="000000"/>
                <w:spacing w:val="11"/>
                <w:kern w:val="0"/>
                <w:sz w:val="24"/>
              </w:rPr>
            </w:pPr>
            <w:r>
              <w:rPr>
                <w:rFonts w:ascii="宋体" w:eastAsia="宋体" w:hAnsi="宋体" w:cs="宋体" w:hint="eastAsia"/>
                <w:color w:val="000000"/>
                <w:spacing w:val="11"/>
                <w:kern w:val="0"/>
                <w:sz w:val="24"/>
              </w:rPr>
              <w:t>预算管理</w:t>
            </w:r>
          </w:p>
        </w:tc>
        <w:tc>
          <w:tcPr>
            <w:tcW w:w="1450" w:type="dxa"/>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5B6855" w:rsidRDefault="00B15E81">
            <w:pPr>
              <w:widowControl/>
              <w:autoSpaceDE w:val="0"/>
              <w:spacing w:line="480" w:lineRule="exact"/>
              <w:jc w:val="center"/>
              <w:textAlignment w:val="center"/>
              <w:rPr>
                <w:rFonts w:ascii="宋体" w:eastAsia="宋体" w:hAnsi="宋体" w:cs="宋体"/>
                <w:color w:val="000000"/>
                <w:spacing w:val="11"/>
                <w:kern w:val="0"/>
                <w:sz w:val="24"/>
              </w:rPr>
            </w:pPr>
            <w:r>
              <w:rPr>
                <w:rFonts w:ascii="宋体" w:eastAsia="宋体" w:hAnsi="宋体" w:cs="宋体" w:hint="eastAsia"/>
                <w:color w:val="000000"/>
                <w:spacing w:val="11"/>
                <w:kern w:val="0"/>
                <w:sz w:val="24"/>
              </w:rPr>
              <w:t>预算执行</w:t>
            </w:r>
          </w:p>
          <w:p w:rsidR="005B6855" w:rsidRDefault="00B15E81">
            <w:pPr>
              <w:widowControl/>
              <w:autoSpaceDE w:val="0"/>
              <w:spacing w:line="480" w:lineRule="exact"/>
              <w:jc w:val="center"/>
              <w:textAlignment w:val="center"/>
              <w:rPr>
                <w:rFonts w:ascii="宋体" w:eastAsia="宋体" w:hAnsi="宋体" w:cs="宋体"/>
                <w:color w:val="000000"/>
                <w:spacing w:val="11"/>
                <w:kern w:val="0"/>
                <w:sz w:val="24"/>
              </w:rPr>
            </w:pPr>
            <w:r>
              <w:rPr>
                <w:rFonts w:ascii="宋体" w:eastAsia="宋体" w:hAnsi="宋体" w:cs="宋体" w:hint="eastAsia"/>
                <w:color w:val="000000"/>
                <w:spacing w:val="11"/>
                <w:kern w:val="0"/>
                <w:sz w:val="24"/>
              </w:rPr>
              <w:t>管理</w:t>
            </w:r>
          </w:p>
        </w:tc>
        <w:tc>
          <w:tcPr>
            <w:tcW w:w="1411" w:type="dxa"/>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5B6855" w:rsidRDefault="00B15E81">
            <w:pPr>
              <w:widowControl/>
              <w:autoSpaceDE w:val="0"/>
              <w:spacing w:line="480" w:lineRule="exact"/>
              <w:jc w:val="center"/>
              <w:textAlignment w:val="center"/>
              <w:rPr>
                <w:rFonts w:ascii="宋体" w:eastAsia="宋体" w:hAnsi="宋体" w:cs="宋体"/>
                <w:color w:val="000000"/>
                <w:spacing w:val="11"/>
                <w:kern w:val="0"/>
                <w:sz w:val="24"/>
              </w:rPr>
            </w:pPr>
            <w:r>
              <w:rPr>
                <w:rFonts w:ascii="宋体" w:eastAsia="宋体" w:hAnsi="宋体" w:cs="宋体" w:hint="eastAsia"/>
                <w:color w:val="000000"/>
                <w:spacing w:val="11"/>
                <w:kern w:val="0"/>
                <w:sz w:val="24"/>
              </w:rPr>
              <w:t>预算监督</w:t>
            </w:r>
          </w:p>
        </w:tc>
        <w:tc>
          <w:tcPr>
            <w:tcW w:w="1500" w:type="dxa"/>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5B6855" w:rsidRDefault="00B15E81">
            <w:pPr>
              <w:widowControl/>
              <w:autoSpaceDE w:val="0"/>
              <w:spacing w:line="480" w:lineRule="exact"/>
              <w:jc w:val="center"/>
              <w:textAlignment w:val="center"/>
              <w:rPr>
                <w:rFonts w:ascii="宋体" w:eastAsia="宋体" w:hAnsi="宋体" w:cs="宋体"/>
                <w:color w:val="000000"/>
                <w:spacing w:val="11"/>
                <w:kern w:val="0"/>
                <w:sz w:val="24"/>
              </w:rPr>
            </w:pPr>
            <w:r>
              <w:rPr>
                <w:rFonts w:ascii="宋体" w:eastAsia="宋体" w:hAnsi="宋体" w:cs="宋体" w:hint="eastAsia"/>
                <w:color w:val="000000"/>
                <w:spacing w:val="11"/>
                <w:kern w:val="0"/>
                <w:sz w:val="24"/>
              </w:rPr>
              <w:t>存量资金债务管理</w:t>
            </w:r>
          </w:p>
        </w:tc>
        <w:tc>
          <w:tcPr>
            <w:tcW w:w="1270" w:type="dxa"/>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5B6855" w:rsidRDefault="00B15E81">
            <w:pPr>
              <w:widowControl/>
              <w:autoSpaceDE w:val="0"/>
              <w:spacing w:line="480" w:lineRule="exact"/>
              <w:jc w:val="center"/>
              <w:textAlignment w:val="center"/>
              <w:rPr>
                <w:rFonts w:ascii="宋体" w:eastAsia="宋体" w:hAnsi="宋体" w:cs="宋体"/>
                <w:color w:val="000000"/>
                <w:spacing w:val="11"/>
                <w:kern w:val="0"/>
                <w:sz w:val="24"/>
              </w:rPr>
            </w:pPr>
            <w:r>
              <w:rPr>
                <w:rFonts w:ascii="宋体" w:eastAsia="宋体" w:hAnsi="宋体" w:cs="宋体" w:hint="eastAsia"/>
                <w:color w:val="000000"/>
                <w:spacing w:val="11"/>
                <w:kern w:val="0"/>
                <w:sz w:val="24"/>
              </w:rPr>
              <w:t>效益管理</w:t>
            </w:r>
          </w:p>
        </w:tc>
      </w:tr>
      <w:tr w:rsidR="005B6855">
        <w:trPr>
          <w:trHeight w:val="624"/>
        </w:trPr>
        <w:tc>
          <w:tcPr>
            <w:tcW w:w="186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B6855" w:rsidRDefault="00B15E81">
            <w:pPr>
              <w:widowControl/>
              <w:autoSpaceDE w:val="0"/>
              <w:spacing w:line="480" w:lineRule="exact"/>
              <w:jc w:val="center"/>
              <w:textAlignment w:val="center"/>
              <w:rPr>
                <w:rFonts w:ascii="宋体" w:eastAsia="宋体" w:hAnsi="宋体" w:cs="宋体"/>
                <w:color w:val="000000"/>
                <w:spacing w:val="11"/>
                <w:kern w:val="0"/>
                <w:sz w:val="24"/>
              </w:rPr>
            </w:pPr>
            <w:r>
              <w:rPr>
                <w:rFonts w:ascii="宋体" w:eastAsia="宋体" w:hAnsi="宋体" w:cs="宋体" w:hint="eastAsia"/>
                <w:color w:val="000000"/>
                <w:spacing w:val="11"/>
                <w:kern w:val="0"/>
                <w:sz w:val="24"/>
              </w:rPr>
              <w:t>满分值</w:t>
            </w:r>
          </w:p>
        </w:tc>
        <w:tc>
          <w:tcPr>
            <w:tcW w:w="1264" w:type="dxa"/>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5B6855" w:rsidRDefault="00B15E81">
            <w:pPr>
              <w:widowControl/>
              <w:jc w:val="center"/>
              <w:textAlignment w:val="center"/>
              <w:rPr>
                <w:rFonts w:ascii="宋体" w:eastAsia="宋体" w:hAnsi="宋体" w:cs="宋体"/>
                <w:color w:val="000000"/>
                <w:spacing w:val="11"/>
                <w:kern w:val="0"/>
                <w:sz w:val="24"/>
              </w:rPr>
            </w:pPr>
            <w:r>
              <w:rPr>
                <w:rFonts w:ascii="宋体" w:eastAsia="宋体" w:hAnsi="宋体" w:cs="宋体" w:hint="eastAsia"/>
                <w:color w:val="000000"/>
                <w:kern w:val="0"/>
                <w:sz w:val="24"/>
              </w:rPr>
              <w:t xml:space="preserve"> 25.00 </w:t>
            </w:r>
          </w:p>
        </w:tc>
        <w:tc>
          <w:tcPr>
            <w:tcW w:w="1450" w:type="dxa"/>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5B6855" w:rsidRDefault="00B15E81">
            <w:pPr>
              <w:widowControl/>
              <w:jc w:val="center"/>
              <w:textAlignment w:val="center"/>
              <w:rPr>
                <w:rFonts w:ascii="宋体" w:eastAsia="宋体" w:hAnsi="宋体" w:cs="宋体"/>
                <w:color w:val="000000"/>
                <w:spacing w:val="11"/>
                <w:kern w:val="0"/>
                <w:sz w:val="24"/>
              </w:rPr>
            </w:pPr>
            <w:r>
              <w:rPr>
                <w:rFonts w:ascii="宋体" w:eastAsia="宋体" w:hAnsi="宋体" w:cs="宋体" w:hint="eastAsia"/>
                <w:color w:val="000000"/>
                <w:kern w:val="0"/>
                <w:sz w:val="24"/>
              </w:rPr>
              <w:t xml:space="preserve"> 24.00 </w:t>
            </w:r>
          </w:p>
        </w:tc>
        <w:tc>
          <w:tcPr>
            <w:tcW w:w="1411" w:type="dxa"/>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5B6855" w:rsidRDefault="00B15E81">
            <w:pPr>
              <w:widowControl/>
              <w:jc w:val="center"/>
              <w:textAlignment w:val="center"/>
              <w:rPr>
                <w:rFonts w:ascii="宋体" w:eastAsia="宋体" w:hAnsi="宋体" w:cs="宋体"/>
                <w:color w:val="000000"/>
                <w:spacing w:val="11"/>
                <w:kern w:val="0"/>
                <w:sz w:val="24"/>
              </w:rPr>
            </w:pPr>
            <w:r>
              <w:rPr>
                <w:rFonts w:ascii="宋体" w:eastAsia="宋体" w:hAnsi="宋体" w:cs="宋体" w:hint="eastAsia"/>
                <w:color w:val="000000"/>
                <w:kern w:val="0"/>
                <w:sz w:val="24"/>
              </w:rPr>
              <w:t xml:space="preserve"> 5.00 </w:t>
            </w:r>
          </w:p>
        </w:tc>
        <w:tc>
          <w:tcPr>
            <w:tcW w:w="1500" w:type="dxa"/>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5B6855" w:rsidRDefault="00B15E81">
            <w:pPr>
              <w:widowControl/>
              <w:jc w:val="center"/>
              <w:textAlignment w:val="center"/>
              <w:rPr>
                <w:rFonts w:ascii="宋体" w:eastAsia="宋体" w:hAnsi="宋体" w:cs="宋体"/>
                <w:color w:val="000000"/>
                <w:spacing w:val="11"/>
                <w:kern w:val="0"/>
                <w:sz w:val="24"/>
              </w:rPr>
            </w:pPr>
            <w:r>
              <w:rPr>
                <w:rFonts w:ascii="宋体" w:eastAsia="宋体" w:hAnsi="宋体" w:cs="宋体" w:hint="eastAsia"/>
                <w:color w:val="000000"/>
                <w:kern w:val="0"/>
                <w:sz w:val="24"/>
              </w:rPr>
              <w:t xml:space="preserve"> 12.00 </w:t>
            </w:r>
          </w:p>
        </w:tc>
        <w:tc>
          <w:tcPr>
            <w:tcW w:w="1270" w:type="dxa"/>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5B6855" w:rsidRDefault="00B15E81">
            <w:pPr>
              <w:widowControl/>
              <w:jc w:val="center"/>
              <w:textAlignment w:val="center"/>
              <w:rPr>
                <w:rFonts w:ascii="宋体" w:eastAsia="宋体" w:hAnsi="宋体" w:cs="宋体"/>
                <w:color w:val="000000"/>
                <w:spacing w:val="11"/>
                <w:kern w:val="0"/>
                <w:sz w:val="24"/>
              </w:rPr>
            </w:pPr>
            <w:r>
              <w:rPr>
                <w:rFonts w:ascii="宋体" w:eastAsia="宋体" w:hAnsi="宋体" w:cs="宋体" w:hint="eastAsia"/>
                <w:color w:val="000000"/>
                <w:kern w:val="0"/>
                <w:sz w:val="24"/>
              </w:rPr>
              <w:t xml:space="preserve"> 34.00 </w:t>
            </w:r>
          </w:p>
        </w:tc>
      </w:tr>
      <w:tr w:rsidR="005B6855">
        <w:trPr>
          <w:trHeight w:val="624"/>
        </w:trPr>
        <w:tc>
          <w:tcPr>
            <w:tcW w:w="186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B6855" w:rsidRDefault="00B15E81">
            <w:pPr>
              <w:widowControl/>
              <w:autoSpaceDE w:val="0"/>
              <w:spacing w:line="480" w:lineRule="exact"/>
              <w:jc w:val="center"/>
              <w:textAlignment w:val="center"/>
              <w:rPr>
                <w:rFonts w:ascii="宋体" w:eastAsia="宋体" w:hAnsi="宋体" w:cs="宋体"/>
                <w:color w:val="000000"/>
                <w:spacing w:val="11"/>
                <w:kern w:val="0"/>
                <w:sz w:val="24"/>
              </w:rPr>
            </w:pPr>
            <w:r>
              <w:rPr>
                <w:rFonts w:ascii="宋体" w:eastAsia="宋体" w:hAnsi="宋体" w:cs="宋体" w:hint="eastAsia"/>
                <w:color w:val="000000"/>
                <w:spacing w:val="11"/>
                <w:kern w:val="0"/>
                <w:sz w:val="24"/>
              </w:rPr>
              <w:t>评价分</w:t>
            </w:r>
          </w:p>
        </w:tc>
        <w:tc>
          <w:tcPr>
            <w:tcW w:w="1264" w:type="dxa"/>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5B6855" w:rsidRDefault="00B15E81">
            <w:pPr>
              <w:widowControl/>
              <w:jc w:val="center"/>
              <w:textAlignment w:val="center"/>
              <w:rPr>
                <w:rFonts w:ascii="宋体" w:eastAsia="宋体" w:hAnsi="宋体" w:cs="宋体"/>
                <w:color w:val="000000"/>
                <w:spacing w:val="11"/>
                <w:kern w:val="0"/>
                <w:sz w:val="24"/>
              </w:rPr>
            </w:pPr>
            <w:r>
              <w:rPr>
                <w:rFonts w:ascii="宋体" w:eastAsia="宋体" w:hAnsi="宋体" w:cs="宋体" w:hint="eastAsia"/>
                <w:color w:val="000000"/>
                <w:kern w:val="0"/>
                <w:sz w:val="24"/>
              </w:rPr>
              <w:t xml:space="preserve"> 23.60 </w:t>
            </w:r>
          </w:p>
        </w:tc>
        <w:tc>
          <w:tcPr>
            <w:tcW w:w="1450" w:type="dxa"/>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5B6855" w:rsidRDefault="00B15E81">
            <w:pPr>
              <w:widowControl/>
              <w:jc w:val="center"/>
              <w:textAlignment w:val="center"/>
              <w:rPr>
                <w:rFonts w:ascii="宋体" w:eastAsia="宋体" w:hAnsi="宋体" w:cs="宋体"/>
                <w:color w:val="000000"/>
                <w:spacing w:val="11"/>
                <w:kern w:val="0"/>
                <w:sz w:val="24"/>
              </w:rPr>
            </w:pPr>
            <w:r>
              <w:rPr>
                <w:rFonts w:ascii="宋体" w:eastAsia="宋体" w:hAnsi="宋体" w:cs="宋体" w:hint="eastAsia"/>
                <w:color w:val="000000"/>
                <w:kern w:val="0"/>
                <w:sz w:val="24"/>
              </w:rPr>
              <w:t xml:space="preserve"> 18.10 </w:t>
            </w:r>
          </w:p>
        </w:tc>
        <w:tc>
          <w:tcPr>
            <w:tcW w:w="1411" w:type="dxa"/>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5B6855" w:rsidRDefault="00B15E81">
            <w:pPr>
              <w:widowControl/>
              <w:jc w:val="center"/>
              <w:textAlignment w:val="center"/>
              <w:rPr>
                <w:rFonts w:ascii="宋体" w:eastAsia="宋体" w:hAnsi="宋体" w:cs="宋体"/>
                <w:color w:val="000000"/>
                <w:spacing w:val="11"/>
                <w:kern w:val="0"/>
                <w:sz w:val="24"/>
              </w:rPr>
            </w:pPr>
            <w:r>
              <w:rPr>
                <w:rFonts w:ascii="宋体" w:eastAsia="宋体" w:hAnsi="宋体" w:cs="宋体" w:hint="eastAsia"/>
                <w:color w:val="000000"/>
                <w:kern w:val="0"/>
                <w:sz w:val="24"/>
              </w:rPr>
              <w:t xml:space="preserve"> 4.80 </w:t>
            </w:r>
          </w:p>
        </w:tc>
        <w:tc>
          <w:tcPr>
            <w:tcW w:w="1500" w:type="dxa"/>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5B6855" w:rsidRDefault="00B15E81">
            <w:pPr>
              <w:widowControl/>
              <w:jc w:val="center"/>
              <w:textAlignment w:val="center"/>
              <w:rPr>
                <w:rFonts w:ascii="宋体" w:eastAsia="宋体" w:hAnsi="宋体" w:cs="宋体"/>
                <w:color w:val="000000"/>
                <w:spacing w:val="11"/>
                <w:kern w:val="0"/>
                <w:sz w:val="24"/>
              </w:rPr>
            </w:pPr>
            <w:r>
              <w:rPr>
                <w:rFonts w:ascii="宋体" w:eastAsia="宋体" w:hAnsi="宋体" w:cs="宋体" w:hint="eastAsia"/>
                <w:color w:val="000000"/>
                <w:kern w:val="0"/>
                <w:sz w:val="24"/>
              </w:rPr>
              <w:t xml:space="preserve"> 11.80 </w:t>
            </w:r>
          </w:p>
        </w:tc>
        <w:tc>
          <w:tcPr>
            <w:tcW w:w="1270" w:type="dxa"/>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5B6855" w:rsidRDefault="00B15E81">
            <w:pPr>
              <w:widowControl/>
              <w:jc w:val="center"/>
              <w:textAlignment w:val="center"/>
              <w:rPr>
                <w:rFonts w:ascii="宋体" w:eastAsia="宋体" w:hAnsi="宋体" w:cs="宋体"/>
                <w:color w:val="000000"/>
                <w:spacing w:val="11"/>
                <w:kern w:val="0"/>
                <w:sz w:val="24"/>
              </w:rPr>
            </w:pPr>
            <w:r>
              <w:rPr>
                <w:rFonts w:ascii="宋体" w:eastAsia="宋体" w:hAnsi="宋体" w:cs="宋体" w:hint="eastAsia"/>
                <w:color w:val="000000"/>
                <w:kern w:val="0"/>
                <w:sz w:val="24"/>
              </w:rPr>
              <w:t xml:space="preserve"> 30.42 </w:t>
            </w:r>
          </w:p>
        </w:tc>
      </w:tr>
      <w:tr w:rsidR="005B6855">
        <w:trPr>
          <w:trHeight w:val="624"/>
        </w:trPr>
        <w:tc>
          <w:tcPr>
            <w:tcW w:w="186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B6855" w:rsidRDefault="00B15E81">
            <w:pPr>
              <w:widowControl/>
              <w:autoSpaceDE w:val="0"/>
              <w:spacing w:line="480" w:lineRule="exact"/>
              <w:jc w:val="center"/>
              <w:textAlignment w:val="center"/>
              <w:rPr>
                <w:rFonts w:ascii="宋体" w:eastAsia="宋体" w:hAnsi="宋体" w:cs="宋体"/>
                <w:color w:val="000000"/>
                <w:spacing w:val="11"/>
                <w:kern w:val="0"/>
                <w:sz w:val="24"/>
              </w:rPr>
            </w:pPr>
            <w:r>
              <w:rPr>
                <w:rFonts w:ascii="宋体" w:eastAsia="宋体" w:hAnsi="宋体" w:cs="宋体" w:hint="eastAsia"/>
                <w:color w:val="000000"/>
                <w:spacing w:val="11"/>
                <w:kern w:val="0"/>
                <w:sz w:val="24"/>
              </w:rPr>
              <w:lastRenderedPageBreak/>
              <w:t>评价分/满分值</w:t>
            </w:r>
          </w:p>
        </w:tc>
        <w:tc>
          <w:tcPr>
            <w:tcW w:w="1264" w:type="dxa"/>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5B6855" w:rsidRDefault="00B15E81">
            <w:pPr>
              <w:widowControl/>
              <w:jc w:val="center"/>
              <w:textAlignment w:val="center"/>
              <w:rPr>
                <w:rFonts w:ascii="宋体" w:eastAsia="宋体" w:hAnsi="宋体" w:cs="宋体"/>
                <w:color w:val="000000"/>
                <w:spacing w:val="11"/>
                <w:kern w:val="0"/>
                <w:sz w:val="24"/>
              </w:rPr>
            </w:pPr>
            <w:r>
              <w:rPr>
                <w:rFonts w:ascii="宋体" w:eastAsia="宋体" w:hAnsi="宋体" w:cs="宋体" w:hint="eastAsia"/>
                <w:color w:val="000000"/>
                <w:kern w:val="0"/>
                <w:sz w:val="24"/>
              </w:rPr>
              <w:t>94.40%</w:t>
            </w:r>
          </w:p>
        </w:tc>
        <w:tc>
          <w:tcPr>
            <w:tcW w:w="1450" w:type="dxa"/>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5B6855" w:rsidRDefault="00B15E81">
            <w:pPr>
              <w:widowControl/>
              <w:jc w:val="center"/>
              <w:textAlignment w:val="center"/>
              <w:rPr>
                <w:rFonts w:ascii="宋体" w:eastAsia="宋体" w:hAnsi="宋体" w:cs="宋体"/>
                <w:color w:val="000000"/>
                <w:spacing w:val="11"/>
                <w:kern w:val="0"/>
                <w:sz w:val="24"/>
              </w:rPr>
            </w:pPr>
            <w:r>
              <w:rPr>
                <w:rFonts w:ascii="宋体" w:eastAsia="宋体" w:hAnsi="宋体" w:cs="宋体" w:hint="eastAsia"/>
                <w:color w:val="000000"/>
                <w:kern w:val="0"/>
                <w:sz w:val="24"/>
              </w:rPr>
              <w:t>75.42%</w:t>
            </w:r>
          </w:p>
        </w:tc>
        <w:tc>
          <w:tcPr>
            <w:tcW w:w="1411" w:type="dxa"/>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5B6855" w:rsidRDefault="00B15E81">
            <w:pPr>
              <w:widowControl/>
              <w:jc w:val="center"/>
              <w:textAlignment w:val="center"/>
              <w:rPr>
                <w:rFonts w:ascii="宋体" w:eastAsia="宋体" w:hAnsi="宋体" w:cs="宋体"/>
                <w:color w:val="000000"/>
                <w:spacing w:val="11"/>
                <w:kern w:val="0"/>
                <w:sz w:val="24"/>
              </w:rPr>
            </w:pPr>
            <w:r>
              <w:rPr>
                <w:rFonts w:ascii="宋体" w:eastAsia="宋体" w:hAnsi="宋体" w:cs="宋体" w:hint="eastAsia"/>
                <w:color w:val="000000"/>
                <w:kern w:val="0"/>
                <w:sz w:val="24"/>
              </w:rPr>
              <w:t>96.00%</w:t>
            </w:r>
          </w:p>
        </w:tc>
        <w:tc>
          <w:tcPr>
            <w:tcW w:w="1500" w:type="dxa"/>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5B6855" w:rsidRDefault="00B15E81">
            <w:pPr>
              <w:widowControl/>
              <w:jc w:val="center"/>
              <w:textAlignment w:val="center"/>
              <w:rPr>
                <w:rFonts w:ascii="宋体" w:eastAsia="宋体" w:hAnsi="宋体" w:cs="宋体"/>
                <w:color w:val="000000"/>
                <w:spacing w:val="11"/>
                <w:kern w:val="0"/>
                <w:sz w:val="24"/>
              </w:rPr>
            </w:pPr>
            <w:r>
              <w:rPr>
                <w:rFonts w:ascii="宋体" w:eastAsia="宋体" w:hAnsi="宋体" w:cs="宋体" w:hint="eastAsia"/>
                <w:color w:val="000000"/>
                <w:kern w:val="0"/>
                <w:sz w:val="24"/>
              </w:rPr>
              <w:t>98.33%</w:t>
            </w:r>
          </w:p>
        </w:tc>
        <w:tc>
          <w:tcPr>
            <w:tcW w:w="1270" w:type="dxa"/>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5B6855" w:rsidRDefault="00B15E81">
            <w:pPr>
              <w:widowControl/>
              <w:jc w:val="center"/>
              <w:textAlignment w:val="center"/>
              <w:rPr>
                <w:rFonts w:ascii="宋体" w:eastAsia="宋体" w:hAnsi="宋体" w:cs="宋体"/>
                <w:color w:val="000000"/>
                <w:spacing w:val="11"/>
                <w:kern w:val="0"/>
                <w:sz w:val="24"/>
              </w:rPr>
            </w:pPr>
            <w:r>
              <w:rPr>
                <w:rFonts w:ascii="宋体" w:eastAsia="宋体" w:hAnsi="宋体" w:cs="宋体" w:hint="eastAsia"/>
                <w:color w:val="000000"/>
                <w:kern w:val="0"/>
                <w:sz w:val="24"/>
              </w:rPr>
              <w:t>89.46%</w:t>
            </w:r>
          </w:p>
        </w:tc>
      </w:tr>
      <w:tr w:rsidR="005B6855">
        <w:trPr>
          <w:trHeight w:val="624"/>
        </w:trPr>
        <w:tc>
          <w:tcPr>
            <w:tcW w:w="186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B6855" w:rsidRDefault="00B15E81">
            <w:pPr>
              <w:widowControl/>
              <w:autoSpaceDE w:val="0"/>
              <w:spacing w:line="480" w:lineRule="exact"/>
              <w:jc w:val="center"/>
              <w:textAlignment w:val="center"/>
              <w:rPr>
                <w:rFonts w:ascii="宋体" w:eastAsia="宋体" w:hAnsi="宋体" w:cs="宋体"/>
                <w:color w:val="000000"/>
                <w:spacing w:val="11"/>
                <w:kern w:val="0"/>
                <w:sz w:val="24"/>
              </w:rPr>
            </w:pPr>
            <w:r>
              <w:rPr>
                <w:rFonts w:ascii="宋体" w:eastAsia="宋体" w:hAnsi="宋体" w:cs="宋体" w:hint="eastAsia"/>
                <w:color w:val="000000"/>
                <w:spacing w:val="11"/>
                <w:kern w:val="0"/>
                <w:sz w:val="24"/>
              </w:rPr>
              <w:t>评价等级</w:t>
            </w:r>
          </w:p>
        </w:tc>
        <w:tc>
          <w:tcPr>
            <w:tcW w:w="1264" w:type="dxa"/>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5B6855" w:rsidRDefault="00B15E81">
            <w:pPr>
              <w:widowControl/>
              <w:jc w:val="center"/>
              <w:textAlignment w:val="center"/>
              <w:rPr>
                <w:rFonts w:ascii="宋体" w:eastAsia="宋体" w:hAnsi="宋体" w:cs="宋体"/>
                <w:color w:val="000000"/>
                <w:spacing w:val="11"/>
                <w:kern w:val="0"/>
                <w:sz w:val="24"/>
              </w:rPr>
            </w:pPr>
            <w:r>
              <w:rPr>
                <w:rFonts w:ascii="宋体" w:eastAsia="宋体" w:hAnsi="宋体" w:cs="宋体" w:hint="eastAsia"/>
                <w:color w:val="000000"/>
                <w:kern w:val="0"/>
                <w:sz w:val="24"/>
              </w:rPr>
              <w:t>较好</w:t>
            </w:r>
          </w:p>
        </w:tc>
        <w:tc>
          <w:tcPr>
            <w:tcW w:w="1450" w:type="dxa"/>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5B6855" w:rsidRDefault="00B15E81">
            <w:pPr>
              <w:widowControl/>
              <w:jc w:val="center"/>
              <w:textAlignment w:val="center"/>
              <w:rPr>
                <w:rFonts w:ascii="宋体" w:eastAsia="宋体" w:hAnsi="宋体" w:cs="宋体"/>
                <w:color w:val="000000"/>
                <w:spacing w:val="11"/>
                <w:kern w:val="0"/>
                <w:sz w:val="24"/>
              </w:rPr>
            </w:pPr>
            <w:r>
              <w:rPr>
                <w:rFonts w:ascii="宋体" w:eastAsia="宋体" w:hAnsi="宋体" w:cs="宋体" w:hint="eastAsia"/>
                <w:color w:val="000000"/>
                <w:kern w:val="0"/>
                <w:sz w:val="24"/>
              </w:rPr>
              <w:t>一般</w:t>
            </w:r>
          </w:p>
        </w:tc>
        <w:tc>
          <w:tcPr>
            <w:tcW w:w="1411" w:type="dxa"/>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5B6855" w:rsidRDefault="00B15E81">
            <w:pPr>
              <w:widowControl/>
              <w:jc w:val="center"/>
              <w:textAlignment w:val="center"/>
              <w:rPr>
                <w:rFonts w:ascii="宋体" w:eastAsia="宋体" w:hAnsi="宋体" w:cs="宋体"/>
                <w:color w:val="000000"/>
                <w:spacing w:val="11"/>
                <w:kern w:val="0"/>
                <w:sz w:val="24"/>
              </w:rPr>
            </w:pPr>
            <w:r>
              <w:rPr>
                <w:rFonts w:ascii="宋体" w:eastAsia="宋体" w:hAnsi="宋体" w:cs="宋体" w:hint="eastAsia"/>
                <w:color w:val="000000"/>
                <w:kern w:val="0"/>
                <w:sz w:val="24"/>
              </w:rPr>
              <w:t>好</w:t>
            </w:r>
          </w:p>
        </w:tc>
        <w:tc>
          <w:tcPr>
            <w:tcW w:w="1500" w:type="dxa"/>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5B6855" w:rsidRDefault="00B15E81">
            <w:pPr>
              <w:widowControl/>
              <w:jc w:val="center"/>
              <w:textAlignment w:val="center"/>
              <w:rPr>
                <w:rFonts w:ascii="宋体" w:eastAsia="宋体" w:hAnsi="宋体" w:cs="宋体"/>
                <w:color w:val="000000"/>
                <w:spacing w:val="11"/>
                <w:kern w:val="0"/>
                <w:sz w:val="24"/>
              </w:rPr>
            </w:pPr>
            <w:r>
              <w:rPr>
                <w:rFonts w:ascii="宋体" w:eastAsia="宋体" w:hAnsi="宋体" w:cs="宋体" w:hint="eastAsia"/>
                <w:color w:val="000000"/>
                <w:kern w:val="0"/>
                <w:sz w:val="24"/>
              </w:rPr>
              <w:t>好</w:t>
            </w:r>
          </w:p>
        </w:tc>
        <w:tc>
          <w:tcPr>
            <w:tcW w:w="1270" w:type="dxa"/>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5B6855" w:rsidRDefault="00B15E81">
            <w:pPr>
              <w:widowControl/>
              <w:jc w:val="center"/>
              <w:textAlignment w:val="center"/>
              <w:rPr>
                <w:rFonts w:ascii="宋体" w:eastAsia="宋体" w:hAnsi="宋体" w:cs="宋体"/>
                <w:color w:val="000000"/>
                <w:spacing w:val="11"/>
                <w:kern w:val="0"/>
                <w:sz w:val="24"/>
              </w:rPr>
            </w:pPr>
            <w:r>
              <w:rPr>
                <w:rFonts w:ascii="宋体" w:eastAsia="宋体" w:hAnsi="宋体" w:cs="宋体" w:hint="eastAsia"/>
                <w:color w:val="000000"/>
                <w:kern w:val="0"/>
                <w:sz w:val="24"/>
              </w:rPr>
              <w:t>较好</w:t>
            </w:r>
          </w:p>
        </w:tc>
      </w:tr>
      <w:tr w:rsidR="005B6855">
        <w:trPr>
          <w:trHeight w:val="624"/>
        </w:trPr>
        <w:tc>
          <w:tcPr>
            <w:tcW w:w="186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B6855" w:rsidRDefault="00B15E81">
            <w:pPr>
              <w:widowControl/>
              <w:autoSpaceDE w:val="0"/>
              <w:spacing w:line="480" w:lineRule="exact"/>
              <w:jc w:val="center"/>
              <w:textAlignment w:val="center"/>
              <w:rPr>
                <w:rFonts w:ascii="宋体" w:eastAsia="宋体" w:hAnsi="宋体" w:cs="宋体"/>
                <w:color w:val="000000"/>
                <w:spacing w:val="11"/>
                <w:kern w:val="0"/>
                <w:sz w:val="24"/>
              </w:rPr>
            </w:pPr>
            <w:r>
              <w:rPr>
                <w:rFonts w:ascii="宋体" w:eastAsia="宋体" w:hAnsi="宋体" w:cs="宋体" w:hint="eastAsia"/>
                <w:color w:val="000000"/>
                <w:spacing w:val="11"/>
                <w:kern w:val="0"/>
                <w:sz w:val="24"/>
              </w:rPr>
              <w:t>综合得分</w:t>
            </w:r>
          </w:p>
        </w:tc>
        <w:tc>
          <w:tcPr>
            <w:tcW w:w="1264" w:type="dxa"/>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5B6855" w:rsidRDefault="00B15E81">
            <w:pPr>
              <w:widowControl/>
              <w:jc w:val="center"/>
              <w:textAlignment w:val="center"/>
              <w:rPr>
                <w:rFonts w:ascii="宋体" w:eastAsia="宋体" w:hAnsi="宋体" w:cs="宋体"/>
                <w:color w:val="000000"/>
                <w:spacing w:val="11"/>
                <w:kern w:val="0"/>
                <w:sz w:val="24"/>
              </w:rPr>
            </w:pPr>
            <w:r>
              <w:rPr>
                <w:rFonts w:ascii="宋体" w:eastAsia="宋体" w:hAnsi="宋体" w:cs="宋体" w:hint="eastAsia"/>
                <w:color w:val="000000"/>
                <w:kern w:val="0"/>
                <w:sz w:val="24"/>
              </w:rPr>
              <w:t xml:space="preserve"> 88.72 </w:t>
            </w:r>
          </w:p>
        </w:tc>
        <w:tc>
          <w:tcPr>
            <w:tcW w:w="1450" w:type="dxa"/>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5B6855" w:rsidRDefault="00B15E81">
            <w:pPr>
              <w:widowControl/>
              <w:jc w:val="center"/>
              <w:textAlignment w:val="center"/>
              <w:rPr>
                <w:rFonts w:ascii="宋体" w:eastAsia="宋体" w:hAnsi="宋体" w:cs="宋体"/>
                <w:color w:val="000000"/>
                <w:spacing w:val="11"/>
                <w:kern w:val="0"/>
                <w:sz w:val="24"/>
              </w:rPr>
            </w:pPr>
            <w:r>
              <w:rPr>
                <w:rFonts w:ascii="宋体" w:eastAsia="宋体" w:hAnsi="宋体" w:cs="宋体" w:hint="eastAsia"/>
                <w:color w:val="000000"/>
                <w:kern w:val="0"/>
                <w:sz w:val="24"/>
              </w:rPr>
              <w:t>综合等级</w:t>
            </w:r>
          </w:p>
        </w:tc>
        <w:tc>
          <w:tcPr>
            <w:tcW w:w="1411" w:type="dxa"/>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5B6855" w:rsidRDefault="00B15E81">
            <w:pPr>
              <w:widowControl/>
              <w:ind w:firstLineChars="200" w:firstLine="480"/>
              <w:jc w:val="center"/>
              <w:textAlignment w:val="center"/>
              <w:rPr>
                <w:rFonts w:ascii="宋体" w:eastAsia="宋体" w:hAnsi="宋体" w:cs="宋体"/>
                <w:color w:val="000000"/>
                <w:spacing w:val="11"/>
                <w:kern w:val="0"/>
                <w:sz w:val="24"/>
              </w:rPr>
            </w:pPr>
            <w:r>
              <w:rPr>
                <w:rFonts w:ascii="宋体" w:eastAsia="宋体" w:hAnsi="宋体" w:cs="宋体" w:hint="eastAsia"/>
                <w:color w:val="000000"/>
                <w:kern w:val="0"/>
                <w:sz w:val="24"/>
              </w:rPr>
              <w:t>较好</w:t>
            </w:r>
          </w:p>
        </w:tc>
        <w:tc>
          <w:tcPr>
            <w:tcW w:w="1500" w:type="dxa"/>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5B6855" w:rsidRDefault="005B6855">
            <w:pPr>
              <w:widowControl/>
              <w:jc w:val="center"/>
              <w:rPr>
                <w:rFonts w:ascii="宋体" w:eastAsia="宋体" w:hAnsi="宋体" w:cs="宋体"/>
                <w:color w:val="000000"/>
                <w:spacing w:val="11"/>
                <w:kern w:val="0"/>
                <w:sz w:val="24"/>
              </w:rPr>
            </w:pPr>
          </w:p>
        </w:tc>
        <w:tc>
          <w:tcPr>
            <w:tcW w:w="1270" w:type="dxa"/>
            <w:tcBorders>
              <w:top w:val="single" w:sz="4" w:space="0" w:color="auto"/>
              <w:left w:val="nil"/>
              <w:bottom w:val="single" w:sz="4" w:space="0" w:color="auto"/>
              <w:right w:val="single" w:sz="4" w:space="0" w:color="auto"/>
            </w:tcBorders>
            <w:shd w:val="clear" w:color="auto" w:fill="auto"/>
            <w:noWrap/>
            <w:tcMar>
              <w:top w:w="15" w:type="dxa"/>
              <w:left w:w="15" w:type="dxa"/>
              <w:right w:w="15" w:type="dxa"/>
            </w:tcMar>
            <w:vAlign w:val="center"/>
          </w:tcPr>
          <w:p w:rsidR="005B6855" w:rsidRDefault="005B6855">
            <w:pPr>
              <w:widowControl/>
              <w:jc w:val="left"/>
              <w:rPr>
                <w:rFonts w:ascii="宋体" w:eastAsia="宋体" w:hAnsi="宋体" w:cs="宋体"/>
                <w:color w:val="000000"/>
                <w:spacing w:val="11"/>
                <w:kern w:val="0"/>
                <w:sz w:val="24"/>
              </w:rPr>
            </w:pPr>
          </w:p>
        </w:tc>
      </w:tr>
    </w:tbl>
    <w:p w:rsidR="005B6855" w:rsidRDefault="00B15E81">
      <w:pPr>
        <w:widowControl/>
        <w:autoSpaceDE w:val="0"/>
        <w:snapToGrid w:val="0"/>
        <w:spacing w:line="480" w:lineRule="exact"/>
        <w:ind w:firstLineChars="200" w:firstLine="524"/>
        <w:jc w:val="left"/>
        <w:rPr>
          <w:rFonts w:ascii="宋体" w:eastAsia="宋体" w:hAnsi="宋体" w:cs="宋体"/>
          <w:spacing w:val="11"/>
          <w:kern w:val="0"/>
          <w:sz w:val="24"/>
        </w:rPr>
      </w:pPr>
      <w:r>
        <w:rPr>
          <w:rFonts w:ascii="宋体" w:eastAsia="宋体" w:hAnsi="宋体" w:cs="宋体" w:hint="eastAsia"/>
          <w:spacing w:val="11"/>
          <w:kern w:val="0"/>
          <w:sz w:val="24"/>
        </w:rPr>
        <w:t>备注：①综合等级考核标准：评价等次分为好（S≥95）、较好（95＞S≥85）、一般（85＞S≥60）、差（S＜60）4个评价等次。</w:t>
      </w:r>
    </w:p>
    <w:p w:rsidR="005B6855" w:rsidRDefault="00B15E81">
      <w:pPr>
        <w:autoSpaceDE w:val="0"/>
        <w:snapToGrid w:val="0"/>
        <w:spacing w:line="560" w:lineRule="exact"/>
        <w:ind w:firstLineChars="200" w:firstLine="606"/>
        <w:jc w:val="left"/>
        <w:rPr>
          <w:rFonts w:ascii="宋体" w:eastAsia="宋体" w:hAnsi="宋体" w:cs="宋体"/>
          <w:b/>
          <w:spacing w:val="11"/>
          <w:kern w:val="0"/>
          <w:sz w:val="28"/>
          <w:szCs w:val="28"/>
        </w:rPr>
      </w:pPr>
      <w:r>
        <w:rPr>
          <w:rFonts w:ascii="宋体" w:eastAsia="宋体" w:hAnsi="宋体" w:cs="宋体" w:hint="eastAsia"/>
          <w:b/>
          <w:spacing w:val="11"/>
          <w:kern w:val="0"/>
          <w:sz w:val="28"/>
          <w:szCs w:val="28"/>
        </w:rPr>
        <w:t>（四）评价指标分析</w:t>
      </w:r>
    </w:p>
    <w:p w:rsidR="005B6855" w:rsidRDefault="00B15E81">
      <w:pPr>
        <w:autoSpaceDE w:val="0"/>
        <w:snapToGrid w:val="0"/>
        <w:spacing w:line="540" w:lineRule="exact"/>
        <w:ind w:firstLineChars="200" w:firstLine="604"/>
        <w:jc w:val="left"/>
        <w:rPr>
          <w:rFonts w:ascii="宋体" w:eastAsia="宋体" w:hAnsi="宋体" w:cs="宋体"/>
          <w:spacing w:val="11"/>
          <w:kern w:val="0"/>
          <w:sz w:val="28"/>
          <w:szCs w:val="28"/>
          <w:highlight w:val="yellow"/>
        </w:rPr>
      </w:pPr>
      <w:r>
        <w:rPr>
          <w:rFonts w:ascii="宋体" w:eastAsia="宋体" w:hAnsi="宋体" w:cs="宋体" w:hint="eastAsia"/>
          <w:spacing w:val="11"/>
          <w:kern w:val="0"/>
          <w:sz w:val="28"/>
          <w:szCs w:val="28"/>
        </w:rPr>
        <w:t xml:space="preserve">（1）预算管理   </w:t>
      </w:r>
    </w:p>
    <w:p w:rsidR="005B6855" w:rsidRDefault="00B15E81">
      <w:pPr>
        <w:autoSpaceDE w:val="0"/>
        <w:snapToGrid w:val="0"/>
        <w:spacing w:line="540" w:lineRule="exact"/>
        <w:ind w:firstLineChars="200" w:firstLine="604"/>
        <w:jc w:val="left"/>
        <w:rPr>
          <w:rFonts w:ascii="宋体" w:eastAsia="宋体" w:hAnsi="宋体" w:cs="宋体"/>
          <w:spacing w:val="11"/>
          <w:kern w:val="0"/>
          <w:sz w:val="28"/>
          <w:szCs w:val="28"/>
          <w:highlight w:val="yellow"/>
        </w:rPr>
      </w:pPr>
      <w:r>
        <w:rPr>
          <w:rFonts w:ascii="宋体" w:eastAsia="宋体" w:hAnsi="宋体" w:cs="宋体" w:hint="eastAsia"/>
          <w:spacing w:val="11"/>
          <w:kern w:val="0"/>
          <w:sz w:val="28"/>
          <w:szCs w:val="28"/>
        </w:rPr>
        <w:t>城北街道根据工作职责，设定符合公共财政要求和政策与社会发展需求的预算目标，预算目标经过人大审核，预算决策经过了集体民主决策，人大的参与度比较高，预算的调整也经过了镇人大和财政部门的同意，预算编制程序规范，报表表格完整，预、执行信息、三</w:t>
      </w:r>
      <w:proofErr w:type="gramStart"/>
      <w:r>
        <w:rPr>
          <w:rFonts w:ascii="宋体" w:eastAsia="宋体" w:hAnsi="宋体" w:cs="宋体" w:hint="eastAsia"/>
          <w:spacing w:val="11"/>
          <w:kern w:val="0"/>
          <w:sz w:val="28"/>
          <w:szCs w:val="28"/>
        </w:rPr>
        <w:t>公经费</w:t>
      </w:r>
      <w:proofErr w:type="gramEnd"/>
      <w:r>
        <w:rPr>
          <w:rFonts w:ascii="宋体" w:eastAsia="宋体" w:hAnsi="宋体" w:cs="宋体" w:hint="eastAsia"/>
          <w:spacing w:val="11"/>
          <w:kern w:val="0"/>
          <w:sz w:val="28"/>
          <w:szCs w:val="28"/>
        </w:rPr>
        <w:t>公开比较完整、及时。每次人代会前，城北街道人大会开展预算座谈，听取选民和社会各界意见。在人代会上，深入审查预算，决定预算的修正和调整。人代会后，深化预算监督，促进预算绩效管理，通过对钱的监督，实现了对事和对人的监督。通过实施参与式预算，切实落实了人大代表审查权、建议权、决定权和监督权，使人大代表履职的积极性越来越高，作用发挥越来越大。</w:t>
      </w:r>
    </w:p>
    <w:p w:rsidR="005B6855" w:rsidRDefault="00B15E81">
      <w:pPr>
        <w:pStyle w:val="a6"/>
        <w:autoSpaceDE w:val="0"/>
        <w:snapToGrid w:val="0"/>
        <w:spacing w:beforeAutospacing="0" w:afterAutospacing="0" w:line="540" w:lineRule="exact"/>
        <w:ind w:firstLineChars="200" w:firstLine="604"/>
        <w:rPr>
          <w:rFonts w:cs="宋体"/>
          <w:spacing w:val="11"/>
          <w:kern w:val="2"/>
          <w:sz w:val="28"/>
          <w:szCs w:val="28"/>
        </w:rPr>
      </w:pPr>
      <w:r>
        <w:rPr>
          <w:rFonts w:cs="宋体" w:hint="eastAsia"/>
          <w:spacing w:val="11"/>
          <w:kern w:val="2"/>
          <w:sz w:val="28"/>
          <w:szCs w:val="28"/>
        </w:rPr>
        <w:t>（2）预算执行管理</w:t>
      </w:r>
    </w:p>
    <w:p w:rsidR="005B6855" w:rsidRDefault="00B15E81">
      <w:pPr>
        <w:pStyle w:val="a6"/>
        <w:widowControl/>
        <w:autoSpaceDE w:val="0"/>
        <w:snapToGrid w:val="0"/>
        <w:spacing w:beforeAutospacing="0" w:afterAutospacing="0" w:line="540" w:lineRule="exact"/>
        <w:ind w:firstLineChars="200" w:firstLine="604"/>
        <w:jc w:val="both"/>
        <w:rPr>
          <w:rFonts w:cs="宋体"/>
          <w:spacing w:val="11"/>
          <w:kern w:val="2"/>
          <w:sz w:val="28"/>
          <w:szCs w:val="28"/>
        </w:rPr>
      </w:pPr>
      <w:r>
        <w:rPr>
          <w:rFonts w:cs="宋体" w:hint="eastAsia"/>
          <w:spacing w:val="11"/>
          <w:kern w:val="2"/>
          <w:sz w:val="28"/>
          <w:szCs w:val="28"/>
        </w:rPr>
        <w:t>2019年重点支出1960.94万元，占公共财政预算支出的比例仅为4.93%，比上年占比减少6.92%。2019年财政供养人数58人，比上年减少一人。2019年一般性行政支出总数1848.36万元，比上年减少504.55万元，增长率为-21.44%。2019年项目支出26518.1万元，2018年项目支出9995.94万元，增长率165.29%，，项目支出完成率为83.8％。2019年三</w:t>
      </w:r>
      <w:proofErr w:type="gramStart"/>
      <w:r>
        <w:rPr>
          <w:rFonts w:cs="宋体" w:hint="eastAsia"/>
          <w:spacing w:val="11"/>
          <w:kern w:val="2"/>
          <w:sz w:val="28"/>
          <w:szCs w:val="28"/>
        </w:rPr>
        <w:t>公经费</w:t>
      </w:r>
      <w:proofErr w:type="gramEnd"/>
      <w:r>
        <w:rPr>
          <w:rFonts w:cs="宋体" w:hint="eastAsia"/>
          <w:spacing w:val="11"/>
          <w:kern w:val="2"/>
          <w:sz w:val="28"/>
          <w:szCs w:val="28"/>
        </w:rPr>
        <w:t>和会议、</w:t>
      </w:r>
      <w:r>
        <w:rPr>
          <w:rFonts w:cs="宋体" w:hint="eastAsia"/>
          <w:spacing w:val="11"/>
          <w:kern w:val="2"/>
          <w:sz w:val="28"/>
          <w:szCs w:val="28"/>
        </w:rPr>
        <w:lastRenderedPageBreak/>
        <w:t>培训费实际支出32.86万元，比上年增加17.15万元。其中公务接待1.01万元，较上年减少0.02万元；公车运行维护费25.19万元，较上年增加19.11万元；会议费2.71，较上年减少1.93万元；培训费5.88万元，较上年减少0.01万元。</w:t>
      </w:r>
    </w:p>
    <w:p w:rsidR="005B6855" w:rsidRDefault="00B15E81">
      <w:pPr>
        <w:pStyle w:val="a6"/>
        <w:autoSpaceDE w:val="0"/>
        <w:snapToGrid w:val="0"/>
        <w:spacing w:beforeAutospacing="0" w:afterAutospacing="0" w:line="540" w:lineRule="exact"/>
        <w:ind w:firstLineChars="200" w:firstLine="604"/>
        <w:rPr>
          <w:rFonts w:cs="宋体"/>
          <w:spacing w:val="11"/>
          <w:kern w:val="2"/>
          <w:sz w:val="28"/>
          <w:szCs w:val="28"/>
        </w:rPr>
      </w:pPr>
      <w:r>
        <w:rPr>
          <w:rFonts w:cs="宋体" w:hint="eastAsia"/>
          <w:spacing w:val="11"/>
          <w:kern w:val="2"/>
          <w:sz w:val="28"/>
          <w:szCs w:val="28"/>
        </w:rPr>
        <w:t>（3）预算监督</w:t>
      </w:r>
    </w:p>
    <w:p w:rsidR="005B6855" w:rsidRDefault="00B15E81">
      <w:pPr>
        <w:pStyle w:val="a6"/>
        <w:autoSpaceDE w:val="0"/>
        <w:snapToGrid w:val="0"/>
        <w:spacing w:beforeAutospacing="0" w:afterAutospacing="0" w:line="540" w:lineRule="exact"/>
        <w:ind w:firstLineChars="200" w:firstLine="604"/>
        <w:rPr>
          <w:rFonts w:cs="宋体"/>
          <w:spacing w:val="11"/>
          <w:sz w:val="28"/>
          <w:szCs w:val="28"/>
        </w:rPr>
      </w:pPr>
      <w:r>
        <w:rPr>
          <w:rFonts w:cs="宋体" w:hint="eastAsia"/>
          <w:spacing w:val="11"/>
          <w:kern w:val="2"/>
          <w:sz w:val="28"/>
          <w:szCs w:val="28"/>
        </w:rPr>
        <w:t>城北街道建立了较完善的内部控制制度，出台了《城北街道收支管理内部控制制度》、《城北街道预算管理内部控制制度》、《城北街道合同管理内部控制制度》、《城北街道建设项目管理内部控制制度》、《城北街道政府采购内部控制制度》、《城北街道资产管理内部控制制度》等6个内部控制制度；实施《城北街道机关财政财务管理制度》、《城北街道财务审批制度》，进一步严肃财经纪律，规范财务管理行为，强化预算约束力，充分发挥有限资金的使用效率。</w:t>
      </w:r>
    </w:p>
    <w:p w:rsidR="005B6855" w:rsidRDefault="00B15E81">
      <w:pPr>
        <w:autoSpaceDE w:val="0"/>
        <w:snapToGrid w:val="0"/>
        <w:spacing w:line="540" w:lineRule="exact"/>
        <w:ind w:firstLineChars="200" w:firstLine="604"/>
        <w:jc w:val="left"/>
        <w:rPr>
          <w:rFonts w:ascii="宋体" w:eastAsia="宋体" w:hAnsi="宋体" w:cs="宋体"/>
          <w:spacing w:val="11"/>
          <w:kern w:val="0"/>
          <w:sz w:val="28"/>
          <w:szCs w:val="28"/>
        </w:rPr>
      </w:pPr>
      <w:r>
        <w:rPr>
          <w:rFonts w:ascii="宋体" w:eastAsia="宋体" w:hAnsi="宋体" w:cs="宋体" w:hint="eastAsia"/>
          <w:spacing w:val="11"/>
          <w:kern w:val="0"/>
          <w:sz w:val="28"/>
          <w:szCs w:val="28"/>
        </w:rPr>
        <w:t>（4）存量资金债务管理</w:t>
      </w:r>
    </w:p>
    <w:p w:rsidR="005B6855" w:rsidRDefault="00B15E81">
      <w:pPr>
        <w:topLinePunct/>
        <w:autoSpaceDE w:val="0"/>
        <w:snapToGrid w:val="0"/>
        <w:spacing w:line="540" w:lineRule="exact"/>
        <w:ind w:firstLineChars="200" w:firstLine="604"/>
        <w:jc w:val="left"/>
        <w:rPr>
          <w:rFonts w:ascii="宋体" w:eastAsia="宋体" w:hAnsi="宋体" w:cs="宋体"/>
          <w:spacing w:val="11"/>
          <w:kern w:val="0"/>
          <w:sz w:val="28"/>
          <w:szCs w:val="28"/>
        </w:rPr>
      </w:pPr>
      <w:r>
        <w:rPr>
          <w:rFonts w:ascii="宋体" w:eastAsia="宋体" w:hAnsi="宋体" w:cs="宋体" w:hint="eastAsia"/>
          <w:spacing w:val="11"/>
          <w:kern w:val="0"/>
          <w:sz w:val="28"/>
          <w:szCs w:val="28"/>
        </w:rPr>
        <w:t>城北街道2019年末无政府性债务。</w:t>
      </w:r>
    </w:p>
    <w:p w:rsidR="005B6855" w:rsidRDefault="00B15E81">
      <w:pPr>
        <w:topLinePunct/>
        <w:autoSpaceDE w:val="0"/>
        <w:snapToGrid w:val="0"/>
        <w:spacing w:line="540" w:lineRule="exact"/>
        <w:ind w:firstLineChars="200" w:firstLine="604"/>
        <w:jc w:val="left"/>
        <w:rPr>
          <w:rFonts w:ascii="宋体" w:eastAsia="宋体" w:hAnsi="宋体" w:cs="宋体"/>
          <w:spacing w:val="11"/>
          <w:kern w:val="0"/>
          <w:sz w:val="28"/>
          <w:szCs w:val="28"/>
        </w:rPr>
      </w:pPr>
      <w:r>
        <w:rPr>
          <w:rFonts w:ascii="宋体" w:eastAsia="宋体" w:hAnsi="宋体" w:cs="宋体" w:hint="eastAsia"/>
          <w:spacing w:val="11"/>
          <w:kern w:val="0"/>
          <w:sz w:val="28"/>
          <w:szCs w:val="28"/>
        </w:rPr>
        <w:t>城北街道2019年暂付款余额为418.75万元，2019年财政支出</w:t>
      </w:r>
      <w:proofErr w:type="gramStart"/>
      <w:r>
        <w:rPr>
          <w:rFonts w:ascii="宋体" w:eastAsia="宋体" w:hAnsi="宋体" w:cs="宋体" w:hint="eastAsia"/>
          <w:spacing w:val="11"/>
          <w:kern w:val="0"/>
          <w:sz w:val="28"/>
          <w:szCs w:val="28"/>
        </w:rPr>
        <w:t>总执行</w:t>
      </w:r>
      <w:proofErr w:type="gramEnd"/>
      <w:r>
        <w:rPr>
          <w:rFonts w:ascii="宋体" w:eastAsia="宋体" w:hAnsi="宋体" w:cs="宋体" w:hint="eastAsia"/>
          <w:spacing w:val="11"/>
          <w:kern w:val="0"/>
          <w:sz w:val="28"/>
          <w:szCs w:val="28"/>
        </w:rPr>
        <w:t>数为39745.22万元，占比1.05%，较上年减少54.58万元。城北街道2019年期末无财政结余，2018年期末结余76.51万元，比上年减少76.51万元。存量资金清理效果较为明显。</w:t>
      </w:r>
    </w:p>
    <w:p w:rsidR="005B6855" w:rsidRDefault="00B15E81">
      <w:pPr>
        <w:topLinePunct/>
        <w:autoSpaceDE w:val="0"/>
        <w:snapToGrid w:val="0"/>
        <w:spacing w:line="540" w:lineRule="exact"/>
        <w:ind w:firstLineChars="200" w:firstLine="604"/>
        <w:jc w:val="left"/>
        <w:rPr>
          <w:rFonts w:ascii="宋体" w:eastAsia="宋体" w:hAnsi="宋体" w:cs="宋体"/>
          <w:spacing w:val="11"/>
          <w:kern w:val="0"/>
          <w:sz w:val="28"/>
          <w:szCs w:val="28"/>
        </w:rPr>
      </w:pPr>
      <w:r>
        <w:rPr>
          <w:rFonts w:ascii="宋体" w:eastAsia="宋体" w:hAnsi="宋体" w:cs="宋体" w:hint="eastAsia"/>
          <w:spacing w:val="11"/>
          <w:kern w:val="0"/>
          <w:sz w:val="28"/>
          <w:szCs w:val="28"/>
        </w:rPr>
        <w:t>（5）预算绩效（各指标实际完成情况及分析）</w:t>
      </w:r>
    </w:p>
    <w:p w:rsidR="005B6855" w:rsidRDefault="00B15E81">
      <w:pPr>
        <w:widowControl/>
        <w:autoSpaceDE w:val="0"/>
        <w:snapToGrid w:val="0"/>
        <w:spacing w:line="540" w:lineRule="exact"/>
        <w:ind w:firstLineChars="200" w:firstLine="604"/>
        <w:jc w:val="left"/>
        <w:rPr>
          <w:rFonts w:ascii="宋体" w:eastAsia="宋体" w:hAnsi="宋体" w:cs="宋体"/>
          <w:spacing w:val="11"/>
          <w:sz w:val="28"/>
          <w:szCs w:val="28"/>
        </w:rPr>
      </w:pPr>
      <w:r>
        <w:rPr>
          <w:rFonts w:ascii="宋体" w:eastAsia="宋体" w:hAnsi="宋体" w:cs="宋体" w:hint="eastAsia"/>
          <w:spacing w:val="11"/>
          <w:sz w:val="28"/>
          <w:szCs w:val="28"/>
        </w:rPr>
        <w:t>1、着力推进城市化发展进程</w:t>
      </w:r>
    </w:p>
    <w:p w:rsidR="005B6855" w:rsidRDefault="00B15E81">
      <w:pPr>
        <w:widowControl/>
        <w:autoSpaceDE w:val="0"/>
        <w:snapToGrid w:val="0"/>
        <w:spacing w:line="540" w:lineRule="exact"/>
        <w:ind w:firstLineChars="200" w:firstLine="604"/>
        <w:jc w:val="left"/>
        <w:rPr>
          <w:rFonts w:ascii="宋体" w:eastAsia="宋体" w:hAnsi="宋体" w:cs="宋体"/>
          <w:spacing w:val="11"/>
          <w:sz w:val="28"/>
          <w:szCs w:val="28"/>
        </w:rPr>
      </w:pPr>
      <w:r>
        <w:rPr>
          <w:rFonts w:ascii="宋体" w:eastAsia="宋体" w:hAnsi="宋体" w:cs="宋体" w:hint="eastAsia"/>
          <w:spacing w:val="11"/>
          <w:sz w:val="28"/>
          <w:szCs w:val="28"/>
        </w:rPr>
        <w:t>眼睛</w:t>
      </w:r>
      <w:proofErr w:type="gramStart"/>
      <w:r>
        <w:rPr>
          <w:rFonts w:ascii="宋体" w:eastAsia="宋体" w:hAnsi="宋体" w:cs="宋体" w:hint="eastAsia"/>
          <w:spacing w:val="11"/>
          <w:sz w:val="28"/>
          <w:szCs w:val="28"/>
        </w:rPr>
        <w:t>向前抓</w:t>
      </w:r>
      <w:proofErr w:type="gramEnd"/>
      <w:r>
        <w:rPr>
          <w:rFonts w:ascii="宋体" w:eastAsia="宋体" w:hAnsi="宋体" w:cs="宋体" w:hint="eastAsia"/>
          <w:spacing w:val="11"/>
          <w:sz w:val="28"/>
          <w:szCs w:val="28"/>
        </w:rPr>
        <w:t>谋划，努力做好重点项目。城北中心卫生院完成搬迁并投用，老院收储工作有序推进,</w:t>
      </w:r>
      <w:proofErr w:type="gramStart"/>
      <w:r>
        <w:rPr>
          <w:rFonts w:ascii="宋体" w:eastAsia="宋体" w:hAnsi="宋体" w:cs="宋体" w:hint="eastAsia"/>
          <w:spacing w:val="11"/>
          <w:sz w:val="28"/>
          <w:szCs w:val="28"/>
        </w:rPr>
        <w:t>谋划兴建</w:t>
      </w:r>
      <w:proofErr w:type="gramEnd"/>
      <w:r>
        <w:rPr>
          <w:rFonts w:ascii="宋体" w:eastAsia="宋体" w:hAnsi="宋体" w:cs="宋体" w:hint="eastAsia"/>
          <w:spacing w:val="11"/>
          <w:sz w:val="28"/>
          <w:szCs w:val="28"/>
        </w:rPr>
        <w:t>商业综合体。南山</w:t>
      </w:r>
      <w:proofErr w:type="gramStart"/>
      <w:r>
        <w:rPr>
          <w:rFonts w:ascii="宋体" w:eastAsia="宋体" w:hAnsi="宋体" w:cs="宋体" w:hint="eastAsia"/>
          <w:spacing w:val="11"/>
          <w:sz w:val="28"/>
          <w:szCs w:val="28"/>
        </w:rPr>
        <w:t>闸</w:t>
      </w:r>
      <w:proofErr w:type="gramEnd"/>
      <w:r>
        <w:rPr>
          <w:rFonts w:ascii="宋体" w:eastAsia="宋体" w:hAnsi="宋体" w:cs="宋体" w:hint="eastAsia"/>
          <w:spacing w:val="11"/>
          <w:sz w:val="28"/>
          <w:szCs w:val="28"/>
        </w:rPr>
        <w:t>出让用地顺利拔钉，启动出让。各项重点工作、项目挂图作战，</w:t>
      </w:r>
      <w:proofErr w:type="gramStart"/>
      <w:r>
        <w:rPr>
          <w:rFonts w:ascii="宋体" w:eastAsia="宋体" w:hAnsi="宋体" w:cs="宋体" w:hint="eastAsia"/>
          <w:spacing w:val="11"/>
          <w:sz w:val="28"/>
          <w:szCs w:val="28"/>
        </w:rPr>
        <w:t>成立攻坚</w:t>
      </w:r>
      <w:proofErr w:type="gramEnd"/>
      <w:r>
        <w:rPr>
          <w:rFonts w:ascii="宋体" w:eastAsia="宋体" w:hAnsi="宋体" w:cs="宋体" w:hint="eastAsia"/>
          <w:spacing w:val="11"/>
          <w:sz w:val="28"/>
          <w:szCs w:val="28"/>
        </w:rPr>
        <w:t>小组，通过周汇报、月小结的形式，大力推进建设</w:t>
      </w:r>
      <w:r>
        <w:rPr>
          <w:rFonts w:ascii="宋体" w:eastAsia="宋体" w:hAnsi="宋体" w:cs="宋体" w:hint="eastAsia"/>
          <w:spacing w:val="11"/>
          <w:sz w:val="28"/>
          <w:szCs w:val="28"/>
        </w:rPr>
        <w:lastRenderedPageBreak/>
        <w:t>进度。省属重点项目台州第一技师学院9幢教学楼、宿舍楼、综合楼完成装修。中央大道项目政策处理有效处置，实现无障碍施工。绕</w:t>
      </w:r>
      <w:proofErr w:type="gramStart"/>
      <w:r>
        <w:rPr>
          <w:rFonts w:ascii="宋体" w:eastAsia="宋体" w:hAnsi="宋体" w:cs="宋体" w:hint="eastAsia"/>
          <w:spacing w:val="11"/>
          <w:sz w:val="28"/>
          <w:szCs w:val="28"/>
        </w:rPr>
        <w:t>城南线及牧</w:t>
      </w:r>
      <w:proofErr w:type="gramEnd"/>
      <w:r>
        <w:rPr>
          <w:rFonts w:ascii="宋体" w:eastAsia="宋体" w:hAnsi="宋体" w:cs="宋体" w:hint="eastAsia"/>
          <w:spacing w:val="11"/>
          <w:sz w:val="28"/>
          <w:szCs w:val="28"/>
        </w:rPr>
        <w:t>长路项目正式同步启动。振兴西路二期工程24户34间拆迁房屋完成拆除，即将通车。城北大道横塘142户拆迁户完成签约并地基落实，10月底启动房屋拆除，</w:t>
      </w:r>
      <w:proofErr w:type="gramStart"/>
      <w:r>
        <w:rPr>
          <w:rFonts w:ascii="宋体" w:eastAsia="宋体" w:hAnsi="宋体" w:cs="宋体" w:hint="eastAsia"/>
          <w:spacing w:val="11"/>
          <w:sz w:val="28"/>
          <w:szCs w:val="28"/>
        </w:rPr>
        <w:t>沧</w:t>
      </w:r>
      <w:proofErr w:type="gramEnd"/>
      <w:r>
        <w:rPr>
          <w:rFonts w:ascii="宋体" w:eastAsia="宋体" w:hAnsi="宋体" w:cs="宋体" w:hint="eastAsia"/>
          <w:spacing w:val="11"/>
          <w:sz w:val="28"/>
          <w:szCs w:val="28"/>
        </w:rPr>
        <w:t>浦、芳田</w:t>
      </w:r>
      <w:proofErr w:type="gramStart"/>
      <w:r>
        <w:rPr>
          <w:rFonts w:ascii="宋体" w:eastAsia="宋体" w:hAnsi="宋体" w:cs="宋体" w:hint="eastAsia"/>
          <w:spacing w:val="11"/>
          <w:sz w:val="28"/>
          <w:szCs w:val="28"/>
        </w:rPr>
        <w:t>段塘渣完成</w:t>
      </w:r>
      <w:proofErr w:type="gramEnd"/>
      <w:r>
        <w:rPr>
          <w:rFonts w:ascii="宋体" w:eastAsia="宋体" w:hAnsi="宋体" w:cs="宋体" w:hint="eastAsia"/>
          <w:spacing w:val="11"/>
          <w:sz w:val="28"/>
          <w:szCs w:val="28"/>
        </w:rPr>
        <w:t>填筑，跑出城北速度。山马城中村改造完成控</w:t>
      </w:r>
      <w:proofErr w:type="gramStart"/>
      <w:r>
        <w:rPr>
          <w:rFonts w:ascii="宋体" w:eastAsia="宋体" w:hAnsi="宋体" w:cs="宋体" w:hint="eastAsia"/>
          <w:spacing w:val="11"/>
          <w:sz w:val="28"/>
          <w:szCs w:val="28"/>
        </w:rPr>
        <w:t>规</w:t>
      </w:r>
      <w:proofErr w:type="gramEnd"/>
      <w:r>
        <w:rPr>
          <w:rFonts w:ascii="宋体" w:eastAsia="宋体" w:hAnsi="宋体" w:cs="宋体" w:hint="eastAsia"/>
          <w:spacing w:val="11"/>
          <w:sz w:val="28"/>
          <w:szCs w:val="28"/>
        </w:rPr>
        <w:t>报批。横塘住宅小区3.62亿完成出让,桩基进场施工。中马路入城口改造进场施工。</w:t>
      </w:r>
      <w:proofErr w:type="gramStart"/>
      <w:r>
        <w:rPr>
          <w:rFonts w:ascii="宋体" w:eastAsia="宋体" w:hAnsi="宋体" w:cs="宋体" w:hint="eastAsia"/>
          <w:spacing w:val="11"/>
          <w:sz w:val="28"/>
          <w:szCs w:val="28"/>
        </w:rPr>
        <w:t>联运路</w:t>
      </w:r>
      <w:proofErr w:type="gramEnd"/>
      <w:r>
        <w:rPr>
          <w:rFonts w:ascii="宋体" w:eastAsia="宋体" w:hAnsi="宋体" w:cs="宋体" w:hint="eastAsia"/>
          <w:spacing w:val="11"/>
          <w:sz w:val="28"/>
          <w:szCs w:val="28"/>
        </w:rPr>
        <w:t>建设完成总工程量85%。投入400多万元启动麻长路二期等三条“四好农村公路”建设。</w:t>
      </w:r>
    </w:p>
    <w:p w:rsidR="005B6855" w:rsidRDefault="00B15E81">
      <w:pPr>
        <w:widowControl/>
        <w:autoSpaceDE w:val="0"/>
        <w:snapToGrid w:val="0"/>
        <w:spacing w:line="540" w:lineRule="exact"/>
        <w:ind w:firstLineChars="200" w:firstLine="604"/>
        <w:jc w:val="left"/>
        <w:rPr>
          <w:rFonts w:ascii="宋体" w:eastAsia="宋体" w:hAnsi="宋体" w:cs="宋体"/>
          <w:spacing w:val="11"/>
          <w:sz w:val="28"/>
          <w:szCs w:val="28"/>
        </w:rPr>
      </w:pPr>
      <w:r>
        <w:rPr>
          <w:rFonts w:ascii="宋体" w:eastAsia="宋体" w:hAnsi="宋体" w:cs="宋体" w:hint="eastAsia"/>
          <w:spacing w:val="11"/>
          <w:sz w:val="28"/>
          <w:szCs w:val="28"/>
        </w:rPr>
        <w:t>2、促进产业转型升级</w:t>
      </w:r>
    </w:p>
    <w:p w:rsidR="005B6855" w:rsidRDefault="00B15E81">
      <w:pPr>
        <w:widowControl/>
        <w:autoSpaceDE w:val="0"/>
        <w:snapToGrid w:val="0"/>
        <w:spacing w:line="540" w:lineRule="exact"/>
        <w:ind w:firstLineChars="200" w:firstLine="604"/>
        <w:jc w:val="left"/>
        <w:rPr>
          <w:rFonts w:ascii="宋体" w:eastAsia="宋体" w:hAnsi="宋体" w:cs="宋体"/>
          <w:spacing w:val="11"/>
          <w:sz w:val="28"/>
          <w:szCs w:val="28"/>
        </w:rPr>
      </w:pPr>
      <w:r>
        <w:rPr>
          <w:rFonts w:ascii="宋体" w:eastAsia="宋体" w:hAnsi="宋体" w:cs="宋体" w:hint="eastAsia"/>
          <w:spacing w:val="11"/>
          <w:sz w:val="28"/>
          <w:szCs w:val="28"/>
        </w:rPr>
        <w:t>盘活企业发展空间，加快推进老旧工业区改造，腾挪优质发展空间，帮助企业快速成长，截至目前累计培育小</w:t>
      </w:r>
      <w:proofErr w:type="gramStart"/>
      <w:r>
        <w:rPr>
          <w:rFonts w:ascii="宋体" w:eastAsia="宋体" w:hAnsi="宋体" w:cs="宋体" w:hint="eastAsia"/>
          <w:spacing w:val="11"/>
          <w:sz w:val="28"/>
          <w:szCs w:val="28"/>
        </w:rPr>
        <w:t>微企业</w:t>
      </w:r>
      <w:proofErr w:type="gramEnd"/>
      <w:r>
        <w:rPr>
          <w:rFonts w:ascii="宋体" w:eastAsia="宋体" w:hAnsi="宋体" w:cs="宋体" w:hint="eastAsia"/>
          <w:spacing w:val="11"/>
          <w:sz w:val="28"/>
          <w:szCs w:val="28"/>
        </w:rPr>
        <w:t>222家，办理“个转企”70户，</w:t>
      </w:r>
      <w:proofErr w:type="gramStart"/>
      <w:r>
        <w:rPr>
          <w:rFonts w:ascii="宋体" w:eastAsia="宋体" w:hAnsi="宋体" w:cs="宋体" w:hint="eastAsia"/>
          <w:spacing w:val="11"/>
          <w:sz w:val="28"/>
          <w:szCs w:val="28"/>
        </w:rPr>
        <w:t>3家零地技改</w:t>
      </w:r>
      <w:proofErr w:type="gramEnd"/>
      <w:r>
        <w:rPr>
          <w:rFonts w:ascii="宋体" w:eastAsia="宋体" w:hAnsi="宋体" w:cs="宋体" w:hint="eastAsia"/>
          <w:spacing w:val="11"/>
          <w:sz w:val="28"/>
          <w:szCs w:val="28"/>
        </w:rPr>
        <w:t>项目完成结顶。鼓励标准制定，提升产业发展水平。继续承办国家级童鞋产业高峰论坛，纵深推进“国家级童鞋产品质量提升示范项目”，不断提升行业技术化标准化水平，提升行业竞争力。推动龙头企业参与修订《鞋类国标》3项，</w:t>
      </w:r>
      <w:proofErr w:type="gramStart"/>
      <w:r>
        <w:rPr>
          <w:rFonts w:ascii="宋体" w:eastAsia="宋体" w:hAnsi="宋体" w:cs="宋体" w:hint="eastAsia"/>
          <w:spacing w:val="11"/>
          <w:sz w:val="28"/>
          <w:szCs w:val="28"/>
        </w:rPr>
        <w:t>足友体育</w:t>
      </w:r>
      <w:proofErr w:type="gramEnd"/>
      <w:r>
        <w:rPr>
          <w:rFonts w:ascii="宋体" w:eastAsia="宋体" w:hAnsi="宋体" w:cs="宋体" w:hint="eastAsia"/>
          <w:spacing w:val="11"/>
          <w:sz w:val="28"/>
          <w:szCs w:val="28"/>
        </w:rPr>
        <w:t>主导参与全国学生</w:t>
      </w:r>
      <w:proofErr w:type="gramStart"/>
      <w:r>
        <w:rPr>
          <w:rFonts w:ascii="宋体" w:eastAsia="宋体" w:hAnsi="宋体" w:cs="宋体" w:hint="eastAsia"/>
          <w:spacing w:val="11"/>
          <w:sz w:val="28"/>
          <w:szCs w:val="28"/>
        </w:rPr>
        <w:t>鞋标准</w:t>
      </w:r>
      <w:proofErr w:type="gramEnd"/>
      <w:r>
        <w:rPr>
          <w:rFonts w:ascii="宋体" w:eastAsia="宋体" w:hAnsi="宋体" w:cs="宋体" w:hint="eastAsia"/>
          <w:spacing w:val="11"/>
          <w:sz w:val="28"/>
          <w:szCs w:val="28"/>
        </w:rPr>
        <w:t>制定，并与</w:t>
      </w:r>
      <w:proofErr w:type="gramStart"/>
      <w:r>
        <w:rPr>
          <w:rFonts w:ascii="宋体" w:eastAsia="宋体" w:hAnsi="宋体" w:cs="宋体" w:hint="eastAsia"/>
          <w:spacing w:val="11"/>
          <w:sz w:val="28"/>
          <w:szCs w:val="28"/>
        </w:rPr>
        <w:t>中皮院合作</w:t>
      </w:r>
      <w:proofErr w:type="gramEnd"/>
      <w:r>
        <w:rPr>
          <w:rFonts w:ascii="宋体" w:eastAsia="宋体" w:hAnsi="宋体" w:cs="宋体" w:hint="eastAsia"/>
          <w:spacing w:val="11"/>
          <w:sz w:val="28"/>
          <w:szCs w:val="28"/>
        </w:rPr>
        <w:t>，成立全国</w:t>
      </w:r>
      <w:proofErr w:type="gramStart"/>
      <w:r>
        <w:rPr>
          <w:rFonts w:ascii="宋体" w:eastAsia="宋体" w:hAnsi="宋体" w:cs="宋体" w:hint="eastAsia"/>
          <w:spacing w:val="11"/>
          <w:sz w:val="28"/>
          <w:szCs w:val="28"/>
        </w:rPr>
        <w:t>首家学生鞋</w:t>
      </w:r>
      <w:proofErr w:type="gramEnd"/>
      <w:r>
        <w:rPr>
          <w:rFonts w:ascii="宋体" w:eastAsia="宋体" w:hAnsi="宋体" w:cs="宋体" w:hint="eastAsia"/>
          <w:spacing w:val="11"/>
          <w:sz w:val="28"/>
          <w:szCs w:val="28"/>
        </w:rPr>
        <w:t>研究中心。完成2家申报“浙江制造”标准，1家申报浙江制造品字</w:t>
      </w:r>
      <w:proofErr w:type="gramStart"/>
      <w:r>
        <w:rPr>
          <w:rFonts w:ascii="宋体" w:eastAsia="宋体" w:hAnsi="宋体" w:cs="宋体" w:hint="eastAsia"/>
          <w:spacing w:val="11"/>
          <w:sz w:val="28"/>
          <w:szCs w:val="28"/>
        </w:rPr>
        <w:t>标标准</w:t>
      </w:r>
      <w:proofErr w:type="gramEnd"/>
      <w:r>
        <w:rPr>
          <w:rFonts w:ascii="宋体" w:eastAsia="宋体" w:hAnsi="宋体" w:cs="宋体" w:hint="eastAsia"/>
          <w:spacing w:val="11"/>
          <w:sz w:val="28"/>
          <w:szCs w:val="28"/>
        </w:rPr>
        <w:t>认证。三是催化企业集聚效应。基本完成中大街童鞋精品街区建设，着力提升城北童鞋形象，打响产业品牌。截至目前，成功吸引本地31家童鞋企业竞相入驻，其中</w:t>
      </w:r>
      <w:proofErr w:type="gramStart"/>
      <w:r>
        <w:rPr>
          <w:rFonts w:ascii="宋体" w:eastAsia="宋体" w:hAnsi="宋体" w:cs="宋体" w:hint="eastAsia"/>
          <w:spacing w:val="11"/>
          <w:sz w:val="28"/>
          <w:szCs w:val="28"/>
        </w:rPr>
        <w:t>规</w:t>
      </w:r>
      <w:proofErr w:type="gramEnd"/>
      <w:r>
        <w:rPr>
          <w:rFonts w:ascii="宋体" w:eastAsia="宋体" w:hAnsi="宋体" w:cs="宋体" w:hint="eastAsia"/>
          <w:spacing w:val="11"/>
          <w:sz w:val="28"/>
          <w:szCs w:val="28"/>
        </w:rPr>
        <w:t>上企业占15家。</w:t>
      </w:r>
    </w:p>
    <w:p w:rsidR="005B6855" w:rsidRDefault="00B15E81">
      <w:pPr>
        <w:widowControl/>
        <w:autoSpaceDE w:val="0"/>
        <w:snapToGrid w:val="0"/>
        <w:spacing w:line="540" w:lineRule="exact"/>
        <w:ind w:firstLineChars="200" w:firstLine="604"/>
        <w:jc w:val="left"/>
        <w:rPr>
          <w:rFonts w:ascii="宋体" w:eastAsia="宋体" w:hAnsi="宋体" w:cs="宋体"/>
          <w:spacing w:val="11"/>
          <w:sz w:val="28"/>
          <w:szCs w:val="28"/>
        </w:rPr>
      </w:pPr>
      <w:r>
        <w:rPr>
          <w:rFonts w:ascii="宋体" w:eastAsia="宋体" w:hAnsi="宋体" w:cs="宋体" w:hint="eastAsia"/>
          <w:spacing w:val="11"/>
          <w:sz w:val="28"/>
          <w:szCs w:val="28"/>
        </w:rPr>
        <w:t>3、深入推进环境综合整治</w:t>
      </w:r>
    </w:p>
    <w:p w:rsidR="005B6855" w:rsidRDefault="00B15E81">
      <w:pPr>
        <w:widowControl/>
        <w:autoSpaceDE w:val="0"/>
        <w:snapToGrid w:val="0"/>
        <w:spacing w:line="540" w:lineRule="exact"/>
        <w:ind w:firstLineChars="200" w:firstLine="604"/>
        <w:jc w:val="left"/>
        <w:rPr>
          <w:rFonts w:ascii="宋体" w:eastAsia="宋体" w:hAnsi="宋体" w:cs="宋体"/>
          <w:spacing w:val="11"/>
          <w:sz w:val="28"/>
          <w:szCs w:val="28"/>
        </w:rPr>
      </w:pPr>
      <w:r>
        <w:rPr>
          <w:rFonts w:ascii="宋体" w:eastAsia="宋体" w:hAnsi="宋体" w:cs="宋体" w:hint="eastAsia"/>
          <w:spacing w:val="11"/>
          <w:sz w:val="28"/>
          <w:szCs w:val="28"/>
        </w:rPr>
        <w:t>以“省示范文明城市”创建为推手，进一步巩固小城镇环境整治成效。盯牢薄弱环节，进一步补齐短板，开展市容市貌专项</w:t>
      </w:r>
      <w:r>
        <w:rPr>
          <w:rFonts w:ascii="宋体" w:eastAsia="宋体" w:hAnsi="宋体" w:cs="宋体" w:hint="eastAsia"/>
          <w:spacing w:val="11"/>
          <w:sz w:val="28"/>
          <w:szCs w:val="28"/>
        </w:rPr>
        <w:lastRenderedPageBreak/>
        <w:t>整治和村庄环境整治，清理垃圾785吨，清理乱堆乱放496处。强势推进六小行业整治，停业整顿52家。建成21处数字城管监控点位，增强执法力度。完成一期625个</w:t>
      </w:r>
      <w:proofErr w:type="gramStart"/>
      <w:r>
        <w:rPr>
          <w:rFonts w:ascii="宋体" w:eastAsia="宋体" w:hAnsi="宋体" w:cs="宋体" w:hint="eastAsia"/>
          <w:spacing w:val="11"/>
          <w:sz w:val="28"/>
          <w:szCs w:val="28"/>
        </w:rPr>
        <w:t>咪</w:t>
      </w:r>
      <w:proofErr w:type="gramEnd"/>
      <w:r>
        <w:rPr>
          <w:rFonts w:ascii="宋体" w:eastAsia="宋体" w:hAnsi="宋体" w:cs="宋体" w:hint="eastAsia"/>
          <w:spacing w:val="11"/>
          <w:sz w:val="28"/>
          <w:szCs w:val="28"/>
        </w:rPr>
        <w:t>表车位建设，交通面貌焕然一新。严查环保涉污企业，完成中</w:t>
      </w:r>
      <w:r w:rsidR="00D64674">
        <w:rPr>
          <w:rFonts w:ascii="宋体" w:eastAsia="宋体" w:hAnsi="宋体" w:cs="宋体" w:hint="eastAsia"/>
          <w:spacing w:val="11"/>
          <w:sz w:val="28"/>
          <w:szCs w:val="28"/>
        </w:rPr>
        <w:t>央环保督察</w:t>
      </w:r>
      <w:bookmarkStart w:id="0" w:name="_GoBack"/>
      <w:bookmarkEnd w:id="0"/>
      <w:r>
        <w:rPr>
          <w:rFonts w:ascii="宋体" w:eastAsia="宋体" w:hAnsi="宋体" w:cs="宋体" w:hint="eastAsia"/>
          <w:spacing w:val="11"/>
          <w:sz w:val="28"/>
          <w:szCs w:val="28"/>
        </w:rPr>
        <w:t>交办信件1件，整治VOC排放不达标鞋企173家，完成9家企业水治理和VOC空气上线并检测合格。全力推进治</w:t>
      </w:r>
      <w:proofErr w:type="gramStart"/>
      <w:r>
        <w:rPr>
          <w:rFonts w:ascii="宋体" w:eastAsia="宋体" w:hAnsi="宋体" w:cs="宋体" w:hint="eastAsia"/>
          <w:spacing w:val="11"/>
          <w:sz w:val="28"/>
          <w:szCs w:val="28"/>
        </w:rPr>
        <w:t>危拆违</w:t>
      </w:r>
      <w:proofErr w:type="gramEnd"/>
      <w:r>
        <w:rPr>
          <w:rFonts w:ascii="宋体" w:eastAsia="宋体" w:hAnsi="宋体" w:cs="宋体" w:hint="eastAsia"/>
          <w:spacing w:val="11"/>
          <w:sz w:val="28"/>
          <w:szCs w:val="28"/>
        </w:rPr>
        <w:t>，在创建台州市“无违建”街道基础上，继续保持高压态势，拆除重点区域、类型违建，完成拆违2.82万平米。 深入推进五水共治，开展了黑臭水体清零行动，切实开展后桥头河、长</w:t>
      </w:r>
      <w:proofErr w:type="gramStart"/>
      <w:r>
        <w:rPr>
          <w:rFonts w:ascii="宋体" w:eastAsia="宋体" w:hAnsi="宋体" w:cs="宋体" w:hint="eastAsia"/>
          <w:spacing w:val="11"/>
          <w:sz w:val="28"/>
          <w:szCs w:val="28"/>
        </w:rPr>
        <w:t>泾</w:t>
      </w:r>
      <w:proofErr w:type="gramEnd"/>
      <w:r>
        <w:rPr>
          <w:rFonts w:ascii="宋体" w:eastAsia="宋体" w:hAnsi="宋体" w:cs="宋体" w:hint="eastAsia"/>
          <w:spacing w:val="11"/>
          <w:sz w:val="28"/>
          <w:szCs w:val="28"/>
        </w:rPr>
        <w:t>岸河和南山河的全面整治。开展美丽河湖创建，完成1条市级美丽河道创建，继续推进27个小微水体绿化、美化工作。深入推进污水</w:t>
      </w:r>
      <w:proofErr w:type="gramStart"/>
      <w:r>
        <w:rPr>
          <w:rFonts w:ascii="宋体" w:eastAsia="宋体" w:hAnsi="宋体" w:cs="宋体" w:hint="eastAsia"/>
          <w:spacing w:val="11"/>
          <w:sz w:val="28"/>
          <w:szCs w:val="28"/>
        </w:rPr>
        <w:t>零直排区</w:t>
      </w:r>
      <w:proofErr w:type="gramEnd"/>
      <w:r>
        <w:rPr>
          <w:rFonts w:ascii="宋体" w:eastAsia="宋体" w:hAnsi="宋体" w:cs="宋体" w:hint="eastAsia"/>
          <w:spacing w:val="11"/>
          <w:sz w:val="28"/>
          <w:szCs w:val="28"/>
        </w:rPr>
        <w:t>创建工作。积极开展“百镇竞赛”活动，完成9个区域的排查，</w:t>
      </w:r>
      <w:proofErr w:type="gramStart"/>
      <w:r>
        <w:rPr>
          <w:rFonts w:ascii="宋体" w:eastAsia="宋体" w:hAnsi="宋体" w:cs="宋体" w:hint="eastAsia"/>
          <w:spacing w:val="11"/>
          <w:sz w:val="28"/>
          <w:szCs w:val="28"/>
        </w:rPr>
        <w:t>完成后湾工业区</w:t>
      </w:r>
      <w:proofErr w:type="gramEnd"/>
      <w:r>
        <w:rPr>
          <w:rFonts w:ascii="宋体" w:eastAsia="宋体" w:hAnsi="宋体" w:cs="宋体" w:hint="eastAsia"/>
          <w:spacing w:val="11"/>
          <w:sz w:val="28"/>
          <w:szCs w:val="28"/>
        </w:rPr>
        <w:t>、生活小区及南山</w:t>
      </w:r>
      <w:proofErr w:type="gramStart"/>
      <w:r>
        <w:rPr>
          <w:rFonts w:ascii="宋体" w:eastAsia="宋体" w:hAnsi="宋体" w:cs="宋体" w:hint="eastAsia"/>
          <w:spacing w:val="11"/>
          <w:sz w:val="28"/>
          <w:szCs w:val="28"/>
        </w:rPr>
        <w:t>闸</w:t>
      </w:r>
      <w:proofErr w:type="gramEnd"/>
      <w:r>
        <w:rPr>
          <w:rFonts w:ascii="宋体" w:eastAsia="宋体" w:hAnsi="宋体" w:cs="宋体" w:hint="eastAsia"/>
          <w:spacing w:val="11"/>
          <w:sz w:val="28"/>
          <w:szCs w:val="28"/>
        </w:rPr>
        <w:t>前后岸生活小区的建设。全面开展黑臭河清零行动，投入60余万元，深入开展“后桥头河、长</w:t>
      </w:r>
      <w:proofErr w:type="gramStart"/>
      <w:r>
        <w:rPr>
          <w:rFonts w:ascii="宋体" w:eastAsia="宋体" w:hAnsi="宋体" w:cs="宋体" w:hint="eastAsia"/>
          <w:spacing w:val="11"/>
          <w:sz w:val="28"/>
          <w:szCs w:val="28"/>
        </w:rPr>
        <w:t>泾</w:t>
      </w:r>
      <w:proofErr w:type="gramEnd"/>
      <w:r>
        <w:rPr>
          <w:rFonts w:ascii="宋体" w:eastAsia="宋体" w:hAnsi="宋体" w:cs="宋体" w:hint="eastAsia"/>
          <w:spacing w:val="11"/>
          <w:sz w:val="28"/>
          <w:szCs w:val="28"/>
        </w:rPr>
        <w:t>岸河和南山河”的“黑臭河”整治。</w:t>
      </w:r>
    </w:p>
    <w:p w:rsidR="005B6855" w:rsidRDefault="00B15E81">
      <w:pPr>
        <w:widowControl/>
        <w:autoSpaceDE w:val="0"/>
        <w:snapToGrid w:val="0"/>
        <w:spacing w:line="540" w:lineRule="exact"/>
        <w:ind w:firstLineChars="200" w:firstLine="604"/>
        <w:jc w:val="left"/>
        <w:rPr>
          <w:rFonts w:ascii="宋体" w:eastAsia="宋体" w:hAnsi="宋体" w:cs="宋体"/>
          <w:spacing w:val="11"/>
          <w:sz w:val="28"/>
          <w:szCs w:val="28"/>
        </w:rPr>
      </w:pPr>
      <w:r>
        <w:rPr>
          <w:rFonts w:ascii="宋体" w:eastAsia="宋体" w:hAnsi="宋体" w:cs="宋体" w:hint="eastAsia"/>
          <w:spacing w:val="11"/>
          <w:sz w:val="28"/>
          <w:szCs w:val="28"/>
        </w:rPr>
        <w:t>4、提升民生福祉</w:t>
      </w:r>
    </w:p>
    <w:p w:rsidR="005B6855" w:rsidRDefault="00B15E81">
      <w:pPr>
        <w:widowControl/>
        <w:autoSpaceDE w:val="0"/>
        <w:snapToGrid w:val="0"/>
        <w:spacing w:line="540" w:lineRule="exact"/>
        <w:ind w:firstLineChars="200" w:firstLine="604"/>
        <w:jc w:val="left"/>
        <w:rPr>
          <w:rFonts w:ascii="宋体" w:eastAsia="宋体" w:hAnsi="宋体" w:cs="宋体"/>
          <w:spacing w:val="11"/>
          <w:sz w:val="28"/>
          <w:szCs w:val="28"/>
        </w:rPr>
      </w:pPr>
      <w:r>
        <w:rPr>
          <w:rFonts w:ascii="宋体" w:eastAsia="宋体" w:hAnsi="宋体" w:cs="宋体" w:hint="eastAsia"/>
          <w:spacing w:val="11"/>
          <w:sz w:val="28"/>
          <w:szCs w:val="28"/>
        </w:rPr>
        <w:t>率先建立医学营养社区示范点，打造</w:t>
      </w:r>
      <w:proofErr w:type="gramStart"/>
      <w:r>
        <w:rPr>
          <w:rFonts w:ascii="宋体" w:eastAsia="宋体" w:hAnsi="宋体" w:cs="宋体" w:hint="eastAsia"/>
          <w:spacing w:val="11"/>
          <w:sz w:val="28"/>
          <w:szCs w:val="28"/>
        </w:rPr>
        <w:t>医</w:t>
      </w:r>
      <w:proofErr w:type="gramEnd"/>
      <w:r>
        <w:rPr>
          <w:rFonts w:ascii="宋体" w:eastAsia="宋体" w:hAnsi="宋体" w:cs="宋体" w:hint="eastAsia"/>
          <w:spacing w:val="11"/>
          <w:sz w:val="28"/>
          <w:szCs w:val="28"/>
        </w:rPr>
        <w:t>共体城北品牌；创建计生服务品牌“城北街道妇幼孕校”，服务</w:t>
      </w:r>
      <w:proofErr w:type="gramStart"/>
      <w:r>
        <w:rPr>
          <w:rFonts w:ascii="宋体" w:eastAsia="宋体" w:hAnsi="宋体" w:cs="宋体" w:hint="eastAsia"/>
          <w:spacing w:val="11"/>
          <w:sz w:val="28"/>
          <w:szCs w:val="28"/>
        </w:rPr>
        <w:t>孕</w:t>
      </w:r>
      <w:proofErr w:type="gramEnd"/>
      <w:r>
        <w:rPr>
          <w:rFonts w:ascii="宋体" w:eastAsia="宋体" w:hAnsi="宋体" w:cs="宋体" w:hint="eastAsia"/>
          <w:spacing w:val="11"/>
          <w:sz w:val="28"/>
          <w:szCs w:val="28"/>
        </w:rPr>
        <w:t>产妇、育龄妇女等200多人次。二是聚焦教育事业提升。街道等级幼儿园率达100%，占地18亩公办幼儿园项目启动征地。三是丰富公共文化服务。街道图书分馆开工建设，新增村级健身苑、健身步道4处。成功举办各类文化节活动，不断丰富居民文化生活。四是加强平安建设。联合各部门反复查、查反复，共断电隐患单位1120余家，停业整顿420余家，传唤60余人。今年五月成功摘除“省级消防安全重点乡镇（街道）”帽子。打击</w:t>
      </w:r>
      <w:proofErr w:type="gramStart"/>
      <w:r>
        <w:rPr>
          <w:rFonts w:ascii="宋体" w:eastAsia="宋体" w:hAnsi="宋体" w:cs="宋体" w:hint="eastAsia"/>
          <w:spacing w:val="11"/>
          <w:sz w:val="28"/>
          <w:szCs w:val="28"/>
        </w:rPr>
        <w:t>处置涉恶团伙</w:t>
      </w:r>
      <w:proofErr w:type="gramEnd"/>
      <w:r>
        <w:rPr>
          <w:rFonts w:ascii="宋体" w:eastAsia="宋体" w:hAnsi="宋体" w:cs="宋体" w:hint="eastAsia"/>
          <w:spacing w:val="11"/>
          <w:sz w:val="28"/>
          <w:szCs w:val="28"/>
        </w:rPr>
        <w:t>7个。破获</w:t>
      </w:r>
      <w:r>
        <w:rPr>
          <w:rFonts w:ascii="宋体" w:eastAsia="宋体" w:hAnsi="宋体" w:cs="宋体" w:hint="eastAsia"/>
          <w:spacing w:val="11"/>
          <w:sz w:val="28"/>
          <w:szCs w:val="28"/>
        </w:rPr>
        <w:lastRenderedPageBreak/>
        <w:t>刑事案件10件，共刑</w:t>
      </w:r>
      <w:proofErr w:type="gramStart"/>
      <w:r>
        <w:rPr>
          <w:rFonts w:ascii="宋体" w:eastAsia="宋体" w:hAnsi="宋体" w:cs="宋体" w:hint="eastAsia"/>
          <w:spacing w:val="11"/>
          <w:sz w:val="28"/>
          <w:szCs w:val="28"/>
        </w:rPr>
        <w:t>拘</w:t>
      </w:r>
      <w:proofErr w:type="gramEnd"/>
      <w:r>
        <w:rPr>
          <w:rFonts w:ascii="宋体" w:eastAsia="宋体" w:hAnsi="宋体" w:cs="宋体" w:hint="eastAsia"/>
          <w:spacing w:val="11"/>
          <w:sz w:val="28"/>
          <w:szCs w:val="28"/>
        </w:rPr>
        <w:t>56人。“盗抢骗”总案件同比下降35.75%，其中盗窃案件下降44.24%。深入推进“大平安·微治理”项目化建设，10个村居分别建立了民事纠纷调解和民情代办服务站建设，受理各类纠纷40余起。实行异常家庭“四色管理”，共摸排各类家庭16546户，受理异常家庭纠纷122起，涉及人数250余人，相关经验被《浙江法制报》引用刊登。</w:t>
      </w:r>
    </w:p>
    <w:p w:rsidR="005B6855" w:rsidRDefault="00B15E81">
      <w:pPr>
        <w:widowControl/>
        <w:autoSpaceDE w:val="0"/>
        <w:snapToGrid w:val="0"/>
        <w:spacing w:line="540" w:lineRule="exact"/>
        <w:ind w:firstLineChars="200" w:firstLine="604"/>
        <w:jc w:val="left"/>
        <w:rPr>
          <w:rFonts w:ascii="宋体" w:eastAsia="宋体" w:hAnsi="宋体" w:cs="宋体"/>
          <w:spacing w:val="11"/>
          <w:sz w:val="28"/>
          <w:szCs w:val="28"/>
        </w:rPr>
      </w:pPr>
      <w:r>
        <w:rPr>
          <w:rFonts w:ascii="宋体" w:eastAsia="宋体" w:hAnsi="宋体" w:cs="宋体" w:hint="eastAsia"/>
          <w:spacing w:val="11"/>
          <w:sz w:val="28"/>
          <w:szCs w:val="28"/>
        </w:rPr>
        <w:t>5、加强干部队伍建设</w:t>
      </w:r>
    </w:p>
    <w:p w:rsidR="005B6855" w:rsidRDefault="00B15E81">
      <w:pPr>
        <w:widowControl/>
        <w:autoSpaceDE w:val="0"/>
        <w:snapToGrid w:val="0"/>
        <w:spacing w:line="540" w:lineRule="exact"/>
        <w:ind w:firstLineChars="200" w:firstLine="604"/>
        <w:jc w:val="left"/>
        <w:rPr>
          <w:rFonts w:ascii="宋体" w:eastAsia="宋体" w:hAnsi="宋体" w:cs="宋体"/>
          <w:kern w:val="0"/>
          <w:sz w:val="28"/>
          <w:szCs w:val="28"/>
        </w:rPr>
      </w:pPr>
      <w:r>
        <w:rPr>
          <w:rFonts w:ascii="宋体" w:eastAsia="宋体" w:hAnsi="宋体" w:cs="宋体" w:hint="eastAsia"/>
          <w:spacing w:val="11"/>
          <w:sz w:val="28"/>
          <w:szCs w:val="28"/>
        </w:rPr>
        <w:t>不断深化“不忘初心、牢记使命”主题教育。紧紧围绕“主题教育”工作要求，以习近平新时代中国特色社会主义思想为指引，团结和带领辖区内广大党员干部自觉地同党中央对标对表，将澎湃的学习热情转化为争先进位的干事激情，取得了较为显著的成效。建成五星级党群服务中心3个，新建两新党支部8个。及时调整机关中层干部11人次。城北小微园区党群服务中心被纳入温岭市两新党建“三整一全”建设暨“十百千”整体提升行动推进会现场观摩点位之一。认真落实党风廉政建设主体责任制，实现15个村居基层巡查全覆盖。坚持问题导向，基本完成各类巡察反馈问题整改落实。及时约谈党员发展不规范、党员教育管理不严格的党组织书记11人次。</w:t>
      </w:r>
    </w:p>
    <w:p w:rsidR="005B6855" w:rsidRDefault="00B15E81">
      <w:pPr>
        <w:numPr>
          <w:ilvl w:val="0"/>
          <w:numId w:val="4"/>
        </w:numPr>
        <w:autoSpaceDE w:val="0"/>
        <w:snapToGrid w:val="0"/>
        <w:spacing w:line="540" w:lineRule="exact"/>
        <w:ind w:firstLineChars="200" w:firstLine="606"/>
        <w:jc w:val="left"/>
        <w:rPr>
          <w:rFonts w:ascii="宋体" w:eastAsia="宋体" w:hAnsi="宋体" w:cs="宋体"/>
          <w:b/>
          <w:spacing w:val="11"/>
          <w:kern w:val="0"/>
          <w:sz w:val="28"/>
          <w:szCs w:val="28"/>
        </w:rPr>
      </w:pPr>
      <w:r>
        <w:rPr>
          <w:rFonts w:ascii="宋体" w:eastAsia="宋体" w:hAnsi="宋体" w:cs="宋体" w:hint="eastAsia"/>
          <w:b/>
          <w:spacing w:val="11"/>
          <w:kern w:val="0"/>
          <w:sz w:val="28"/>
          <w:szCs w:val="28"/>
        </w:rPr>
        <w:t>存在问题</w:t>
      </w:r>
    </w:p>
    <w:p w:rsidR="005B6855" w:rsidRDefault="00B15E81">
      <w:pPr>
        <w:autoSpaceDE w:val="0"/>
        <w:snapToGrid w:val="0"/>
        <w:spacing w:line="540" w:lineRule="exact"/>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1、传统鞋业急需转型升级</w:t>
      </w:r>
    </w:p>
    <w:p w:rsidR="005B6855" w:rsidRDefault="00B15E81">
      <w:pPr>
        <w:autoSpaceDE w:val="0"/>
        <w:snapToGrid w:val="0"/>
        <w:spacing w:line="540" w:lineRule="exact"/>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鞋业是城北街道的支柱产业，</w:t>
      </w:r>
      <w:proofErr w:type="gramStart"/>
      <w:r>
        <w:rPr>
          <w:rFonts w:ascii="宋体" w:eastAsia="宋体" w:hAnsi="宋体" w:cs="宋体" w:hint="eastAsia"/>
          <w:kern w:val="0"/>
          <w:sz w:val="28"/>
          <w:szCs w:val="28"/>
        </w:rPr>
        <w:t>鞋企数量</w:t>
      </w:r>
      <w:proofErr w:type="gramEnd"/>
      <w:r>
        <w:rPr>
          <w:rFonts w:ascii="宋体" w:eastAsia="宋体" w:hAnsi="宋体" w:cs="宋体" w:hint="eastAsia"/>
          <w:kern w:val="0"/>
          <w:sz w:val="28"/>
          <w:szCs w:val="28"/>
        </w:rPr>
        <w:t>最高峰时达到3000多家，但鞋业在带来巨大经济效益的同时，也给当地带来了环境脏乱差、安全隐患等问题。当前鞋业整治提升工作的形势依然严峻，存在的问题不容忽视，特别是监管的长效机制尚未有效建立，整治成果仍有反弹的可能。城北鞋业整体散而不强的格局仍未彻底改变，尤其缺乏叫得</w:t>
      </w:r>
      <w:r>
        <w:rPr>
          <w:rFonts w:ascii="宋体" w:eastAsia="宋体" w:hAnsi="宋体" w:cs="宋体" w:hint="eastAsia"/>
          <w:kern w:val="0"/>
          <w:sz w:val="28"/>
          <w:szCs w:val="28"/>
        </w:rPr>
        <w:lastRenderedPageBreak/>
        <w:t>响、知名度大的自有品牌。全产业链层次、产品附加值、市场竞争力仍然不高，转型升级步伐还需加快，仍处于“洗牌期”“阵痛期”。为此，亟需进一步深入了解大整治大提升下的城北</w:t>
      </w:r>
      <w:proofErr w:type="gramStart"/>
      <w:r>
        <w:rPr>
          <w:rFonts w:ascii="宋体" w:eastAsia="宋体" w:hAnsi="宋体" w:cs="宋体" w:hint="eastAsia"/>
          <w:kern w:val="0"/>
          <w:sz w:val="28"/>
          <w:szCs w:val="28"/>
        </w:rPr>
        <w:t>鞋企发展</w:t>
      </w:r>
      <w:proofErr w:type="gramEnd"/>
      <w:r>
        <w:rPr>
          <w:rFonts w:ascii="宋体" w:eastAsia="宋体" w:hAnsi="宋体" w:cs="宋体" w:hint="eastAsia"/>
          <w:kern w:val="0"/>
          <w:sz w:val="28"/>
          <w:szCs w:val="28"/>
        </w:rPr>
        <w:t>现状，方能对症下药、精准施策。现阶段</w:t>
      </w:r>
      <w:proofErr w:type="gramStart"/>
      <w:r>
        <w:rPr>
          <w:rFonts w:ascii="宋体" w:eastAsia="宋体" w:hAnsi="宋体" w:cs="宋体" w:hint="eastAsia"/>
          <w:kern w:val="0"/>
          <w:sz w:val="28"/>
          <w:szCs w:val="28"/>
        </w:rPr>
        <w:t>城北鞋企仍未</w:t>
      </w:r>
      <w:proofErr w:type="gramEnd"/>
      <w:r>
        <w:rPr>
          <w:rFonts w:ascii="宋体" w:eastAsia="宋体" w:hAnsi="宋体" w:cs="宋体" w:hint="eastAsia"/>
          <w:kern w:val="0"/>
          <w:sz w:val="28"/>
          <w:szCs w:val="28"/>
        </w:rPr>
        <w:t>彻底摆脱依靠低价换取市场的“价格战”模式，而随着用地、用工成本的上升，中西部同类市场的兴起，加上环境革命、产业革命的纵深推进，这种粗放型发展模式将难以为继。城北鞋业缺少大批技术人才，尤其是高中级技术人才。由于高技术人员紧缺，导致很多小企业无法开发新产品，缺乏竞争力。</w:t>
      </w:r>
    </w:p>
    <w:p w:rsidR="005B6855" w:rsidRDefault="00B15E81">
      <w:pPr>
        <w:autoSpaceDE w:val="0"/>
        <w:snapToGrid w:val="0"/>
        <w:spacing w:line="540" w:lineRule="exact"/>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2、财政支出结构不够合理、预算执行率不均衡</w:t>
      </w:r>
    </w:p>
    <w:p w:rsidR="005B6855" w:rsidRDefault="00B15E81">
      <w:pPr>
        <w:autoSpaceDE w:val="0"/>
        <w:snapToGrid w:val="0"/>
        <w:spacing w:line="540" w:lineRule="exact"/>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按照“优化结构、有保有压、突出重点、兼顾其它”的原则，城北街道在五水共治、环境综合整治、新农村建设等方面加大了投入力度，积极推进民生实事、基础设施建设。但2019年街道财政项目支出结构仍然存在重基础设施投入轻民生事业保障，投入不均衡不充分问题较为突出，支出结构尚需进一步优化。如主要民生项目社会保障和就业2019年执行数636.27万元，执行率73.19%。医疗卫生项目执行数165.53万元，执行率36.57%。节能环保项目执行数14.75万元，执行率63.71%。民生事业保障投入不够充分，2019年城北街道项目资金主要用于市政工程建设及综合治理。教育、医疗卫生、环境保护、社会保障和就业等民生事业项目投入相对较少，全年支出共955.36万元，占当年预算支出执行数比例仅2.4%。</w:t>
      </w:r>
    </w:p>
    <w:p w:rsidR="005B6855" w:rsidRDefault="00B15E81">
      <w:pPr>
        <w:autoSpaceDE w:val="0"/>
        <w:snapToGrid w:val="0"/>
        <w:spacing w:line="540" w:lineRule="exact"/>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3、行政人员数额控制不够有力</w:t>
      </w:r>
    </w:p>
    <w:p w:rsidR="005B6855" w:rsidRDefault="00B15E81">
      <w:pPr>
        <w:autoSpaceDE w:val="0"/>
        <w:snapToGrid w:val="0"/>
        <w:spacing w:line="540" w:lineRule="exact"/>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城北街道行政人员数额控制不够严格，主要表现在实际在职人数超编。城北街道核定机关行政编制23名，事业编制32名；2019年街道实际在编财政供养人数58名，其中行政编制25人、事业编制</w:t>
      </w:r>
      <w:r>
        <w:rPr>
          <w:rFonts w:ascii="宋体" w:eastAsia="宋体" w:hAnsi="宋体" w:cs="宋体" w:hint="eastAsia"/>
          <w:kern w:val="0"/>
          <w:sz w:val="28"/>
          <w:szCs w:val="28"/>
        </w:rPr>
        <w:lastRenderedPageBreak/>
        <w:t>35人，超编1.75%。核定临时工人数181人，实际临时工人数198人，超编9.39%。（具体详见表5）</w:t>
      </w:r>
    </w:p>
    <w:p w:rsidR="005B6855" w:rsidRDefault="00B15E81">
      <w:pPr>
        <w:autoSpaceDE w:val="0"/>
        <w:snapToGrid w:val="0"/>
        <w:spacing w:line="480" w:lineRule="exact"/>
        <w:ind w:firstLineChars="200" w:firstLine="560"/>
        <w:jc w:val="left"/>
        <w:rPr>
          <w:rFonts w:ascii="宋体" w:eastAsia="宋体" w:hAnsi="宋体" w:cs="宋体"/>
          <w:kern w:val="0"/>
          <w:sz w:val="24"/>
        </w:rPr>
      </w:pPr>
      <w:r>
        <w:rPr>
          <w:rFonts w:ascii="宋体" w:eastAsia="宋体" w:hAnsi="宋体" w:cs="宋体" w:hint="eastAsia"/>
          <w:kern w:val="0"/>
          <w:sz w:val="28"/>
          <w:szCs w:val="28"/>
        </w:rPr>
        <w:t>表5            城北街道基本人员情况表           单位：人</w:t>
      </w:r>
    </w:p>
    <w:p w:rsidR="005B6855" w:rsidRDefault="005B6855">
      <w:pPr>
        <w:pStyle w:val="a3"/>
        <w:widowControl/>
        <w:snapToGrid w:val="0"/>
        <w:ind w:firstLine="480"/>
        <w:rPr>
          <w:rFonts w:cs="宋体" w:hint="default"/>
        </w:rPr>
      </w:pPr>
    </w:p>
    <w:tbl>
      <w:tblPr>
        <w:tblW w:w="4997" w:type="pct"/>
        <w:tblInd w:w="93" w:type="dxa"/>
        <w:tblCellMar>
          <w:left w:w="0" w:type="dxa"/>
          <w:right w:w="0" w:type="dxa"/>
        </w:tblCellMar>
        <w:tblLook w:val="04A0" w:firstRow="1" w:lastRow="0" w:firstColumn="1" w:lastColumn="0" w:noHBand="0" w:noVBand="1"/>
      </w:tblPr>
      <w:tblGrid>
        <w:gridCol w:w="961"/>
        <w:gridCol w:w="2579"/>
        <w:gridCol w:w="1493"/>
        <w:gridCol w:w="2028"/>
        <w:gridCol w:w="1270"/>
      </w:tblGrid>
      <w:tr w:rsidR="005B6855">
        <w:trPr>
          <w:trHeight w:val="567"/>
        </w:trPr>
        <w:tc>
          <w:tcPr>
            <w:tcW w:w="57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B6855" w:rsidRDefault="00B15E81">
            <w:pPr>
              <w:pStyle w:val="a7"/>
              <w:widowControl/>
              <w:spacing w:beforeAutospacing="1"/>
              <w:jc w:val="center"/>
              <w:rPr>
                <w:rFonts w:hint="default"/>
                <w:sz w:val="24"/>
                <w:szCs w:val="24"/>
              </w:rPr>
            </w:pPr>
            <w:r>
              <w:rPr>
                <w:sz w:val="24"/>
                <w:szCs w:val="24"/>
              </w:rPr>
              <w:t>序号</w:t>
            </w:r>
          </w:p>
        </w:tc>
        <w:tc>
          <w:tcPr>
            <w:tcW w:w="1547" w:type="pct"/>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5B6855" w:rsidRDefault="00B15E81">
            <w:pPr>
              <w:pStyle w:val="a7"/>
              <w:widowControl/>
              <w:spacing w:beforeAutospacing="1"/>
              <w:jc w:val="center"/>
              <w:rPr>
                <w:rFonts w:hint="default"/>
                <w:sz w:val="24"/>
                <w:szCs w:val="24"/>
              </w:rPr>
            </w:pPr>
            <w:r>
              <w:rPr>
                <w:sz w:val="24"/>
                <w:szCs w:val="24"/>
              </w:rPr>
              <w:t>核定人员数量</w:t>
            </w:r>
          </w:p>
        </w:tc>
        <w:tc>
          <w:tcPr>
            <w:tcW w:w="896" w:type="pct"/>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5B6855" w:rsidRDefault="00B15E81">
            <w:pPr>
              <w:pStyle w:val="a7"/>
              <w:widowControl/>
              <w:spacing w:beforeAutospacing="1"/>
              <w:jc w:val="center"/>
              <w:rPr>
                <w:rFonts w:hint="default"/>
                <w:sz w:val="24"/>
                <w:szCs w:val="24"/>
              </w:rPr>
            </w:pPr>
            <w:r>
              <w:rPr>
                <w:sz w:val="24"/>
                <w:szCs w:val="24"/>
              </w:rPr>
              <w:t>核定人数</w:t>
            </w:r>
          </w:p>
        </w:tc>
        <w:tc>
          <w:tcPr>
            <w:tcW w:w="1217" w:type="pct"/>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5B6855" w:rsidRDefault="00B15E81">
            <w:pPr>
              <w:pStyle w:val="a7"/>
              <w:widowControl/>
              <w:spacing w:beforeAutospacing="1"/>
              <w:jc w:val="center"/>
              <w:rPr>
                <w:rFonts w:hint="default"/>
                <w:sz w:val="24"/>
                <w:szCs w:val="24"/>
              </w:rPr>
            </w:pPr>
            <w:r>
              <w:rPr>
                <w:sz w:val="24"/>
                <w:szCs w:val="24"/>
              </w:rPr>
              <w:t>实际在职人数</w:t>
            </w:r>
          </w:p>
        </w:tc>
        <w:tc>
          <w:tcPr>
            <w:tcW w:w="762" w:type="pct"/>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5B6855" w:rsidRDefault="00B15E81">
            <w:pPr>
              <w:pStyle w:val="a7"/>
              <w:widowControl/>
              <w:spacing w:beforeAutospacing="1"/>
              <w:jc w:val="center"/>
              <w:rPr>
                <w:rFonts w:hint="default"/>
                <w:sz w:val="24"/>
                <w:szCs w:val="24"/>
              </w:rPr>
            </w:pPr>
            <w:r>
              <w:rPr>
                <w:sz w:val="24"/>
                <w:szCs w:val="24"/>
              </w:rPr>
              <w:t>超编</w:t>
            </w:r>
          </w:p>
        </w:tc>
      </w:tr>
      <w:tr w:rsidR="005B6855">
        <w:trPr>
          <w:trHeight w:val="567"/>
        </w:trPr>
        <w:tc>
          <w:tcPr>
            <w:tcW w:w="57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B6855" w:rsidRDefault="00B15E81">
            <w:pPr>
              <w:pStyle w:val="a7"/>
              <w:widowControl/>
              <w:spacing w:beforeAutospacing="1"/>
              <w:jc w:val="center"/>
              <w:rPr>
                <w:rFonts w:hint="default"/>
                <w:sz w:val="24"/>
                <w:szCs w:val="24"/>
              </w:rPr>
            </w:pPr>
            <w:r>
              <w:rPr>
                <w:sz w:val="24"/>
                <w:szCs w:val="24"/>
              </w:rPr>
              <w:t>1</w:t>
            </w:r>
          </w:p>
        </w:tc>
        <w:tc>
          <w:tcPr>
            <w:tcW w:w="1547" w:type="pct"/>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5B6855" w:rsidRDefault="00B15E81">
            <w:pPr>
              <w:pStyle w:val="a7"/>
              <w:widowControl/>
              <w:spacing w:beforeAutospacing="1"/>
              <w:jc w:val="left"/>
              <w:rPr>
                <w:rFonts w:hint="default"/>
                <w:sz w:val="24"/>
                <w:szCs w:val="24"/>
              </w:rPr>
            </w:pPr>
            <w:r>
              <w:rPr>
                <w:sz w:val="24"/>
                <w:szCs w:val="24"/>
              </w:rPr>
              <w:t>行政编制(</w:t>
            </w:r>
            <w:proofErr w:type="gramStart"/>
            <w:r>
              <w:rPr>
                <w:sz w:val="24"/>
                <w:szCs w:val="24"/>
              </w:rPr>
              <w:t>参公</w:t>
            </w:r>
            <w:proofErr w:type="gramEnd"/>
            <w:r>
              <w:rPr>
                <w:sz w:val="24"/>
                <w:szCs w:val="24"/>
              </w:rPr>
              <w:t>)</w:t>
            </w:r>
          </w:p>
        </w:tc>
        <w:tc>
          <w:tcPr>
            <w:tcW w:w="896" w:type="pct"/>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5B6855" w:rsidRDefault="00B15E81">
            <w:pPr>
              <w:pStyle w:val="a7"/>
              <w:widowControl/>
              <w:spacing w:beforeAutospacing="1"/>
              <w:rPr>
                <w:rFonts w:hint="default"/>
                <w:sz w:val="24"/>
                <w:szCs w:val="24"/>
              </w:rPr>
            </w:pPr>
            <w:r>
              <w:rPr>
                <w:sz w:val="24"/>
                <w:szCs w:val="24"/>
              </w:rPr>
              <w:t>25</w:t>
            </w:r>
          </w:p>
        </w:tc>
        <w:tc>
          <w:tcPr>
            <w:tcW w:w="1217" w:type="pct"/>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5B6855" w:rsidRDefault="00B15E81">
            <w:pPr>
              <w:pStyle w:val="a7"/>
              <w:widowControl/>
              <w:spacing w:beforeAutospacing="1"/>
              <w:rPr>
                <w:rFonts w:hint="default"/>
                <w:sz w:val="24"/>
                <w:szCs w:val="24"/>
              </w:rPr>
            </w:pPr>
            <w:r>
              <w:rPr>
                <w:sz w:val="24"/>
                <w:szCs w:val="24"/>
              </w:rPr>
              <w:t>23</w:t>
            </w:r>
          </w:p>
        </w:tc>
        <w:tc>
          <w:tcPr>
            <w:tcW w:w="762" w:type="pct"/>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5B6855" w:rsidRDefault="00B15E81">
            <w:pPr>
              <w:pStyle w:val="a7"/>
              <w:widowControl/>
              <w:spacing w:beforeAutospacing="1"/>
              <w:rPr>
                <w:rFonts w:hint="default"/>
                <w:sz w:val="24"/>
                <w:szCs w:val="24"/>
              </w:rPr>
            </w:pPr>
            <w:r>
              <w:rPr>
                <w:sz w:val="24"/>
                <w:szCs w:val="24"/>
              </w:rPr>
              <w:t>-2</w:t>
            </w:r>
          </w:p>
        </w:tc>
      </w:tr>
      <w:tr w:rsidR="005B6855">
        <w:trPr>
          <w:trHeight w:val="567"/>
        </w:trPr>
        <w:tc>
          <w:tcPr>
            <w:tcW w:w="57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B6855" w:rsidRDefault="00B15E81">
            <w:pPr>
              <w:pStyle w:val="a7"/>
              <w:widowControl/>
              <w:spacing w:beforeAutospacing="1"/>
              <w:jc w:val="center"/>
              <w:rPr>
                <w:rFonts w:hint="default"/>
                <w:sz w:val="24"/>
                <w:szCs w:val="24"/>
              </w:rPr>
            </w:pPr>
            <w:r>
              <w:rPr>
                <w:sz w:val="24"/>
                <w:szCs w:val="24"/>
              </w:rPr>
              <w:t>2</w:t>
            </w:r>
          </w:p>
        </w:tc>
        <w:tc>
          <w:tcPr>
            <w:tcW w:w="1547" w:type="pct"/>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5B6855" w:rsidRDefault="00B15E81">
            <w:pPr>
              <w:pStyle w:val="a7"/>
              <w:widowControl/>
              <w:spacing w:beforeAutospacing="1"/>
              <w:jc w:val="left"/>
              <w:rPr>
                <w:rFonts w:hint="default"/>
                <w:sz w:val="24"/>
                <w:szCs w:val="24"/>
              </w:rPr>
            </w:pPr>
            <w:r>
              <w:rPr>
                <w:sz w:val="24"/>
                <w:szCs w:val="24"/>
              </w:rPr>
              <w:t>事业编制</w:t>
            </w:r>
          </w:p>
        </w:tc>
        <w:tc>
          <w:tcPr>
            <w:tcW w:w="896" w:type="pct"/>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5B6855" w:rsidRDefault="00B15E81">
            <w:pPr>
              <w:pStyle w:val="a7"/>
              <w:widowControl/>
              <w:spacing w:beforeAutospacing="1"/>
              <w:rPr>
                <w:rFonts w:hint="default"/>
                <w:sz w:val="24"/>
                <w:szCs w:val="24"/>
              </w:rPr>
            </w:pPr>
            <w:r>
              <w:rPr>
                <w:sz w:val="24"/>
                <w:szCs w:val="24"/>
              </w:rPr>
              <w:t>32</w:t>
            </w:r>
          </w:p>
        </w:tc>
        <w:tc>
          <w:tcPr>
            <w:tcW w:w="1217" w:type="pct"/>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5B6855" w:rsidRDefault="00B15E81">
            <w:pPr>
              <w:pStyle w:val="a7"/>
              <w:widowControl/>
              <w:spacing w:beforeAutospacing="1"/>
              <w:rPr>
                <w:rFonts w:hint="default"/>
                <w:sz w:val="24"/>
                <w:szCs w:val="24"/>
              </w:rPr>
            </w:pPr>
            <w:r>
              <w:rPr>
                <w:sz w:val="24"/>
                <w:szCs w:val="24"/>
              </w:rPr>
              <w:t>35</w:t>
            </w:r>
          </w:p>
        </w:tc>
        <w:tc>
          <w:tcPr>
            <w:tcW w:w="762" w:type="pct"/>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5B6855" w:rsidRDefault="00B15E81">
            <w:pPr>
              <w:pStyle w:val="a7"/>
              <w:widowControl/>
              <w:spacing w:beforeAutospacing="1"/>
              <w:rPr>
                <w:rFonts w:hint="default"/>
                <w:sz w:val="24"/>
                <w:szCs w:val="24"/>
              </w:rPr>
            </w:pPr>
            <w:r>
              <w:rPr>
                <w:sz w:val="24"/>
                <w:szCs w:val="24"/>
              </w:rPr>
              <w:t>3</w:t>
            </w:r>
          </w:p>
        </w:tc>
      </w:tr>
      <w:tr w:rsidR="005B6855">
        <w:trPr>
          <w:trHeight w:val="567"/>
        </w:trPr>
        <w:tc>
          <w:tcPr>
            <w:tcW w:w="576"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B6855" w:rsidRDefault="00B15E81">
            <w:pPr>
              <w:pStyle w:val="a7"/>
              <w:widowControl/>
              <w:spacing w:beforeAutospacing="1"/>
              <w:jc w:val="center"/>
              <w:rPr>
                <w:rFonts w:hint="default"/>
                <w:sz w:val="24"/>
                <w:szCs w:val="24"/>
              </w:rPr>
            </w:pPr>
            <w:r>
              <w:rPr>
                <w:sz w:val="24"/>
                <w:szCs w:val="24"/>
              </w:rPr>
              <w:t>3</w:t>
            </w:r>
          </w:p>
        </w:tc>
        <w:tc>
          <w:tcPr>
            <w:tcW w:w="1547" w:type="pct"/>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5B6855" w:rsidRDefault="00B15E81">
            <w:pPr>
              <w:pStyle w:val="a7"/>
              <w:widowControl/>
              <w:spacing w:beforeAutospacing="1"/>
              <w:jc w:val="left"/>
              <w:rPr>
                <w:rFonts w:hint="default"/>
                <w:sz w:val="24"/>
                <w:szCs w:val="24"/>
              </w:rPr>
            </w:pPr>
            <w:r>
              <w:rPr>
                <w:sz w:val="24"/>
                <w:szCs w:val="24"/>
              </w:rPr>
              <w:t>临时工</w:t>
            </w:r>
          </w:p>
        </w:tc>
        <w:tc>
          <w:tcPr>
            <w:tcW w:w="896" w:type="pct"/>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5B6855" w:rsidRDefault="00B15E81">
            <w:pPr>
              <w:pStyle w:val="a7"/>
              <w:widowControl/>
              <w:spacing w:beforeAutospacing="1"/>
              <w:rPr>
                <w:rFonts w:hint="default"/>
                <w:sz w:val="24"/>
                <w:szCs w:val="24"/>
              </w:rPr>
            </w:pPr>
            <w:r>
              <w:rPr>
                <w:sz w:val="24"/>
                <w:szCs w:val="24"/>
              </w:rPr>
              <w:t>181</w:t>
            </w:r>
          </w:p>
        </w:tc>
        <w:tc>
          <w:tcPr>
            <w:tcW w:w="1217" w:type="pct"/>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5B6855" w:rsidRDefault="00B15E81">
            <w:pPr>
              <w:pStyle w:val="a7"/>
              <w:widowControl/>
              <w:spacing w:beforeAutospacing="1"/>
              <w:rPr>
                <w:rFonts w:hint="default"/>
                <w:sz w:val="24"/>
                <w:szCs w:val="24"/>
              </w:rPr>
            </w:pPr>
            <w:r>
              <w:rPr>
                <w:sz w:val="24"/>
                <w:szCs w:val="24"/>
              </w:rPr>
              <w:t>198</w:t>
            </w:r>
          </w:p>
        </w:tc>
        <w:tc>
          <w:tcPr>
            <w:tcW w:w="762" w:type="pct"/>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5B6855" w:rsidRDefault="00B15E81">
            <w:pPr>
              <w:pStyle w:val="a7"/>
              <w:widowControl/>
              <w:spacing w:beforeAutospacing="1"/>
              <w:rPr>
                <w:rFonts w:hint="default"/>
                <w:sz w:val="24"/>
                <w:szCs w:val="24"/>
              </w:rPr>
            </w:pPr>
            <w:r>
              <w:rPr>
                <w:sz w:val="24"/>
                <w:szCs w:val="24"/>
              </w:rPr>
              <w:t>17</w:t>
            </w:r>
          </w:p>
        </w:tc>
      </w:tr>
    </w:tbl>
    <w:p w:rsidR="005B6855" w:rsidRDefault="00B15E81">
      <w:pPr>
        <w:widowControl/>
        <w:autoSpaceDE w:val="0"/>
        <w:snapToGrid w:val="0"/>
        <w:spacing w:line="540" w:lineRule="exact"/>
        <w:ind w:firstLineChars="200" w:firstLine="560"/>
        <w:jc w:val="left"/>
        <w:rPr>
          <w:rFonts w:ascii="宋体" w:eastAsia="宋体" w:hAnsi="宋体" w:cs="宋体"/>
          <w:b/>
          <w:spacing w:val="11"/>
          <w:kern w:val="0"/>
          <w:sz w:val="28"/>
          <w:szCs w:val="28"/>
        </w:rPr>
      </w:pPr>
      <w:r>
        <w:rPr>
          <w:rFonts w:ascii="宋体" w:eastAsia="宋体" w:hAnsi="宋体" w:cs="宋体" w:hint="eastAsia"/>
          <w:kern w:val="0"/>
          <w:sz w:val="28"/>
          <w:szCs w:val="28"/>
        </w:rPr>
        <w:t>随着街道基层管理业务范围扩展、工作量加大，聘用一定数量的临时人员参与各项综合管理工作，是必须的，但自聘人员工资无上级财政保障，需街道财政统筹解决，因此需严格把控进人审核，因岗定人，控制人员数量，严控行政运行成本。</w:t>
      </w:r>
    </w:p>
    <w:p w:rsidR="005B6855" w:rsidRDefault="00B15E81">
      <w:pPr>
        <w:widowControl/>
        <w:autoSpaceDE w:val="0"/>
        <w:snapToGrid w:val="0"/>
        <w:spacing w:line="540" w:lineRule="exact"/>
        <w:ind w:firstLineChars="200" w:firstLine="606"/>
        <w:jc w:val="left"/>
        <w:rPr>
          <w:rFonts w:ascii="宋体" w:eastAsia="宋体" w:hAnsi="宋体" w:cs="宋体"/>
          <w:b/>
          <w:spacing w:val="11"/>
          <w:kern w:val="0"/>
          <w:sz w:val="28"/>
          <w:szCs w:val="28"/>
        </w:rPr>
      </w:pPr>
      <w:r>
        <w:rPr>
          <w:rFonts w:ascii="宋体" w:eastAsia="宋体" w:hAnsi="宋体" w:cs="宋体" w:hint="eastAsia"/>
          <w:b/>
          <w:spacing w:val="11"/>
          <w:kern w:val="0"/>
          <w:sz w:val="28"/>
          <w:szCs w:val="28"/>
        </w:rPr>
        <w:t>七、经验教训与建议</w:t>
      </w:r>
    </w:p>
    <w:p w:rsidR="005B6855" w:rsidRDefault="00B15E81">
      <w:pPr>
        <w:pStyle w:val="a6"/>
        <w:widowControl/>
        <w:shd w:val="clear" w:color="auto" w:fill="FFFFFF"/>
        <w:autoSpaceDE w:val="0"/>
        <w:snapToGrid w:val="0"/>
        <w:spacing w:beforeAutospacing="0" w:afterAutospacing="0" w:line="540" w:lineRule="exact"/>
        <w:ind w:firstLineChars="200" w:firstLine="560"/>
        <w:jc w:val="both"/>
        <w:rPr>
          <w:rFonts w:cs="宋体"/>
          <w:kern w:val="2"/>
          <w:sz w:val="28"/>
          <w:szCs w:val="28"/>
          <w:shd w:val="clear" w:color="auto" w:fill="FFFFFF"/>
        </w:rPr>
      </w:pPr>
      <w:r>
        <w:rPr>
          <w:rFonts w:cs="宋体" w:hint="eastAsia"/>
          <w:kern w:val="2"/>
          <w:sz w:val="28"/>
          <w:szCs w:val="28"/>
          <w:shd w:val="clear" w:color="auto" w:fill="FFFFFF"/>
        </w:rPr>
        <w:t>1、实现传统鞋业转型升级</w:t>
      </w:r>
    </w:p>
    <w:p w:rsidR="005B6855" w:rsidRDefault="00B15E81">
      <w:pPr>
        <w:pStyle w:val="a6"/>
        <w:widowControl/>
        <w:shd w:val="clear" w:color="auto" w:fill="FFFFFF"/>
        <w:autoSpaceDE w:val="0"/>
        <w:snapToGrid w:val="0"/>
        <w:spacing w:beforeAutospacing="0" w:afterAutospacing="0" w:line="540" w:lineRule="exact"/>
        <w:ind w:firstLineChars="200" w:firstLine="560"/>
        <w:jc w:val="both"/>
        <w:rPr>
          <w:rFonts w:cs="宋体"/>
          <w:kern w:val="2"/>
          <w:sz w:val="28"/>
          <w:szCs w:val="28"/>
          <w:shd w:val="clear" w:color="auto" w:fill="FFFFFF"/>
        </w:rPr>
      </w:pPr>
      <w:r>
        <w:rPr>
          <w:rFonts w:cs="宋体" w:hint="eastAsia"/>
          <w:kern w:val="2"/>
          <w:sz w:val="28"/>
          <w:szCs w:val="28"/>
          <w:shd w:val="clear" w:color="auto" w:fill="FFFFFF"/>
        </w:rPr>
        <w:t>开展环境综合整治，持之以恒打好治</w:t>
      </w:r>
      <w:proofErr w:type="gramStart"/>
      <w:r>
        <w:rPr>
          <w:rFonts w:cs="宋体" w:hint="eastAsia"/>
          <w:kern w:val="2"/>
          <w:sz w:val="28"/>
          <w:szCs w:val="28"/>
          <w:shd w:val="clear" w:color="auto" w:fill="FFFFFF"/>
        </w:rPr>
        <w:t>危拆违</w:t>
      </w:r>
      <w:proofErr w:type="gramEnd"/>
      <w:r>
        <w:rPr>
          <w:rFonts w:cs="宋体" w:hint="eastAsia"/>
          <w:kern w:val="2"/>
          <w:sz w:val="28"/>
          <w:szCs w:val="28"/>
          <w:shd w:val="clear" w:color="auto" w:fill="FFFFFF"/>
        </w:rPr>
        <w:t>、五水共治、小城镇环境综合整治，继续加大对企业安全、环保的监管。扩大有潜力企业的发展空间，引导企业提高质量，提升品牌。从而改变城北鞋的低劣印象。鼓励企业与高校等技术机构合作，开展科技创新，继续举办“中国童鞋产业高峰论坛”，向全国、全世界展示温岭童鞋企业良好形象。由童鞋生产制造向童鞋产业创意设计、研发智造、品牌营销发展，助</w:t>
      </w:r>
      <w:proofErr w:type="gramStart"/>
      <w:r>
        <w:rPr>
          <w:rFonts w:cs="宋体" w:hint="eastAsia"/>
          <w:kern w:val="2"/>
          <w:sz w:val="28"/>
          <w:szCs w:val="28"/>
          <w:shd w:val="clear" w:color="auto" w:fill="FFFFFF"/>
        </w:rPr>
        <w:t>推产业</w:t>
      </w:r>
      <w:proofErr w:type="gramEnd"/>
      <w:r>
        <w:rPr>
          <w:rFonts w:cs="宋体" w:hint="eastAsia"/>
          <w:kern w:val="2"/>
          <w:sz w:val="28"/>
          <w:szCs w:val="28"/>
          <w:shd w:val="clear" w:color="auto" w:fill="FFFFFF"/>
        </w:rPr>
        <w:t>逐步走向自主品牌市场和中高端市场。融入电子商务营销新模式，规范提升电商经营模式，把线上的区域平台和线下的实体产业园区结合起来，打造电子商务的新平台。设定产业园区入驻条件，生产规模小、产品档次低、设备老旧落后的企业不得入驻，倒</w:t>
      </w:r>
      <w:proofErr w:type="gramStart"/>
      <w:r>
        <w:rPr>
          <w:rFonts w:cs="宋体" w:hint="eastAsia"/>
          <w:kern w:val="2"/>
          <w:sz w:val="28"/>
          <w:szCs w:val="28"/>
          <w:shd w:val="clear" w:color="auto" w:fill="FFFFFF"/>
        </w:rPr>
        <w:t>逼企业</w:t>
      </w:r>
      <w:proofErr w:type="gramEnd"/>
      <w:r>
        <w:rPr>
          <w:rFonts w:cs="宋体" w:hint="eastAsia"/>
          <w:kern w:val="2"/>
          <w:sz w:val="28"/>
          <w:szCs w:val="28"/>
          <w:shd w:val="clear" w:color="auto" w:fill="FFFFFF"/>
        </w:rPr>
        <w:t>加大技改投入，提升产业水平，为转型升级准备基础条件。做好鞋业产业</w:t>
      </w:r>
      <w:r>
        <w:rPr>
          <w:rFonts w:cs="宋体" w:hint="eastAsia"/>
          <w:kern w:val="2"/>
          <w:sz w:val="28"/>
          <w:szCs w:val="28"/>
          <w:shd w:val="clear" w:color="auto" w:fill="FFFFFF"/>
        </w:rPr>
        <w:lastRenderedPageBreak/>
        <w:t>人才引进配套服务工作，对企业引进的鞋业高层次科技创新、创意设计人才，街道应配合企业，做好引进人才的医疗保障、子女入学、家属就业等方面的服务工作，使外来人才提高对城北的认同感与归属感。</w:t>
      </w:r>
    </w:p>
    <w:p w:rsidR="005B6855" w:rsidRDefault="00B15E81">
      <w:pPr>
        <w:pStyle w:val="a6"/>
        <w:widowControl/>
        <w:shd w:val="clear" w:color="auto" w:fill="FFFFFF"/>
        <w:autoSpaceDE w:val="0"/>
        <w:snapToGrid w:val="0"/>
        <w:spacing w:beforeAutospacing="0" w:afterAutospacing="0" w:line="540" w:lineRule="exact"/>
        <w:ind w:firstLineChars="200" w:firstLine="560"/>
        <w:jc w:val="both"/>
        <w:rPr>
          <w:rFonts w:cs="宋体"/>
          <w:kern w:val="2"/>
          <w:sz w:val="28"/>
          <w:szCs w:val="28"/>
          <w:shd w:val="clear" w:color="auto" w:fill="FFFFFF"/>
        </w:rPr>
      </w:pPr>
      <w:r>
        <w:rPr>
          <w:rFonts w:cs="宋体" w:hint="eastAsia"/>
          <w:kern w:val="2"/>
          <w:sz w:val="28"/>
          <w:szCs w:val="28"/>
          <w:shd w:val="clear" w:color="auto" w:fill="FFFFFF"/>
        </w:rPr>
        <w:t>2、加大民生事业项目投入</w:t>
      </w:r>
    </w:p>
    <w:p w:rsidR="005B6855" w:rsidRDefault="00B15E81">
      <w:pPr>
        <w:pStyle w:val="a6"/>
        <w:widowControl/>
        <w:shd w:val="clear" w:color="auto" w:fill="FFFFFF"/>
        <w:autoSpaceDE w:val="0"/>
        <w:snapToGrid w:val="0"/>
        <w:spacing w:beforeAutospacing="0" w:afterAutospacing="0" w:line="540" w:lineRule="exact"/>
        <w:ind w:firstLineChars="200" w:firstLine="560"/>
        <w:jc w:val="both"/>
        <w:rPr>
          <w:rFonts w:ascii="仿宋" w:eastAsia="仿宋" w:hAnsi="仿宋" w:cs="Arial"/>
          <w:sz w:val="32"/>
          <w:szCs w:val="32"/>
          <w:shd w:val="clear" w:color="auto" w:fill="FFFFFF"/>
        </w:rPr>
      </w:pPr>
      <w:r>
        <w:rPr>
          <w:rFonts w:cs="宋体" w:hint="eastAsia"/>
          <w:kern w:val="2"/>
          <w:sz w:val="28"/>
          <w:szCs w:val="28"/>
          <w:shd w:val="clear" w:color="auto" w:fill="FFFFFF"/>
        </w:rPr>
        <w:t>还需加强对民生等重点领域的预算投入，严格落实各项民生政策，重点保障民生支出。积极贯彻上级各项惠民政策，科学合理分配民生资金支出预算，将教育、社保、医疗卫生等民生项目纳入财政预算优先保障，加快民生资金预算执行力度，力求推进财政预算重点</w:t>
      </w:r>
      <w:proofErr w:type="gramStart"/>
      <w:r>
        <w:rPr>
          <w:rFonts w:cs="宋体" w:hint="eastAsia"/>
          <w:kern w:val="2"/>
          <w:sz w:val="28"/>
          <w:szCs w:val="28"/>
          <w:shd w:val="clear" w:color="auto" w:fill="FFFFFF"/>
        </w:rPr>
        <w:t>向保障</w:t>
      </w:r>
      <w:proofErr w:type="gramEnd"/>
      <w:r>
        <w:rPr>
          <w:rFonts w:cs="宋体" w:hint="eastAsia"/>
          <w:kern w:val="2"/>
          <w:sz w:val="28"/>
          <w:szCs w:val="28"/>
          <w:shd w:val="clear" w:color="auto" w:fill="FFFFFF"/>
        </w:rPr>
        <w:t>民生倾斜，充分体现为民理财。在民生资金管理上，推动建立科学的民生资金支出绩效评价体系，构建动态、全程的支出绩效监控机制，不断提升民生资金使用效益。均衡基础公共设施建设投入与形象工程投入资金安排，努力提高公共物品产出与公共服务能力提升，充分体现财政资金公共性要求。同时，针对当前城乡公共设施配置不均衡、农村环境治理投入不足等问题，街道后续工作安排应予充分考虑，逐步提高乡村环境质量提升投入比重。</w:t>
      </w:r>
    </w:p>
    <w:p w:rsidR="005B6855" w:rsidRDefault="005B6855">
      <w:pPr>
        <w:widowControl/>
        <w:snapToGrid w:val="0"/>
        <w:spacing w:line="600" w:lineRule="atLeast"/>
        <w:ind w:left="640"/>
        <w:rPr>
          <w:rFonts w:ascii="仿宋" w:eastAsia="仿宋" w:hAnsi="仿宋" w:cs="Arial"/>
          <w:b/>
          <w:kern w:val="0"/>
          <w:sz w:val="32"/>
          <w:szCs w:val="32"/>
        </w:rPr>
      </w:pPr>
    </w:p>
    <w:p w:rsidR="005B6855" w:rsidRDefault="00B15E81">
      <w:pPr>
        <w:widowControl/>
        <w:snapToGrid w:val="0"/>
        <w:spacing w:line="600" w:lineRule="atLeast"/>
        <w:ind w:firstLine="640"/>
        <w:rPr>
          <w:rFonts w:ascii="宋体" w:eastAsia="宋体" w:hAnsi="宋体" w:cs="宋体"/>
          <w:kern w:val="0"/>
          <w:sz w:val="24"/>
        </w:rPr>
      </w:pPr>
      <w:r>
        <w:rPr>
          <w:rStyle w:val="15"/>
          <w:rFonts w:ascii="楷体" w:eastAsia="楷体" w:hAnsi="楷体" w:cs="楷体" w:hint="eastAsia"/>
          <w:kern w:val="0"/>
          <w:sz w:val="32"/>
          <w:szCs w:val="32"/>
        </w:rPr>
        <w:t>（十）其他重要事项的情况说明</w:t>
      </w:r>
    </w:p>
    <w:p w:rsidR="005B6855" w:rsidRDefault="00B15E81">
      <w:pPr>
        <w:widowControl/>
        <w:snapToGrid w:val="0"/>
        <w:spacing w:line="600" w:lineRule="atLeast"/>
        <w:ind w:firstLine="640"/>
        <w:rPr>
          <w:rFonts w:ascii="宋体" w:eastAsia="宋体" w:hAnsi="宋体" w:cs="宋体"/>
          <w:kern w:val="0"/>
          <w:sz w:val="24"/>
        </w:rPr>
      </w:pPr>
      <w:r>
        <w:rPr>
          <w:rStyle w:val="15"/>
          <w:rFonts w:ascii="仿宋" w:eastAsia="仿宋" w:hAnsi="仿宋" w:cs="Arial" w:hint="eastAsia"/>
          <w:kern w:val="0"/>
          <w:sz w:val="32"/>
          <w:szCs w:val="32"/>
        </w:rPr>
        <w:t>1.机关运行经费支出情况。</w:t>
      </w:r>
    </w:p>
    <w:p w:rsidR="005B6855" w:rsidRDefault="00B15E81">
      <w:pPr>
        <w:widowControl/>
        <w:snapToGrid w:val="0"/>
        <w:spacing w:line="600" w:lineRule="atLeast"/>
        <w:ind w:firstLine="640"/>
        <w:rPr>
          <w:rFonts w:ascii="宋体" w:eastAsia="宋体" w:hAnsi="宋体" w:cs="宋体"/>
          <w:kern w:val="0"/>
          <w:sz w:val="24"/>
        </w:rPr>
      </w:pPr>
      <w:r>
        <w:rPr>
          <w:rFonts w:ascii="仿宋" w:eastAsia="仿宋" w:hAnsi="仿宋" w:cs="Arial" w:hint="eastAsia"/>
          <w:kern w:val="0"/>
          <w:sz w:val="32"/>
          <w:szCs w:val="32"/>
        </w:rPr>
        <w:t>2019年度机关运行经费支出74.34万元，比年初预算数0</w:t>
      </w:r>
      <w:r>
        <w:rPr>
          <w:rFonts w:ascii="仿宋" w:eastAsia="仿宋" w:hAnsi="仿宋" w:cs="仿宋" w:hint="eastAsia"/>
          <w:kern w:val="0"/>
          <w:sz w:val="32"/>
          <w:szCs w:val="32"/>
        </w:rPr>
        <w:t>万元，执行率</w:t>
      </w:r>
      <w:r>
        <w:rPr>
          <w:rFonts w:ascii="仿宋" w:eastAsia="仿宋" w:hAnsi="仿宋" w:cs="Arial" w:hint="eastAsia"/>
          <w:kern w:val="0"/>
          <w:sz w:val="32"/>
          <w:szCs w:val="32"/>
        </w:rPr>
        <w:t>100%。决算等于预算主要原因是严格按照预算执行。</w:t>
      </w:r>
    </w:p>
    <w:p w:rsidR="005B6855" w:rsidRDefault="00B15E81">
      <w:pPr>
        <w:widowControl/>
        <w:snapToGrid w:val="0"/>
        <w:spacing w:line="600" w:lineRule="atLeast"/>
        <w:ind w:firstLine="640"/>
        <w:rPr>
          <w:rFonts w:ascii="宋体" w:eastAsia="宋体" w:hAnsi="宋体" w:cs="宋体"/>
          <w:kern w:val="0"/>
          <w:sz w:val="24"/>
        </w:rPr>
      </w:pPr>
      <w:r>
        <w:rPr>
          <w:rStyle w:val="15"/>
          <w:rFonts w:ascii="仿宋" w:eastAsia="仿宋" w:hAnsi="仿宋" w:cs="Arial" w:hint="eastAsia"/>
          <w:kern w:val="0"/>
          <w:sz w:val="32"/>
          <w:szCs w:val="32"/>
        </w:rPr>
        <w:t>2.政府采购支出情况。</w:t>
      </w:r>
    </w:p>
    <w:p w:rsidR="005B6855" w:rsidRDefault="00B15E81">
      <w:pPr>
        <w:widowControl/>
        <w:snapToGrid w:val="0"/>
        <w:spacing w:line="600" w:lineRule="atLeast"/>
        <w:ind w:firstLine="640"/>
        <w:rPr>
          <w:rFonts w:ascii="宋体" w:eastAsia="宋体" w:hAnsi="宋体" w:cs="宋体"/>
          <w:kern w:val="0"/>
          <w:sz w:val="24"/>
        </w:rPr>
      </w:pPr>
      <w:r>
        <w:rPr>
          <w:rFonts w:ascii="仿宋" w:eastAsia="仿宋" w:hAnsi="仿宋" w:cs="Arial" w:hint="eastAsia"/>
          <w:kern w:val="0"/>
          <w:sz w:val="32"/>
          <w:szCs w:val="32"/>
        </w:rPr>
        <w:lastRenderedPageBreak/>
        <w:t>2019年度政府采购支出总额97.17万元，其中：政府采购货物支出97.17万元、政府采购工程支出0万元、政府采购服务支出0万元。授予中小企业合同金额97.17万元，占政府采购支出总额的100.00%。其中，授予小</w:t>
      </w:r>
      <w:proofErr w:type="gramStart"/>
      <w:r>
        <w:rPr>
          <w:rFonts w:ascii="仿宋" w:eastAsia="仿宋" w:hAnsi="仿宋" w:cs="Arial" w:hint="eastAsia"/>
          <w:kern w:val="0"/>
          <w:sz w:val="32"/>
          <w:szCs w:val="32"/>
        </w:rPr>
        <w:t>微企业</w:t>
      </w:r>
      <w:proofErr w:type="gramEnd"/>
      <w:r>
        <w:rPr>
          <w:rFonts w:ascii="仿宋" w:eastAsia="仿宋" w:hAnsi="仿宋" w:cs="Arial" w:hint="eastAsia"/>
          <w:kern w:val="0"/>
          <w:sz w:val="32"/>
          <w:szCs w:val="32"/>
        </w:rPr>
        <w:t>合同金额0万元，占政府采购支出总额的0%。</w:t>
      </w:r>
    </w:p>
    <w:p w:rsidR="005B6855" w:rsidRDefault="00B15E81">
      <w:pPr>
        <w:widowControl/>
        <w:snapToGrid w:val="0"/>
        <w:spacing w:line="600" w:lineRule="atLeast"/>
        <w:ind w:firstLine="640"/>
        <w:rPr>
          <w:rFonts w:ascii="宋体" w:eastAsia="宋体" w:hAnsi="宋体" w:cs="宋体"/>
          <w:kern w:val="0"/>
          <w:sz w:val="24"/>
        </w:rPr>
      </w:pPr>
      <w:r>
        <w:rPr>
          <w:rStyle w:val="15"/>
          <w:rFonts w:ascii="仿宋" w:eastAsia="仿宋" w:hAnsi="仿宋" w:cs="Arial" w:hint="eastAsia"/>
          <w:kern w:val="0"/>
          <w:sz w:val="32"/>
          <w:szCs w:val="32"/>
        </w:rPr>
        <w:t>3.国有资产占有使用情况。</w:t>
      </w:r>
    </w:p>
    <w:p w:rsidR="005B6855" w:rsidRDefault="00B15E81">
      <w:pPr>
        <w:widowControl/>
        <w:snapToGrid w:val="0"/>
        <w:spacing w:line="600" w:lineRule="atLeast"/>
        <w:ind w:firstLine="640"/>
        <w:rPr>
          <w:rFonts w:ascii="宋体" w:eastAsia="宋体" w:hAnsi="宋体" w:cs="宋体"/>
          <w:kern w:val="0"/>
          <w:sz w:val="24"/>
        </w:rPr>
      </w:pPr>
      <w:r>
        <w:rPr>
          <w:rFonts w:ascii="仿宋" w:eastAsia="仿宋" w:hAnsi="仿宋" w:cs="仿宋" w:hint="eastAsia"/>
          <w:kern w:val="0"/>
          <w:sz w:val="32"/>
          <w:szCs w:val="32"/>
        </w:rPr>
        <w:t>截至</w:t>
      </w:r>
      <w:r>
        <w:rPr>
          <w:rFonts w:ascii="仿宋" w:eastAsia="仿宋" w:hAnsi="仿宋" w:cs="Arial" w:hint="eastAsia"/>
          <w:kern w:val="0"/>
          <w:sz w:val="32"/>
          <w:szCs w:val="32"/>
        </w:rPr>
        <w:t xml:space="preserve">2019年12月31日，本级及所属各单位共有车辆5辆，其中，副部（省）级及以上领导用车0辆、主要领导干部用车0辆、机要通信用车0辆、应急保障用车0辆、执法执勤用车0辆、特种专业技术用车0辆、离退休干部用车0辆、其他用车5辆,其他用车主要是一般公务用车。单价50万元以上通用设备0台（套），单价100万元以上专用设备0台（套）。 </w:t>
      </w:r>
    </w:p>
    <w:p w:rsidR="005B6855" w:rsidRDefault="00B15E81">
      <w:pPr>
        <w:widowControl/>
        <w:snapToGrid w:val="0"/>
        <w:spacing w:line="600" w:lineRule="atLeast"/>
        <w:ind w:firstLine="640"/>
        <w:rPr>
          <w:rFonts w:ascii="宋体" w:eastAsia="宋体" w:hAnsi="宋体" w:cs="宋体"/>
          <w:kern w:val="0"/>
          <w:sz w:val="24"/>
        </w:rPr>
      </w:pPr>
      <w:r>
        <w:rPr>
          <w:rStyle w:val="15"/>
          <w:rFonts w:ascii="黑体" w:eastAsia="黑体" w:hAnsi="宋体" w:cs="黑体" w:hint="eastAsia"/>
          <w:kern w:val="0"/>
          <w:sz w:val="32"/>
          <w:szCs w:val="32"/>
        </w:rPr>
        <w:t>四、名词解释</w:t>
      </w:r>
    </w:p>
    <w:p w:rsidR="005B6855" w:rsidRDefault="00B15E81">
      <w:pPr>
        <w:widowControl/>
        <w:snapToGrid w:val="0"/>
        <w:spacing w:line="600" w:lineRule="atLeast"/>
        <w:ind w:firstLine="640"/>
        <w:rPr>
          <w:rFonts w:ascii="宋体" w:eastAsia="宋体" w:hAnsi="宋体" w:cs="宋体"/>
          <w:kern w:val="0"/>
          <w:sz w:val="24"/>
        </w:rPr>
      </w:pPr>
      <w:r>
        <w:rPr>
          <w:rFonts w:ascii="仿宋" w:eastAsia="仿宋" w:hAnsi="仿宋" w:cs="Arial" w:hint="eastAsia"/>
          <w:kern w:val="0"/>
          <w:sz w:val="32"/>
          <w:szCs w:val="32"/>
        </w:rPr>
        <w:t>1.财政拨款收入：指本级财政部</w:t>
      </w:r>
      <w:proofErr w:type="gramStart"/>
      <w:r>
        <w:rPr>
          <w:rFonts w:ascii="仿宋" w:eastAsia="仿宋" w:hAnsi="仿宋" w:cs="Arial" w:hint="eastAsia"/>
          <w:kern w:val="0"/>
          <w:sz w:val="32"/>
          <w:szCs w:val="32"/>
        </w:rPr>
        <w:t>门当年</w:t>
      </w:r>
      <w:proofErr w:type="gramEnd"/>
      <w:r>
        <w:rPr>
          <w:rFonts w:ascii="仿宋" w:eastAsia="仿宋" w:hAnsi="仿宋" w:cs="Arial" w:hint="eastAsia"/>
          <w:kern w:val="0"/>
          <w:sz w:val="32"/>
          <w:szCs w:val="32"/>
        </w:rPr>
        <w:t>拨付的财政预算资金，包括一般公共预算财政拨款和政府性基金预算财政拨款。</w:t>
      </w:r>
    </w:p>
    <w:p w:rsidR="005B6855" w:rsidRDefault="00B15E81">
      <w:pPr>
        <w:widowControl/>
        <w:snapToGrid w:val="0"/>
        <w:spacing w:line="600" w:lineRule="atLeast"/>
        <w:ind w:firstLine="640"/>
        <w:rPr>
          <w:rFonts w:ascii="宋体" w:eastAsia="宋体" w:hAnsi="宋体" w:cs="宋体"/>
          <w:kern w:val="0"/>
          <w:sz w:val="24"/>
        </w:rPr>
      </w:pPr>
      <w:r>
        <w:rPr>
          <w:rFonts w:ascii="仿宋" w:eastAsia="仿宋" w:hAnsi="仿宋" w:cs="Arial" w:hint="eastAsia"/>
          <w:kern w:val="0"/>
          <w:sz w:val="32"/>
          <w:szCs w:val="32"/>
        </w:rPr>
        <w:t>2.事业收入：指事业单位开展专业业务活动及辅助活动所取得的收入。</w:t>
      </w:r>
    </w:p>
    <w:p w:rsidR="005B6855" w:rsidRDefault="00B15E81">
      <w:pPr>
        <w:widowControl/>
        <w:snapToGrid w:val="0"/>
        <w:spacing w:line="600" w:lineRule="atLeast"/>
        <w:ind w:firstLine="640"/>
        <w:rPr>
          <w:rFonts w:ascii="宋体" w:eastAsia="宋体" w:hAnsi="宋体" w:cs="宋体"/>
          <w:kern w:val="0"/>
          <w:sz w:val="24"/>
        </w:rPr>
      </w:pPr>
      <w:r>
        <w:rPr>
          <w:rFonts w:ascii="仿宋" w:eastAsia="仿宋" w:hAnsi="仿宋" w:cs="Arial" w:hint="eastAsia"/>
          <w:kern w:val="0"/>
          <w:sz w:val="32"/>
          <w:szCs w:val="32"/>
        </w:rPr>
        <w:t>3.经营收入：指事业单位在专业业务活动及辅助活动之外开展非独立核算经营活动取得的收入。</w:t>
      </w:r>
    </w:p>
    <w:p w:rsidR="005B6855" w:rsidRDefault="00B15E81">
      <w:pPr>
        <w:widowControl/>
        <w:snapToGrid w:val="0"/>
        <w:spacing w:line="600" w:lineRule="atLeast"/>
        <w:ind w:firstLine="640"/>
        <w:rPr>
          <w:rFonts w:ascii="宋体" w:eastAsia="宋体" w:hAnsi="宋体" w:cs="宋体"/>
          <w:kern w:val="0"/>
          <w:sz w:val="24"/>
        </w:rPr>
      </w:pPr>
      <w:r>
        <w:rPr>
          <w:rFonts w:ascii="仿宋" w:eastAsia="仿宋" w:hAnsi="仿宋" w:cs="Arial" w:hint="eastAsia"/>
          <w:kern w:val="0"/>
          <w:sz w:val="32"/>
          <w:szCs w:val="32"/>
        </w:rPr>
        <w:t>4.上级补助收入：指事业单位从主管部门和上级单位取得的非财政补助收入。</w:t>
      </w:r>
    </w:p>
    <w:p w:rsidR="005B6855" w:rsidRDefault="00B15E81">
      <w:pPr>
        <w:widowControl/>
        <w:snapToGrid w:val="0"/>
        <w:spacing w:line="600" w:lineRule="atLeast"/>
        <w:ind w:firstLine="640"/>
        <w:rPr>
          <w:rFonts w:ascii="宋体" w:eastAsia="宋体" w:hAnsi="宋体" w:cs="宋体"/>
          <w:kern w:val="0"/>
          <w:sz w:val="24"/>
        </w:rPr>
      </w:pPr>
      <w:r>
        <w:rPr>
          <w:rFonts w:ascii="仿宋" w:eastAsia="仿宋" w:hAnsi="仿宋" w:cs="Arial" w:hint="eastAsia"/>
          <w:kern w:val="0"/>
          <w:sz w:val="32"/>
          <w:szCs w:val="32"/>
        </w:rPr>
        <w:lastRenderedPageBreak/>
        <w:t>5.附属单位上缴收入：指事业单位附属独立核算单位按照有关规定上缴的收入。</w:t>
      </w:r>
    </w:p>
    <w:p w:rsidR="005B6855" w:rsidRDefault="00B15E81">
      <w:pPr>
        <w:widowControl/>
        <w:snapToGrid w:val="0"/>
        <w:spacing w:line="600" w:lineRule="atLeast"/>
        <w:ind w:firstLine="640"/>
        <w:rPr>
          <w:rFonts w:ascii="宋体" w:eastAsia="宋体" w:hAnsi="宋体" w:cs="宋体"/>
          <w:kern w:val="0"/>
          <w:sz w:val="24"/>
        </w:rPr>
      </w:pPr>
      <w:r>
        <w:rPr>
          <w:rFonts w:ascii="仿宋" w:eastAsia="仿宋" w:hAnsi="仿宋" w:cs="Arial" w:hint="eastAsia"/>
          <w:kern w:val="0"/>
          <w:sz w:val="32"/>
          <w:szCs w:val="32"/>
        </w:rPr>
        <w:t>6.其他收入：指预算单位在“财政拨款”、“事业收入”、“经营收入”、“上级补助收入”、“附属单位上缴收入”等之外取得的各项收入。</w:t>
      </w:r>
    </w:p>
    <w:p w:rsidR="005B6855" w:rsidRDefault="00B15E81">
      <w:pPr>
        <w:widowControl/>
        <w:snapToGrid w:val="0"/>
        <w:spacing w:line="600" w:lineRule="atLeast"/>
        <w:ind w:firstLine="640"/>
        <w:rPr>
          <w:rFonts w:ascii="宋体" w:eastAsia="宋体" w:hAnsi="宋体" w:cs="宋体"/>
          <w:kern w:val="0"/>
          <w:sz w:val="24"/>
        </w:rPr>
      </w:pPr>
      <w:r>
        <w:rPr>
          <w:rFonts w:ascii="仿宋" w:eastAsia="仿宋" w:hAnsi="仿宋" w:cs="Arial" w:hint="eastAsia"/>
          <w:kern w:val="0"/>
          <w:sz w:val="32"/>
          <w:szCs w:val="32"/>
        </w:rPr>
        <w:t>7.用事业基金弥补收支差额：指事业单位动用非财政拨款结余弥补收支差额的金额。</w:t>
      </w:r>
    </w:p>
    <w:p w:rsidR="005B6855" w:rsidRDefault="00B15E81">
      <w:pPr>
        <w:widowControl/>
        <w:snapToGrid w:val="0"/>
        <w:spacing w:line="600" w:lineRule="atLeast"/>
        <w:ind w:firstLine="640"/>
        <w:rPr>
          <w:rFonts w:ascii="宋体" w:eastAsia="宋体" w:hAnsi="宋体" w:cs="宋体"/>
          <w:kern w:val="0"/>
          <w:sz w:val="24"/>
        </w:rPr>
      </w:pPr>
      <w:r>
        <w:rPr>
          <w:rFonts w:ascii="仿宋" w:eastAsia="仿宋" w:hAnsi="仿宋" w:cs="Arial" w:hint="eastAsia"/>
          <w:kern w:val="0"/>
          <w:sz w:val="32"/>
          <w:szCs w:val="32"/>
        </w:rPr>
        <w:t>8.年初结转和结余：指预算单位以前年度尚未完成、结转到本年仍按原规定用途继续使用的资金。</w:t>
      </w:r>
    </w:p>
    <w:p w:rsidR="005B6855" w:rsidRDefault="00B15E81">
      <w:pPr>
        <w:widowControl/>
        <w:snapToGrid w:val="0"/>
        <w:spacing w:line="600" w:lineRule="atLeast"/>
        <w:ind w:firstLine="640"/>
        <w:rPr>
          <w:rFonts w:ascii="宋体" w:eastAsia="宋体" w:hAnsi="宋体" w:cs="宋体"/>
          <w:kern w:val="0"/>
          <w:sz w:val="24"/>
        </w:rPr>
      </w:pPr>
      <w:r>
        <w:rPr>
          <w:rFonts w:ascii="仿宋" w:eastAsia="仿宋" w:hAnsi="仿宋" w:cs="Arial" w:hint="eastAsia"/>
          <w:kern w:val="0"/>
          <w:sz w:val="32"/>
          <w:szCs w:val="32"/>
        </w:rPr>
        <w:t>9.年末结转和结余：指单位按有关规定结转到下年或以后年度继续使用的资金。</w:t>
      </w:r>
    </w:p>
    <w:p w:rsidR="005B6855" w:rsidRDefault="00B15E81">
      <w:pPr>
        <w:widowControl/>
        <w:snapToGrid w:val="0"/>
        <w:spacing w:line="600" w:lineRule="atLeast"/>
        <w:ind w:firstLine="640"/>
        <w:rPr>
          <w:rFonts w:ascii="宋体" w:eastAsia="宋体" w:hAnsi="宋体" w:cs="宋体"/>
          <w:kern w:val="0"/>
          <w:sz w:val="24"/>
        </w:rPr>
      </w:pPr>
      <w:r>
        <w:rPr>
          <w:rFonts w:ascii="仿宋" w:eastAsia="仿宋" w:hAnsi="仿宋" w:cs="Arial" w:hint="eastAsia"/>
          <w:kern w:val="0"/>
          <w:sz w:val="32"/>
          <w:szCs w:val="32"/>
        </w:rPr>
        <w:t>10.基本支出：指预算单位为保障其正常运转，完成日常工作任务所发生的支出，包括人员经费支出和日常公用经费支出。</w:t>
      </w:r>
    </w:p>
    <w:p w:rsidR="005B6855" w:rsidRDefault="00B15E81">
      <w:pPr>
        <w:widowControl/>
        <w:snapToGrid w:val="0"/>
        <w:spacing w:line="600" w:lineRule="atLeast"/>
        <w:ind w:firstLine="640"/>
        <w:rPr>
          <w:rFonts w:ascii="宋体" w:eastAsia="宋体" w:hAnsi="宋体" w:cs="宋体"/>
          <w:kern w:val="0"/>
          <w:sz w:val="24"/>
        </w:rPr>
      </w:pPr>
      <w:r>
        <w:rPr>
          <w:rFonts w:ascii="仿宋" w:eastAsia="仿宋" w:hAnsi="仿宋" w:cs="Arial" w:hint="eastAsia"/>
          <w:kern w:val="0"/>
          <w:sz w:val="32"/>
          <w:szCs w:val="32"/>
        </w:rPr>
        <w:t>11.项目支出：指预算单位为完成其特定的行政工作任务或事业发展目标所发生的支出。</w:t>
      </w:r>
    </w:p>
    <w:p w:rsidR="005B6855" w:rsidRDefault="00B15E81">
      <w:pPr>
        <w:widowControl/>
        <w:snapToGrid w:val="0"/>
        <w:spacing w:line="600" w:lineRule="atLeast"/>
        <w:ind w:firstLine="640"/>
        <w:rPr>
          <w:rFonts w:ascii="宋体" w:eastAsia="宋体" w:hAnsi="宋体" w:cs="宋体"/>
          <w:kern w:val="0"/>
          <w:sz w:val="24"/>
        </w:rPr>
      </w:pPr>
      <w:r>
        <w:rPr>
          <w:rFonts w:ascii="仿宋" w:eastAsia="仿宋" w:hAnsi="仿宋" w:cs="Arial" w:hint="eastAsia"/>
          <w:kern w:val="0"/>
          <w:sz w:val="32"/>
          <w:szCs w:val="32"/>
        </w:rPr>
        <w:t>12.经营支出：指事业单位在专业业务活动及其辅助活动之外开展非独立核算经营活动发生的支出。</w:t>
      </w:r>
    </w:p>
    <w:p w:rsidR="005B6855" w:rsidRDefault="00B15E81">
      <w:pPr>
        <w:widowControl/>
        <w:snapToGrid w:val="0"/>
        <w:spacing w:line="600" w:lineRule="atLeast"/>
        <w:ind w:firstLine="640"/>
        <w:rPr>
          <w:rFonts w:ascii="宋体" w:eastAsia="宋体" w:hAnsi="宋体" w:cs="宋体"/>
          <w:kern w:val="0"/>
          <w:sz w:val="24"/>
        </w:rPr>
      </w:pPr>
      <w:r>
        <w:rPr>
          <w:rFonts w:ascii="仿宋" w:eastAsia="仿宋" w:hAnsi="仿宋" w:cs="Arial" w:hint="eastAsia"/>
          <w:kern w:val="0"/>
          <w:sz w:val="32"/>
          <w:szCs w:val="32"/>
        </w:rPr>
        <w:t>13.“三公”经费：纳入财政预决算管理的“三公”经费，是指部门用一般公共预算财政拨款安排的因公出国（境）费、公务用车购置及运行费和公务接待费。其中，因公出国（境）</w:t>
      </w:r>
      <w:proofErr w:type="gramStart"/>
      <w:r>
        <w:rPr>
          <w:rFonts w:ascii="仿宋" w:eastAsia="仿宋" w:hAnsi="仿宋" w:cs="Arial" w:hint="eastAsia"/>
          <w:kern w:val="0"/>
          <w:sz w:val="32"/>
          <w:szCs w:val="32"/>
        </w:rPr>
        <w:t>费反映</w:t>
      </w:r>
      <w:proofErr w:type="gramEnd"/>
      <w:r>
        <w:rPr>
          <w:rFonts w:ascii="仿宋" w:eastAsia="仿宋" w:hAnsi="仿宋" w:cs="Arial" w:hint="eastAsia"/>
          <w:kern w:val="0"/>
          <w:sz w:val="32"/>
          <w:szCs w:val="32"/>
        </w:rPr>
        <w:t>单位公务出国（境）的国际旅费、国外城市间交通费、住宿费、伙食费、培训费、公杂费等支出，不含教</w:t>
      </w:r>
      <w:r>
        <w:rPr>
          <w:rFonts w:ascii="仿宋" w:eastAsia="仿宋" w:hAnsi="仿宋" w:cs="Arial" w:hint="eastAsia"/>
          <w:kern w:val="0"/>
          <w:sz w:val="32"/>
          <w:szCs w:val="32"/>
        </w:rPr>
        <w:lastRenderedPageBreak/>
        <w:t>学科研人员学术交流；公务用车购置及运行</w:t>
      </w:r>
      <w:proofErr w:type="gramStart"/>
      <w:r>
        <w:rPr>
          <w:rFonts w:ascii="仿宋" w:eastAsia="仿宋" w:hAnsi="仿宋" w:cs="Arial" w:hint="eastAsia"/>
          <w:kern w:val="0"/>
          <w:sz w:val="32"/>
          <w:szCs w:val="32"/>
        </w:rPr>
        <w:t>费反映</w:t>
      </w:r>
      <w:proofErr w:type="gramEnd"/>
      <w:r>
        <w:rPr>
          <w:rFonts w:ascii="仿宋" w:eastAsia="仿宋" w:hAnsi="仿宋" w:cs="Arial" w:hint="eastAsia"/>
          <w:kern w:val="0"/>
          <w:sz w:val="32"/>
          <w:szCs w:val="32"/>
        </w:rPr>
        <w:t>单位公务用车车辆购置支出（</w:t>
      </w:r>
      <w:proofErr w:type="gramStart"/>
      <w:r>
        <w:rPr>
          <w:rFonts w:ascii="仿宋" w:eastAsia="仿宋" w:hAnsi="仿宋" w:cs="Arial" w:hint="eastAsia"/>
          <w:kern w:val="0"/>
          <w:sz w:val="32"/>
          <w:szCs w:val="32"/>
        </w:rPr>
        <w:t>含车辆</w:t>
      </w:r>
      <w:proofErr w:type="gramEnd"/>
      <w:r>
        <w:rPr>
          <w:rFonts w:ascii="仿宋" w:eastAsia="仿宋" w:hAnsi="仿宋" w:cs="Arial" w:hint="eastAsia"/>
          <w:kern w:val="0"/>
          <w:sz w:val="32"/>
          <w:szCs w:val="32"/>
        </w:rPr>
        <w:t>购置税）</w:t>
      </w:r>
      <w:proofErr w:type="gramStart"/>
      <w:r>
        <w:rPr>
          <w:rFonts w:ascii="仿宋" w:eastAsia="仿宋" w:hAnsi="仿宋" w:cs="Arial" w:hint="eastAsia"/>
          <w:kern w:val="0"/>
          <w:sz w:val="32"/>
          <w:szCs w:val="32"/>
        </w:rPr>
        <w:t>及燃费</w:t>
      </w:r>
      <w:proofErr w:type="gramEnd"/>
      <w:r>
        <w:rPr>
          <w:rFonts w:ascii="仿宋" w:eastAsia="仿宋" w:hAnsi="仿宋" w:cs="Arial" w:hint="eastAsia"/>
          <w:kern w:val="0"/>
          <w:sz w:val="32"/>
          <w:szCs w:val="32"/>
        </w:rPr>
        <w:t>、维修费、过桥过路费、保险费、安全奖励费用等支出；公务接待</w:t>
      </w:r>
      <w:proofErr w:type="gramStart"/>
      <w:r>
        <w:rPr>
          <w:rFonts w:ascii="仿宋" w:eastAsia="仿宋" w:hAnsi="仿宋" w:cs="Arial" w:hint="eastAsia"/>
          <w:kern w:val="0"/>
          <w:sz w:val="32"/>
          <w:szCs w:val="32"/>
        </w:rPr>
        <w:t>费反映</w:t>
      </w:r>
      <w:proofErr w:type="gramEnd"/>
      <w:r>
        <w:rPr>
          <w:rFonts w:ascii="仿宋" w:eastAsia="仿宋" w:hAnsi="仿宋" w:cs="Arial" w:hint="eastAsia"/>
          <w:kern w:val="0"/>
          <w:sz w:val="32"/>
          <w:szCs w:val="32"/>
        </w:rPr>
        <w:t>单位按规定开支的各类公务接待（含外宾接待）支出。</w:t>
      </w:r>
    </w:p>
    <w:p w:rsidR="005B6855" w:rsidRDefault="00B15E81">
      <w:pPr>
        <w:widowControl/>
        <w:snapToGrid w:val="0"/>
        <w:spacing w:line="600" w:lineRule="atLeast"/>
        <w:ind w:firstLine="640"/>
        <w:rPr>
          <w:rFonts w:ascii="宋体" w:eastAsia="宋体" w:hAnsi="宋体" w:cs="宋体"/>
          <w:kern w:val="0"/>
          <w:sz w:val="24"/>
        </w:rPr>
      </w:pPr>
      <w:r>
        <w:rPr>
          <w:rFonts w:ascii="仿宋" w:eastAsia="仿宋" w:hAnsi="仿宋" w:cs="Arial" w:hint="eastAsia"/>
          <w:kern w:val="0"/>
          <w:sz w:val="32"/>
          <w:szCs w:val="32"/>
        </w:rPr>
        <w:t>14.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5B6855" w:rsidRDefault="00B15E81">
      <w:pPr>
        <w:spacing w:line="600" w:lineRule="atLeast"/>
        <w:ind w:firstLine="640"/>
        <w:rPr>
          <w:rFonts w:ascii="仿宋" w:eastAsia="仿宋" w:hAnsi="仿宋"/>
          <w:sz w:val="32"/>
          <w:szCs w:val="32"/>
        </w:rPr>
      </w:pPr>
      <w:r>
        <w:rPr>
          <w:rFonts w:ascii="仿宋" w:eastAsia="仿宋" w:hAnsi="仿宋" w:hint="eastAsia"/>
          <w:sz w:val="32"/>
          <w:szCs w:val="32"/>
        </w:rPr>
        <w:t>15.</w:t>
      </w:r>
      <w:r>
        <w:rPr>
          <w:rFonts w:ascii="仿宋" w:hAnsi="仿宋" w:hint="eastAsia"/>
          <w:sz w:val="32"/>
          <w:szCs w:val="32"/>
        </w:rPr>
        <w:t>一般公共服务支出（类）</w:t>
      </w:r>
      <w:r>
        <w:rPr>
          <w:rFonts w:hint="eastAsia"/>
          <w:sz w:val="32"/>
          <w:szCs w:val="32"/>
        </w:rPr>
        <w:t>政府办公厅（室）及机关相关事务（款）其他政府办公厅（室）及相关机构事务支出（项）。反应上述项目以外的其他政府办公厅（室）及相关机构事务支出。</w:t>
      </w:r>
    </w:p>
    <w:p w:rsidR="005B6855" w:rsidRDefault="00B15E81">
      <w:pPr>
        <w:spacing w:line="600" w:lineRule="atLeast"/>
        <w:ind w:firstLine="640"/>
        <w:rPr>
          <w:rFonts w:ascii="仿宋" w:eastAsia="仿宋" w:hAnsi="仿宋"/>
          <w:sz w:val="32"/>
          <w:szCs w:val="32"/>
        </w:rPr>
      </w:pPr>
      <w:r>
        <w:rPr>
          <w:rFonts w:ascii="仿宋" w:eastAsia="仿宋" w:hAnsi="仿宋" w:hint="eastAsia"/>
          <w:sz w:val="32"/>
          <w:szCs w:val="32"/>
        </w:rPr>
        <w:t>16.</w:t>
      </w:r>
      <w:r>
        <w:rPr>
          <w:rFonts w:ascii="仿宋" w:hAnsi="仿宋" w:hint="eastAsia"/>
          <w:sz w:val="32"/>
          <w:szCs w:val="32"/>
        </w:rPr>
        <w:t>一般公共服务支出（类）统计信息事务（款）事业运行（项）。</w:t>
      </w:r>
      <w:r>
        <w:rPr>
          <w:rFonts w:ascii="仿宋" w:hAnsi="仿宋" w:cs="Arial" w:hint="eastAsia"/>
          <w:sz w:val="32"/>
          <w:szCs w:val="32"/>
        </w:rPr>
        <w:t>指事业单位的基本支出，不包括行政单位（包括实行公务员管理的事业单位）后勤服务中心、医务室等附属事业单位</w:t>
      </w:r>
      <w:r>
        <w:rPr>
          <w:rFonts w:ascii="仿宋" w:hAnsi="仿宋" w:hint="eastAsia"/>
          <w:sz w:val="32"/>
          <w:szCs w:val="32"/>
        </w:rPr>
        <w:t>。</w:t>
      </w:r>
    </w:p>
    <w:p w:rsidR="005B6855" w:rsidRDefault="00B15E81">
      <w:pPr>
        <w:spacing w:line="600" w:lineRule="atLeast"/>
        <w:ind w:firstLine="640"/>
        <w:rPr>
          <w:rFonts w:ascii="仿宋" w:eastAsia="仿宋" w:hAnsi="仿宋"/>
          <w:sz w:val="32"/>
          <w:szCs w:val="32"/>
        </w:rPr>
      </w:pPr>
      <w:r>
        <w:rPr>
          <w:rFonts w:ascii="仿宋" w:eastAsia="仿宋" w:hAnsi="仿宋" w:hint="eastAsia"/>
          <w:sz w:val="32"/>
          <w:szCs w:val="32"/>
        </w:rPr>
        <w:t>17.</w:t>
      </w:r>
      <w:r>
        <w:rPr>
          <w:rFonts w:ascii="仿宋" w:hAnsi="仿宋" w:hint="eastAsia"/>
          <w:sz w:val="32"/>
          <w:szCs w:val="32"/>
        </w:rPr>
        <w:t>一般公共服务支出（类）财政事务（款）行政运行（项）。</w:t>
      </w:r>
      <w:r>
        <w:rPr>
          <w:rFonts w:ascii="仿宋" w:hAnsi="仿宋" w:cs="Arial" w:hint="eastAsia"/>
          <w:sz w:val="32"/>
          <w:szCs w:val="32"/>
        </w:rPr>
        <w:t>指行政单位（包括实行公务员管理的事业单位）的基本支出</w:t>
      </w:r>
      <w:r>
        <w:rPr>
          <w:rFonts w:ascii="仿宋" w:hAnsi="仿宋" w:hint="eastAsia"/>
          <w:sz w:val="32"/>
          <w:szCs w:val="32"/>
        </w:rPr>
        <w:t>。</w:t>
      </w:r>
    </w:p>
    <w:p w:rsidR="005B6855" w:rsidRDefault="00B15E81">
      <w:pPr>
        <w:spacing w:line="600" w:lineRule="atLeast"/>
        <w:ind w:firstLine="640"/>
        <w:rPr>
          <w:rFonts w:ascii="仿宋" w:eastAsia="仿宋" w:hAnsi="仿宋"/>
          <w:sz w:val="32"/>
          <w:szCs w:val="32"/>
        </w:rPr>
      </w:pPr>
      <w:r>
        <w:rPr>
          <w:rFonts w:ascii="仿宋" w:eastAsia="仿宋" w:hAnsi="仿宋" w:hint="eastAsia"/>
          <w:sz w:val="32"/>
          <w:szCs w:val="32"/>
        </w:rPr>
        <w:t>18.</w:t>
      </w:r>
      <w:r>
        <w:rPr>
          <w:rFonts w:ascii="仿宋" w:hAnsi="仿宋" w:hint="eastAsia"/>
          <w:sz w:val="32"/>
          <w:szCs w:val="32"/>
        </w:rPr>
        <w:t>一般公共服务支出（类）群众团体事务（款）行政</w:t>
      </w:r>
      <w:r>
        <w:rPr>
          <w:rFonts w:ascii="仿宋" w:hAnsi="仿宋" w:hint="eastAsia"/>
          <w:sz w:val="32"/>
          <w:szCs w:val="32"/>
        </w:rPr>
        <w:lastRenderedPageBreak/>
        <w:t>运行（项）。</w:t>
      </w:r>
      <w:r>
        <w:rPr>
          <w:rFonts w:ascii="仿宋" w:hAnsi="仿宋" w:cs="Arial" w:hint="eastAsia"/>
          <w:sz w:val="32"/>
          <w:szCs w:val="32"/>
        </w:rPr>
        <w:t>指行政单位（包括实行公务员管理的事业单位）的基本支出</w:t>
      </w:r>
      <w:r>
        <w:rPr>
          <w:rFonts w:ascii="仿宋" w:hAnsi="仿宋" w:hint="eastAsia"/>
          <w:sz w:val="32"/>
          <w:szCs w:val="32"/>
        </w:rPr>
        <w:t>。</w:t>
      </w:r>
    </w:p>
    <w:p w:rsidR="005B6855" w:rsidRDefault="00B15E81">
      <w:pPr>
        <w:spacing w:line="600" w:lineRule="atLeast"/>
        <w:ind w:firstLine="640"/>
        <w:rPr>
          <w:rFonts w:ascii="仿宋" w:eastAsia="仿宋" w:hAnsi="仿宋"/>
          <w:sz w:val="32"/>
          <w:szCs w:val="32"/>
        </w:rPr>
      </w:pPr>
      <w:r>
        <w:rPr>
          <w:rFonts w:ascii="仿宋" w:eastAsia="仿宋" w:hAnsi="仿宋" w:hint="eastAsia"/>
          <w:sz w:val="32"/>
          <w:szCs w:val="32"/>
        </w:rPr>
        <w:t>19.</w:t>
      </w:r>
      <w:r>
        <w:rPr>
          <w:rFonts w:ascii="仿宋" w:hAnsi="仿宋" w:hint="eastAsia"/>
          <w:sz w:val="32"/>
          <w:szCs w:val="32"/>
        </w:rPr>
        <w:t>一般公共服务支出（类）党委办公室（厅）及相关事务支出（款）行政运行（项）。</w:t>
      </w:r>
      <w:r>
        <w:rPr>
          <w:rFonts w:ascii="仿宋" w:hAnsi="仿宋" w:cs="Arial" w:hint="eastAsia"/>
          <w:sz w:val="32"/>
          <w:szCs w:val="32"/>
        </w:rPr>
        <w:t>指行政单位（包括实行公务员管理的事业单位）的基本支出</w:t>
      </w:r>
      <w:r>
        <w:rPr>
          <w:rFonts w:ascii="仿宋" w:hAnsi="仿宋" w:hint="eastAsia"/>
          <w:sz w:val="32"/>
          <w:szCs w:val="32"/>
        </w:rPr>
        <w:t>。</w:t>
      </w:r>
    </w:p>
    <w:p w:rsidR="005B6855" w:rsidRDefault="00B15E81">
      <w:pPr>
        <w:spacing w:line="600" w:lineRule="atLeast"/>
        <w:ind w:firstLine="640"/>
        <w:rPr>
          <w:rFonts w:ascii="仿宋" w:eastAsia="仿宋" w:hAnsi="仿宋"/>
          <w:sz w:val="32"/>
          <w:szCs w:val="32"/>
        </w:rPr>
      </w:pPr>
      <w:r>
        <w:rPr>
          <w:rFonts w:ascii="仿宋" w:eastAsia="仿宋" w:hAnsi="仿宋" w:hint="eastAsia"/>
          <w:sz w:val="32"/>
          <w:szCs w:val="32"/>
        </w:rPr>
        <w:t xml:space="preserve"> 20.</w:t>
      </w:r>
      <w:r>
        <w:rPr>
          <w:rFonts w:ascii="仿宋" w:hAnsi="仿宋" w:hint="eastAsia"/>
          <w:sz w:val="32"/>
          <w:szCs w:val="32"/>
        </w:rPr>
        <w:t>一般公共服务支出（类）其他一般公共服务支出（款）其他一般公共服务支出（项）。</w:t>
      </w:r>
      <w:r>
        <w:rPr>
          <w:rFonts w:ascii="仿宋" w:hAnsi="仿宋" w:cs="Arial" w:hint="eastAsia"/>
          <w:sz w:val="32"/>
          <w:szCs w:val="32"/>
        </w:rPr>
        <w:t>指除上述项目以外的其他一般公共服务支出</w:t>
      </w:r>
      <w:r>
        <w:rPr>
          <w:rFonts w:ascii="仿宋" w:hAnsi="仿宋" w:hint="eastAsia"/>
          <w:sz w:val="32"/>
          <w:szCs w:val="32"/>
        </w:rPr>
        <w:t>。</w:t>
      </w:r>
    </w:p>
    <w:p w:rsidR="005B6855" w:rsidRDefault="00B15E81">
      <w:pPr>
        <w:spacing w:line="600" w:lineRule="atLeast"/>
        <w:ind w:firstLine="640"/>
        <w:rPr>
          <w:rFonts w:ascii="仿宋" w:eastAsia="仿宋" w:hAnsi="仿宋"/>
          <w:sz w:val="32"/>
          <w:szCs w:val="32"/>
        </w:rPr>
      </w:pPr>
      <w:r>
        <w:rPr>
          <w:rFonts w:hint="eastAsia"/>
          <w:sz w:val="32"/>
          <w:szCs w:val="32"/>
        </w:rPr>
        <w:t>21.</w:t>
      </w:r>
      <w:r>
        <w:rPr>
          <w:rFonts w:hint="eastAsia"/>
          <w:sz w:val="32"/>
          <w:szCs w:val="32"/>
        </w:rPr>
        <w:t>文化体育与传媒支出（类）文化（款）</w:t>
      </w:r>
      <w:r>
        <w:rPr>
          <w:rFonts w:ascii="仿宋" w:hAnsi="仿宋" w:hint="eastAsia"/>
          <w:sz w:val="32"/>
          <w:szCs w:val="32"/>
        </w:rPr>
        <w:t>群众文化（项）。反应群众文化方面的支出，包括基层文化馆（站）、群众艺术馆支出等。</w:t>
      </w:r>
    </w:p>
    <w:p w:rsidR="005B6855" w:rsidRDefault="00B15E81">
      <w:pPr>
        <w:spacing w:line="600" w:lineRule="atLeast"/>
        <w:ind w:firstLine="640"/>
        <w:rPr>
          <w:rFonts w:ascii="仿宋" w:eastAsia="仿宋" w:hAnsi="仿宋"/>
          <w:sz w:val="32"/>
          <w:szCs w:val="32"/>
        </w:rPr>
      </w:pPr>
      <w:r>
        <w:rPr>
          <w:rFonts w:hint="eastAsia"/>
          <w:sz w:val="32"/>
          <w:szCs w:val="32"/>
        </w:rPr>
        <w:t>22.</w:t>
      </w:r>
      <w:r>
        <w:rPr>
          <w:rFonts w:hint="eastAsia"/>
          <w:sz w:val="32"/>
          <w:szCs w:val="32"/>
        </w:rPr>
        <w:t>文化体育与传媒支出（类）其他文化体育与传媒支出（款）其他文化体育与传媒支出</w:t>
      </w:r>
      <w:r>
        <w:rPr>
          <w:rFonts w:ascii="仿宋" w:hAnsi="仿宋" w:hint="eastAsia"/>
          <w:sz w:val="32"/>
          <w:szCs w:val="32"/>
        </w:rPr>
        <w:t>（项）。反映出上述项目外的</w:t>
      </w:r>
      <w:r>
        <w:rPr>
          <w:rFonts w:hint="eastAsia"/>
          <w:sz w:val="32"/>
          <w:szCs w:val="32"/>
        </w:rPr>
        <w:t>其他文化体育与传媒支出</w:t>
      </w:r>
      <w:r>
        <w:rPr>
          <w:rFonts w:ascii="仿宋" w:hAnsi="仿宋" w:hint="eastAsia"/>
          <w:sz w:val="32"/>
          <w:szCs w:val="32"/>
        </w:rPr>
        <w:t>。</w:t>
      </w:r>
    </w:p>
    <w:p w:rsidR="005B6855" w:rsidRDefault="00B15E81">
      <w:pPr>
        <w:spacing w:line="600" w:lineRule="atLeast"/>
        <w:ind w:firstLine="640"/>
        <w:rPr>
          <w:rFonts w:ascii="仿宋" w:eastAsia="仿宋" w:hAnsi="仿宋"/>
          <w:sz w:val="32"/>
          <w:szCs w:val="32"/>
        </w:rPr>
      </w:pPr>
      <w:r>
        <w:rPr>
          <w:rFonts w:hint="eastAsia"/>
          <w:sz w:val="32"/>
          <w:szCs w:val="32"/>
        </w:rPr>
        <w:t>23.</w:t>
      </w:r>
      <w:r>
        <w:rPr>
          <w:rFonts w:hint="eastAsia"/>
          <w:sz w:val="32"/>
          <w:szCs w:val="32"/>
        </w:rPr>
        <w:t>社会保障和就业支出（类）人力资源和社会保障管理事务（款）劳动保障监察（项）</w:t>
      </w:r>
      <w:r>
        <w:rPr>
          <w:rFonts w:ascii="仿宋" w:hAnsi="仿宋" w:hint="eastAsia"/>
          <w:sz w:val="32"/>
          <w:szCs w:val="32"/>
        </w:rPr>
        <w:t>。反映劳动保障监察事务支出。</w:t>
      </w:r>
    </w:p>
    <w:p w:rsidR="005B6855" w:rsidRDefault="00B15E81">
      <w:pPr>
        <w:spacing w:line="600" w:lineRule="atLeast"/>
        <w:ind w:firstLine="640"/>
        <w:rPr>
          <w:rFonts w:ascii="仿宋" w:eastAsia="仿宋" w:hAnsi="仿宋"/>
          <w:sz w:val="32"/>
          <w:szCs w:val="32"/>
        </w:rPr>
      </w:pPr>
      <w:r>
        <w:rPr>
          <w:rFonts w:hint="eastAsia"/>
          <w:sz w:val="32"/>
          <w:szCs w:val="32"/>
        </w:rPr>
        <w:t>24.</w:t>
      </w:r>
      <w:r>
        <w:rPr>
          <w:rFonts w:hint="eastAsia"/>
          <w:sz w:val="32"/>
          <w:szCs w:val="32"/>
        </w:rPr>
        <w:t>社会保障和就业支出（类）民政管理事务（款）</w:t>
      </w:r>
      <w:r>
        <w:rPr>
          <w:rFonts w:ascii="仿宋" w:hAnsi="仿宋" w:hint="eastAsia"/>
          <w:sz w:val="32"/>
          <w:szCs w:val="32"/>
        </w:rPr>
        <w:t>拥军优属（项）。反映开展拥军优属活动的支出。</w:t>
      </w:r>
    </w:p>
    <w:p w:rsidR="005B6855" w:rsidRDefault="00B15E81">
      <w:pPr>
        <w:spacing w:line="600" w:lineRule="atLeast"/>
        <w:ind w:firstLine="640"/>
        <w:rPr>
          <w:rFonts w:ascii="仿宋" w:eastAsia="仿宋" w:hAnsi="仿宋"/>
          <w:sz w:val="32"/>
          <w:szCs w:val="32"/>
        </w:rPr>
      </w:pPr>
      <w:r>
        <w:rPr>
          <w:rFonts w:hint="eastAsia"/>
          <w:sz w:val="32"/>
          <w:szCs w:val="32"/>
        </w:rPr>
        <w:t>25.</w:t>
      </w:r>
      <w:r>
        <w:rPr>
          <w:rFonts w:hint="eastAsia"/>
          <w:sz w:val="32"/>
          <w:szCs w:val="32"/>
        </w:rPr>
        <w:t>社会保障和就业支出（类）抚恤（款）</w:t>
      </w:r>
      <w:r>
        <w:rPr>
          <w:rFonts w:ascii="仿宋" w:hAnsi="仿宋" w:hint="eastAsia"/>
          <w:sz w:val="32"/>
          <w:szCs w:val="32"/>
        </w:rPr>
        <w:t>死亡抚恤（项）。反映按规定用于烈士和牺牲、病故人员家属的一次性和定期抚恤金以及丧葬补助费。</w:t>
      </w:r>
    </w:p>
    <w:p w:rsidR="005B6855" w:rsidRDefault="00B15E81">
      <w:pPr>
        <w:spacing w:line="600" w:lineRule="atLeast"/>
        <w:ind w:firstLine="640"/>
        <w:rPr>
          <w:rFonts w:ascii="仿宋" w:eastAsia="仿宋" w:hAnsi="仿宋"/>
          <w:sz w:val="32"/>
          <w:szCs w:val="32"/>
        </w:rPr>
      </w:pPr>
      <w:r>
        <w:rPr>
          <w:rFonts w:hint="eastAsia"/>
          <w:sz w:val="32"/>
          <w:szCs w:val="32"/>
        </w:rPr>
        <w:lastRenderedPageBreak/>
        <w:t>26</w:t>
      </w:r>
      <w:r>
        <w:rPr>
          <w:rFonts w:hint="eastAsia"/>
          <w:sz w:val="32"/>
          <w:szCs w:val="32"/>
        </w:rPr>
        <w:t>社会保障和就业支出（类）抚恤（款）伤残</w:t>
      </w:r>
      <w:r>
        <w:rPr>
          <w:rFonts w:ascii="仿宋" w:hAnsi="仿宋" w:hint="eastAsia"/>
          <w:sz w:val="32"/>
          <w:szCs w:val="32"/>
        </w:rPr>
        <w:t>抚恤（项）。反映按规定用于伤残人员的抚恤金和按规定开支的各种伤残补助费。</w:t>
      </w:r>
    </w:p>
    <w:p w:rsidR="005B6855" w:rsidRDefault="00B15E81">
      <w:pPr>
        <w:spacing w:line="600" w:lineRule="atLeast"/>
        <w:ind w:firstLine="640"/>
        <w:rPr>
          <w:rFonts w:ascii="仿宋" w:eastAsia="仿宋" w:hAnsi="仿宋"/>
          <w:sz w:val="32"/>
          <w:szCs w:val="32"/>
        </w:rPr>
      </w:pPr>
      <w:r>
        <w:rPr>
          <w:rFonts w:hint="eastAsia"/>
          <w:sz w:val="32"/>
          <w:szCs w:val="32"/>
        </w:rPr>
        <w:t>27.</w:t>
      </w:r>
      <w:r>
        <w:rPr>
          <w:rFonts w:hint="eastAsia"/>
          <w:sz w:val="32"/>
          <w:szCs w:val="32"/>
        </w:rPr>
        <w:t>社会保障和就业支出（类）抚恤（款）</w:t>
      </w:r>
      <w:r>
        <w:rPr>
          <w:rFonts w:ascii="仿宋" w:hAnsi="仿宋" w:hint="eastAsia"/>
          <w:sz w:val="32"/>
          <w:szCs w:val="32"/>
        </w:rPr>
        <w:t>在乡复员、退伍军人生活补助（项）。反映在乡退伍红军老战士（含西路军红军老战士、红军失散人员）、</w:t>
      </w:r>
      <w:r>
        <w:rPr>
          <w:rFonts w:ascii="仿宋" w:eastAsia="仿宋" w:hAnsi="仿宋" w:hint="eastAsia"/>
          <w:sz w:val="32"/>
          <w:szCs w:val="32"/>
        </w:rPr>
        <w:t>1954</w:t>
      </w:r>
      <w:r>
        <w:rPr>
          <w:rFonts w:ascii="仿宋" w:hAnsi="仿宋" w:hint="eastAsia"/>
          <w:sz w:val="32"/>
          <w:szCs w:val="32"/>
        </w:rPr>
        <w:t>年</w:t>
      </w:r>
      <w:r>
        <w:rPr>
          <w:rFonts w:ascii="仿宋" w:eastAsia="仿宋" w:hAnsi="仿宋" w:hint="eastAsia"/>
          <w:sz w:val="32"/>
          <w:szCs w:val="32"/>
        </w:rPr>
        <w:t>10</w:t>
      </w:r>
      <w:r>
        <w:rPr>
          <w:rFonts w:ascii="仿宋" w:hAnsi="仿宋" w:hint="eastAsia"/>
          <w:sz w:val="32"/>
          <w:szCs w:val="32"/>
        </w:rPr>
        <w:t>月</w:t>
      </w:r>
      <w:r>
        <w:rPr>
          <w:rFonts w:ascii="仿宋" w:eastAsia="仿宋" w:hAnsi="仿宋" w:hint="eastAsia"/>
          <w:sz w:val="32"/>
          <w:szCs w:val="32"/>
        </w:rPr>
        <w:t>31</w:t>
      </w:r>
      <w:r>
        <w:rPr>
          <w:rFonts w:ascii="仿宋" w:hAnsi="仿宋" w:hint="eastAsia"/>
          <w:sz w:val="32"/>
          <w:szCs w:val="32"/>
        </w:rPr>
        <w:t>日前入伍的在乡复员军人、按规定办理带病回乡手续的退伍军人生活补助。</w:t>
      </w:r>
    </w:p>
    <w:p w:rsidR="005B6855" w:rsidRDefault="00B15E81">
      <w:pPr>
        <w:spacing w:line="600" w:lineRule="atLeast"/>
        <w:ind w:firstLine="640"/>
        <w:rPr>
          <w:rFonts w:ascii="仿宋" w:eastAsia="仿宋" w:hAnsi="仿宋"/>
          <w:sz w:val="32"/>
          <w:szCs w:val="32"/>
        </w:rPr>
      </w:pPr>
      <w:r>
        <w:rPr>
          <w:rFonts w:hint="eastAsia"/>
          <w:sz w:val="32"/>
          <w:szCs w:val="32"/>
        </w:rPr>
        <w:t>28</w:t>
      </w:r>
      <w:r>
        <w:rPr>
          <w:rFonts w:hint="eastAsia"/>
          <w:sz w:val="32"/>
          <w:szCs w:val="32"/>
        </w:rPr>
        <w:t>社会保障和就业支出（类）抚恤（款）</w:t>
      </w:r>
      <w:r>
        <w:rPr>
          <w:rFonts w:ascii="仿宋" w:hAnsi="仿宋" w:hint="eastAsia"/>
          <w:sz w:val="32"/>
          <w:szCs w:val="32"/>
        </w:rPr>
        <w:t>义务兵优待（项）。反映用于义务兵优待方面的支出。</w:t>
      </w:r>
    </w:p>
    <w:p w:rsidR="005B6855" w:rsidRDefault="00B15E81">
      <w:pPr>
        <w:spacing w:line="600" w:lineRule="atLeast"/>
        <w:ind w:firstLine="640"/>
        <w:rPr>
          <w:rFonts w:ascii="仿宋" w:eastAsia="仿宋" w:hAnsi="仿宋"/>
          <w:sz w:val="32"/>
          <w:szCs w:val="32"/>
        </w:rPr>
      </w:pPr>
      <w:r>
        <w:rPr>
          <w:rFonts w:hint="eastAsia"/>
          <w:sz w:val="32"/>
          <w:szCs w:val="32"/>
        </w:rPr>
        <w:t>29.</w:t>
      </w:r>
      <w:r>
        <w:rPr>
          <w:rFonts w:hint="eastAsia"/>
          <w:sz w:val="32"/>
          <w:szCs w:val="32"/>
        </w:rPr>
        <w:t>社会保障和就业支出（类）抚恤（款）</w:t>
      </w:r>
      <w:r>
        <w:rPr>
          <w:rFonts w:ascii="仿宋" w:hAnsi="仿宋" w:hint="eastAsia"/>
          <w:sz w:val="32"/>
          <w:szCs w:val="32"/>
        </w:rPr>
        <w:t>农村籍退役士兵老年生活补助（项）。反映</w:t>
      </w:r>
      <w:r>
        <w:rPr>
          <w:rFonts w:ascii="仿宋" w:eastAsia="仿宋" w:hAnsi="仿宋" w:hint="eastAsia"/>
          <w:sz w:val="32"/>
          <w:szCs w:val="32"/>
        </w:rPr>
        <w:t>1954</w:t>
      </w:r>
      <w:r>
        <w:rPr>
          <w:rFonts w:ascii="仿宋" w:hAnsi="仿宋" w:hint="eastAsia"/>
          <w:sz w:val="32"/>
          <w:szCs w:val="32"/>
        </w:rPr>
        <w:t>年</w:t>
      </w:r>
      <w:r>
        <w:rPr>
          <w:rFonts w:ascii="仿宋" w:eastAsia="仿宋" w:hAnsi="仿宋" w:hint="eastAsia"/>
          <w:sz w:val="32"/>
          <w:szCs w:val="32"/>
        </w:rPr>
        <w:t>11</w:t>
      </w:r>
      <w:r>
        <w:rPr>
          <w:rFonts w:ascii="仿宋" w:hAnsi="仿宋" w:hint="eastAsia"/>
          <w:sz w:val="32"/>
          <w:szCs w:val="32"/>
        </w:rPr>
        <w:t>月</w:t>
      </w:r>
      <w:r>
        <w:rPr>
          <w:rFonts w:ascii="仿宋" w:eastAsia="仿宋" w:hAnsi="仿宋" w:hint="eastAsia"/>
          <w:sz w:val="32"/>
          <w:szCs w:val="32"/>
        </w:rPr>
        <w:t>1</w:t>
      </w:r>
      <w:r>
        <w:rPr>
          <w:rFonts w:ascii="仿宋" w:hAnsi="仿宋" w:hint="eastAsia"/>
          <w:sz w:val="32"/>
          <w:szCs w:val="32"/>
        </w:rPr>
        <w:t>日试行义务兵役制后至《退役士兵安置条例》实施前入伍、年龄在</w:t>
      </w:r>
      <w:r>
        <w:rPr>
          <w:rFonts w:ascii="仿宋" w:eastAsia="仿宋" w:hAnsi="仿宋" w:hint="eastAsia"/>
          <w:sz w:val="32"/>
          <w:szCs w:val="32"/>
        </w:rPr>
        <w:t>60</w:t>
      </w:r>
      <w:r>
        <w:rPr>
          <w:rFonts w:ascii="仿宋" w:hAnsi="仿宋" w:hint="eastAsia"/>
          <w:sz w:val="32"/>
          <w:szCs w:val="32"/>
        </w:rPr>
        <w:t>周岁以上（含</w:t>
      </w:r>
      <w:r>
        <w:rPr>
          <w:rFonts w:ascii="仿宋" w:eastAsia="仿宋" w:hAnsi="仿宋" w:hint="eastAsia"/>
          <w:sz w:val="32"/>
          <w:szCs w:val="32"/>
        </w:rPr>
        <w:t>60</w:t>
      </w:r>
      <w:r>
        <w:rPr>
          <w:rFonts w:ascii="仿宋" w:hAnsi="仿宋" w:hint="eastAsia"/>
          <w:sz w:val="32"/>
          <w:szCs w:val="32"/>
        </w:rPr>
        <w:t>周岁）、未享受到国家定期抚恤补助的农村籍退役士兵的老年生活补助。</w:t>
      </w:r>
    </w:p>
    <w:p w:rsidR="005B6855" w:rsidRDefault="00B15E81">
      <w:pPr>
        <w:spacing w:line="600" w:lineRule="atLeast"/>
        <w:ind w:firstLine="640"/>
        <w:rPr>
          <w:rFonts w:ascii="仿宋" w:eastAsia="仿宋" w:hAnsi="仿宋"/>
          <w:sz w:val="32"/>
          <w:szCs w:val="32"/>
        </w:rPr>
      </w:pPr>
      <w:r>
        <w:rPr>
          <w:rFonts w:hint="eastAsia"/>
          <w:sz w:val="32"/>
          <w:szCs w:val="32"/>
        </w:rPr>
        <w:t>30.</w:t>
      </w:r>
      <w:r>
        <w:rPr>
          <w:rFonts w:hint="eastAsia"/>
          <w:sz w:val="32"/>
          <w:szCs w:val="32"/>
        </w:rPr>
        <w:t>社会保障和就业支出（类）抚恤（款）</w:t>
      </w:r>
      <w:r>
        <w:rPr>
          <w:rFonts w:ascii="仿宋" w:hAnsi="仿宋" w:hint="eastAsia"/>
          <w:sz w:val="32"/>
          <w:szCs w:val="32"/>
        </w:rPr>
        <w:t>其他优抚支出（项）。反映上述项目以外的其他优抚支出。</w:t>
      </w:r>
    </w:p>
    <w:p w:rsidR="005B6855" w:rsidRDefault="00B15E81">
      <w:pPr>
        <w:spacing w:line="600" w:lineRule="atLeast"/>
        <w:ind w:firstLine="640"/>
        <w:rPr>
          <w:rFonts w:ascii="仿宋" w:eastAsia="仿宋" w:hAnsi="仿宋"/>
          <w:sz w:val="32"/>
          <w:szCs w:val="32"/>
        </w:rPr>
      </w:pPr>
      <w:r>
        <w:rPr>
          <w:rFonts w:hint="eastAsia"/>
          <w:sz w:val="32"/>
          <w:szCs w:val="32"/>
        </w:rPr>
        <w:t>31.</w:t>
      </w:r>
      <w:r>
        <w:rPr>
          <w:rFonts w:hint="eastAsia"/>
          <w:sz w:val="32"/>
          <w:szCs w:val="32"/>
        </w:rPr>
        <w:t>社会保障和就业支出（类）退役安置（款）</w:t>
      </w:r>
      <w:r>
        <w:rPr>
          <w:rFonts w:ascii="仿宋" w:hAnsi="仿宋" w:hint="eastAsia"/>
          <w:sz w:val="32"/>
          <w:szCs w:val="32"/>
        </w:rPr>
        <w:t>退役士兵安置（项）。反映按规定用于伤残义务兵的一次性建房补助，对符合条件的退役士兵、专业士官的安置支出。</w:t>
      </w:r>
    </w:p>
    <w:p w:rsidR="005B6855" w:rsidRDefault="00B15E81">
      <w:pPr>
        <w:spacing w:line="600" w:lineRule="atLeast"/>
        <w:ind w:firstLine="640"/>
        <w:rPr>
          <w:rFonts w:ascii="仿宋" w:eastAsia="仿宋" w:hAnsi="仿宋"/>
          <w:sz w:val="32"/>
          <w:szCs w:val="32"/>
        </w:rPr>
      </w:pPr>
      <w:r>
        <w:rPr>
          <w:rFonts w:hint="eastAsia"/>
          <w:sz w:val="32"/>
          <w:szCs w:val="32"/>
        </w:rPr>
        <w:t>32.</w:t>
      </w:r>
      <w:r>
        <w:rPr>
          <w:rFonts w:hint="eastAsia"/>
          <w:sz w:val="32"/>
          <w:szCs w:val="32"/>
        </w:rPr>
        <w:t>社会保障和就业支出（类）退役安置（款）</w:t>
      </w:r>
      <w:r>
        <w:rPr>
          <w:rFonts w:ascii="仿宋" w:hAnsi="仿宋" w:hint="eastAsia"/>
          <w:sz w:val="32"/>
          <w:szCs w:val="32"/>
        </w:rPr>
        <w:t>军队移交政府的离退休人员安置（项）。反映移交政府的军队离退休</w:t>
      </w:r>
      <w:r>
        <w:rPr>
          <w:rFonts w:ascii="仿宋" w:hAnsi="仿宋" w:hint="eastAsia"/>
          <w:sz w:val="32"/>
          <w:szCs w:val="32"/>
        </w:rPr>
        <w:lastRenderedPageBreak/>
        <w:t>人员安置支出。</w:t>
      </w:r>
    </w:p>
    <w:p w:rsidR="005B6855" w:rsidRDefault="00B15E81">
      <w:pPr>
        <w:spacing w:line="600" w:lineRule="atLeast"/>
        <w:ind w:firstLine="640"/>
        <w:rPr>
          <w:rFonts w:ascii="仿宋" w:eastAsia="仿宋" w:hAnsi="仿宋"/>
          <w:sz w:val="32"/>
          <w:szCs w:val="32"/>
        </w:rPr>
      </w:pPr>
      <w:r>
        <w:rPr>
          <w:rFonts w:hint="eastAsia"/>
          <w:sz w:val="32"/>
          <w:szCs w:val="32"/>
        </w:rPr>
        <w:t>33.</w:t>
      </w:r>
      <w:r>
        <w:rPr>
          <w:rFonts w:hint="eastAsia"/>
          <w:sz w:val="32"/>
          <w:szCs w:val="32"/>
        </w:rPr>
        <w:t>社会保障和就业支出（类）社会福利（款）</w:t>
      </w:r>
      <w:r>
        <w:rPr>
          <w:rFonts w:ascii="仿宋" w:hAnsi="仿宋" w:hint="eastAsia"/>
          <w:sz w:val="32"/>
          <w:szCs w:val="32"/>
        </w:rPr>
        <w:t>儿童福利（项）。反映对儿童提供福利服务方面的支出。</w:t>
      </w:r>
    </w:p>
    <w:p w:rsidR="005B6855" w:rsidRDefault="00B15E81">
      <w:pPr>
        <w:spacing w:line="600" w:lineRule="atLeast"/>
        <w:ind w:firstLine="640"/>
        <w:rPr>
          <w:rFonts w:ascii="仿宋" w:eastAsia="仿宋" w:hAnsi="仿宋"/>
          <w:sz w:val="32"/>
          <w:szCs w:val="32"/>
        </w:rPr>
      </w:pPr>
      <w:r>
        <w:rPr>
          <w:rFonts w:hint="eastAsia"/>
          <w:sz w:val="32"/>
          <w:szCs w:val="32"/>
        </w:rPr>
        <w:t>34.</w:t>
      </w:r>
      <w:r>
        <w:rPr>
          <w:rFonts w:hint="eastAsia"/>
          <w:sz w:val="32"/>
          <w:szCs w:val="32"/>
        </w:rPr>
        <w:t>社会保障和就业支出（类）社会福利（款）</w:t>
      </w:r>
      <w:r>
        <w:rPr>
          <w:rFonts w:ascii="仿宋" w:hAnsi="仿宋" w:hint="eastAsia"/>
          <w:sz w:val="32"/>
          <w:szCs w:val="32"/>
        </w:rPr>
        <w:t>老年福利（项）。反映对老年人提供福利服务方面的支出，包括为经济困难的高龄、失能等老年人提供基本养老服务保障的资金补助等支出。</w:t>
      </w:r>
    </w:p>
    <w:p w:rsidR="005B6855" w:rsidRDefault="00B15E81">
      <w:pPr>
        <w:spacing w:line="600" w:lineRule="atLeast"/>
        <w:ind w:firstLine="640"/>
        <w:rPr>
          <w:rFonts w:ascii="仿宋" w:eastAsia="仿宋" w:hAnsi="仿宋"/>
          <w:sz w:val="32"/>
          <w:szCs w:val="32"/>
        </w:rPr>
      </w:pPr>
      <w:r>
        <w:rPr>
          <w:rFonts w:hint="eastAsia"/>
          <w:sz w:val="32"/>
          <w:szCs w:val="32"/>
        </w:rPr>
        <w:t>35.</w:t>
      </w:r>
      <w:r>
        <w:rPr>
          <w:rFonts w:hint="eastAsia"/>
          <w:sz w:val="32"/>
          <w:szCs w:val="32"/>
        </w:rPr>
        <w:t>社会保障和就业支出（类）社会福利（款）</w:t>
      </w:r>
      <w:r>
        <w:rPr>
          <w:rFonts w:ascii="仿宋" w:hAnsi="仿宋" w:hint="eastAsia"/>
          <w:sz w:val="32"/>
          <w:szCs w:val="32"/>
        </w:rPr>
        <w:t>社会福利事业单位（项）。反映民政部门举办的社会福利事业单位支出，以及对集体社会福利事业单位的补助费。</w:t>
      </w:r>
    </w:p>
    <w:p w:rsidR="005B6855" w:rsidRDefault="00B15E81">
      <w:pPr>
        <w:spacing w:line="600" w:lineRule="atLeast"/>
        <w:ind w:firstLine="640"/>
        <w:rPr>
          <w:rFonts w:ascii="仿宋" w:eastAsia="仿宋" w:hAnsi="仿宋"/>
          <w:sz w:val="32"/>
          <w:szCs w:val="32"/>
        </w:rPr>
      </w:pPr>
      <w:r>
        <w:rPr>
          <w:rFonts w:hint="eastAsia"/>
          <w:sz w:val="32"/>
          <w:szCs w:val="32"/>
        </w:rPr>
        <w:t>36.</w:t>
      </w:r>
      <w:r>
        <w:rPr>
          <w:rFonts w:hint="eastAsia"/>
          <w:sz w:val="32"/>
          <w:szCs w:val="32"/>
        </w:rPr>
        <w:t>社会保障和就业支出（类）残疾人事业（款）</w:t>
      </w:r>
      <w:r>
        <w:rPr>
          <w:rFonts w:ascii="仿宋" w:hAnsi="仿宋" w:hint="eastAsia"/>
          <w:sz w:val="32"/>
          <w:szCs w:val="32"/>
        </w:rPr>
        <w:t>残疾人康复（项）。反映残疾人联合会用于残疾人康复方面的支出。</w:t>
      </w:r>
    </w:p>
    <w:p w:rsidR="005B6855" w:rsidRDefault="00B15E81">
      <w:pPr>
        <w:spacing w:line="600" w:lineRule="atLeast"/>
        <w:ind w:firstLine="640"/>
        <w:rPr>
          <w:rFonts w:ascii="仿宋" w:eastAsia="仿宋" w:hAnsi="仿宋"/>
          <w:sz w:val="32"/>
          <w:szCs w:val="32"/>
        </w:rPr>
      </w:pPr>
      <w:r>
        <w:rPr>
          <w:rFonts w:hint="eastAsia"/>
          <w:sz w:val="32"/>
          <w:szCs w:val="32"/>
        </w:rPr>
        <w:t>37.</w:t>
      </w:r>
      <w:r>
        <w:rPr>
          <w:rFonts w:hint="eastAsia"/>
          <w:sz w:val="32"/>
          <w:szCs w:val="32"/>
        </w:rPr>
        <w:t>社会保障和就业支出（类）残疾人事业（款）</w:t>
      </w:r>
      <w:r>
        <w:rPr>
          <w:rFonts w:ascii="仿宋" w:hAnsi="仿宋" w:hint="eastAsia"/>
          <w:sz w:val="32"/>
          <w:szCs w:val="32"/>
        </w:rPr>
        <w:t>残疾人就业和扶贫（项）。反映残疾人联合会用于残疾人就业和扶贫等方面的支出。</w:t>
      </w:r>
    </w:p>
    <w:p w:rsidR="005B6855" w:rsidRDefault="00B15E81">
      <w:pPr>
        <w:spacing w:line="600" w:lineRule="atLeast"/>
        <w:ind w:firstLine="640"/>
        <w:rPr>
          <w:rFonts w:ascii="仿宋" w:eastAsia="仿宋" w:hAnsi="仿宋"/>
          <w:sz w:val="32"/>
          <w:szCs w:val="32"/>
        </w:rPr>
      </w:pPr>
      <w:r>
        <w:rPr>
          <w:rFonts w:hint="eastAsia"/>
          <w:sz w:val="32"/>
          <w:szCs w:val="32"/>
        </w:rPr>
        <w:t>38.</w:t>
      </w:r>
      <w:r>
        <w:rPr>
          <w:rFonts w:hint="eastAsia"/>
          <w:sz w:val="32"/>
          <w:szCs w:val="32"/>
        </w:rPr>
        <w:t>社会保障和就业支出（类）残疾人事业（款）</w:t>
      </w:r>
      <w:r>
        <w:rPr>
          <w:rFonts w:ascii="仿宋" w:hAnsi="仿宋" w:hint="eastAsia"/>
          <w:sz w:val="32"/>
          <w:szCs w:val="32"/>
        </w:rPr>
        <w:t>残疾人生活和护理补贴（项）。反映困难残疾人生活补贴和重度残疾人护理补贴支出。</w:t>
      </w:r>
    </w:p>
    <w:p w:rsidR="005B6855" w:rsidRDefault="00B15E81">
      <w:pPr>
        <w:spacing w:line="600" w:lineRule="atLeast"/>
        <w:ind w:firstLine="640"/>
        <w:rPr>
          <w:rFonts w:ascii="仿宋" w:eastAsia="仿宋" w:hAnsi="仿宋"/>
          <w:sz w:val="32"/>
          <w:szCs w:val="32"/>
        </w:rPr>
      </w:pPr>
      <w:r>
        <w:rPr>
          <w:rFonts w:hint="eastAsia"/>
          <w:sz w:val="32"/>
          <w:szCs w:val="32"/>
        </w:rPr>
        <w:t>39.</w:t>
      </w:r>
      <w:r>
        <w:rPr>
          <w:rFonts w:hint="eastAsia"/>
          <w:sz w:val="32"/>
          <w:szCs w:val="32"/>
        </w:rPr>
        <w:t>社会保障和就业支出（类）残疾人事业（款）</w:t>
      </w:r>
      <w:r>
        <w:rPr>
          <w:rFonts w:ascii="仿宋" w:hAnsi="仿宋" w:hint="eastAsia"/>
          <w:sz w:val="32"/>
          <w:szCs w:val="32"/>
        </w:rPr>
        <w:t>其他残疾人事业支出（项）。反映上述项目以外的其他残疾人事业支出。</w:t>
      </w:r>
    </w:p>
    <w:p w:rsidR="005B6855" w:rsidRDefault="00B15E81">
      <w:pPr>
        <w:spacing w:line="600" w:lineRule="atLeast"/>
        <w:ind w:firstLine="640"/>
        <w:rPr>
          <w:rFonts w:ascii="仿宋" w:eastAsia="仿宋" w:hAnsi="仿宋"/>
          <w:sz w:val="32"/>
          <w:szCs w:val="32"/>
        </w:rPr>
      </w:pPr>
      <w:r>
        <w:rPr>
          <w:rFonts w:hint="eastAsia"/>
          <w:sz w:val="32"/>
          <w:szCs w:val="32"/>
        </w:rPr>
        <w:t>40.</w:t>
      </w:r>
      <w:r>
        <w:rPr>
          <w:rFonts w:hint="eastAsia"/>
          <w:sz w:val="32"/>
          <w:szCs w:val="32"/>
        </w:rPr>
        <w:t>社会保障和就业支出（类）自然灾害生活救助（款）</w:t>
      </w:r>
      <w:r>
        <w:rPr>
          <w:rFonts w:ascii="仿宋" w:hAnsi="仿宋" w:hint="eastAsia"/>
          <w:sz w:val="32"/>
          <w:szCs w:val="32"/>
        </w:rPr>
        <w:lastRenderedPageBreak/>
        <w:t>中央自然灾害生活补助（项）。反映中央预算对遭受特大自然灾害地区的地方政府在安排受灾群众吃、穿、住和抢救、转移、安置、治病等经费发生困难时给与的专项补助，以及为抗御特大自然灾害而设立的中央级救灾物资储备资金。</w:t>
      </w:r>
    </w:p>
    <w:p w:rsidR="005B6855" w:rsidRDefault="00B15E81">
      <w:pPr>
        <w:spacing w:line="600" w:lineRule="atLeast"/>
        <w:ind w:firstLine="640"/>
        <w:rPr>
          <w:rFonts w:ascii="仿宋" w:eastAsia="仿宋" w:hAnsi="仿宋"/>
          <w:sz w:val="32"/>
          <w:szCs w:val="32"/>
        </w:rPr>
      </w:pPr>
      <w:r>
        <w:rPr>
          <w:rFonts w:hint="eastAsia"/>
          <w:sz w:val="32"/>
          <w:szCs w:val="32"/>
        </w:rPr>
        <w:t>41.</w:t>
      </w:r>
      <w:r>
        <w:rPr>
          <w:rFonts w:hint="eastAsia"/>
          <w:sz w:val="32"/>
          <w:szCs w:val="32"/>
        </w:rPr>
        <w:t>社会保障和就业支出（类）最低生活保障（款），</w:t>
      </w:r>
      <w:r>
        <w:rPr>
          <w:rFonts w:ascii="仿宋" w:hAnsi="仿宋" w:hint="eastAsia"/>
          <w:sz w:val="32"/>
          <w:szCs w:val="32"/>
        </w:rPr>
        <w:t>城市最低生活保障金支出（项）。反映城市最低生活保障对象的最低生活保障金支出。</w:t>
      </w:r>
    </w:p>
    <w:p w:rsidR="005B6855" w:rsidRDefault="00B15E81">
      <w:pPr>
        <w:spacing w:line="600" w:lineRule="atLeast"/>
        <w:ind w:firstLine="640"/>
        <w:rPr>
          <w:rFonts w:ascii="仿宋" w:eastAsia="仿宋" w:hAnsi="仿宋"/>
          <w:sz w:val="32"/>
          <w:szCs w:val="32"/>
        </w:rPr>
      </w:pPr>
      <w:r>
        <w:rPr>
          <w:rFonts w:hint="eastAsia"/>
          <w:sz w:val="32"/>
          <w:szCs w:val="32"/>
        </w:rPr>
        <w:t>42.</w:t>
      </w:r>
      <w:r>
        <w:rPr>
          <w:rFonts w:hint="eastAsia"/>
          <w:sz w:val="32"/>
          <w:szCs w:val="32"/>
        </w:rPr>
        <w:t>社会保障和就业支出（类）临时救助（款）</w:t>
      </w:r>
      <w:r>
        <w:rPr>
          <w:rFonts w:ascii="仿宋" w:hAnsi="仿宋" w:hint="eastAsia"/>
          <w:sz w:val="32"/>
          <w:szCs w:val="32"/>
        </w:rPr>
        <w:t>临时救助支出（项）。反映用于城乡生活困难居民的临时救助支出。</w:t>
      </w:r>
    </w:p>
    <w:p w:rsidR="005B6855" w:rsidRDefault="00B15E81">
      <w:pPr>
        <w:spacing w:line="600" w:lineRule="atLeast"/>
        <w:ind w:firstLine="640"/>
        <w:rPr>
          <w:rFonts w:ascii="仿宋" w:eastAsia="仿宋" w:hAnsi="仿宋"/>
          <w:sz w:val="32"/>
          <w:szCs w:val="32"/>
        </w:rPr>
      </w:pPr>
      <w:r>
        <w:rPr>
          <w:rFonts w:hint="eastAsia"/>
          <w:sz w:val="32"/>
          <w:szCs w:val="32"/>
        </w:rPr>
        <w:t>43.</w:t>
      </w:r>
      <w:r>
        <w:rPr>
          <w:rFonts w:hint="eastAsia"/>
          <w:sz w:val="32"/>
          <w:szCs w:val="32"/>
        </w:rPr>
        <w:t>社会保障和就业支出（类）特困人员救助供养（款）</w:t>
      </w:r>
      <w:r>
        <w:rPr>
          <w:rFonts w:ascii="仿宋" w:hAnsi="仿宋" w:hint="eastAsia"/>
          <w:sz w:val="32"/>
          <w:szCs w:val="32"/>
        </w:rPr>
        <w:t>城市</w:t>
      </w:r>
      <w:r>
        <w:rPr>
          <w:rFonts w:hint="eastAsia"/>
          <w:sz w:val="32"/>
          <w:szCs w:val="32"/>
        </w:rPr>
        <w:t>特困人员救助供养</w:t>
      </w:r>
      <w:r>
        <w:rPr>
          <w:rFonts w:ascii="仿宋" w:hAnsi="仿宋" w:hint="eastAsia"/>
          <w:sz w:val="32"/>
          <w:szCs w:val="32"/>
        </w:rPr>
        <w:t>（项）。反映城市特困人员救助供养支出。</w:t>
      </w:r>
    </w:p>
    <w:p w:rsidR="005B6855" w:rsidRDefault="00B15E81">
      <w:pPr>
        <w:spacing w:line="600" w:lineRule="atLeast"/>
        <w:ind w:firstLine="640"/>
        <w:rPr>
          <w:rFonts w:ascii="仿宋" w:eastAsia="仿宋" w:hAnsi="仿宋"/>
          <w:sz w:val="32"/>
          <w:szCs w:val="32"/>
        </w:rPr>
      </w:pPr>
      <w:r>
        <w:rPr>
          <w:rFonts w:hint="eastAsia"/>
          <w:sz w:val="32"/>
          <w:szCs w:val="32"/>
        </w:rPr>
        <w:t>44.</w:t>
      </w:r>
      <w:r>
        <w:rPr>
          <w:rFonts w:hint="eastAsia"/>
          <w:sz w:val="32"/>
          <w:szCs w:val="32"/>
        </w:rPr>
        <w:t>社会保障和就业支出（类）其他生活救助（款）其他城市生活救助</w:t>
      </w:r>
      <w:r>
        <w:rPr>
          <w:rFonts w:ascii="仿宋" w:hAnsi="仿宋" w:hint="eastAsia"/>
          <w:sz w:val="32"/>
          <w:szCs w:val="32"/>
        </w:rPr>
        <w:t>（项）。反映除最低生活保障、临时救助、特困人员供养外，用于</w:t>
      </w:r>
      <w:r>
        <w:rPr>
          <w:rFonts w:hint="eastAsia"/>
          <w:sz w:val="32"/>
          <w:szCs w:val="32"/>
        </w:rPr>
        <w:t>城市困难居民生活救助支出</w:t>
      </w:r>
      <w:r>
        <w:rPr>
          <w:rFonts w:ascii="仿宋" w:hAnsi="仿宋" w:hint="eastAsia"/>
          <w:sz w:val="32"/>
          <w:szCs w:val="32"/>
        </w:rPr>
        <w:t>。</w:t>
      </w:r>
    </w:p>
    <w:p w:rsidR="005B6855" w:rsidRDefault="00B15E81">
      <w:pPr>
        <w:spacing w:line="600" w:lineRule="atLeast"/>
        <w:ind w:firstLine="640"/>
        <w:rPr>
          <w:rFonts w:ascii="仿宋" w:eastAsia="仿宋" w:hAnsi="仿宋"/>
          <w:sz w:val="32"/>
          <w:szCs w:val="32"/>
        </w:rPr>
      </w:pPr>
      <w:r>
        <w:rPr>
          <w:rFonts w:hint="eastAsia"/>
          <w:sz w:val="32"/>
          <w:szCs w:val="32"/>
        </w:rPr>
        <w:t>45.</w:t>
      </w:r>
      <w:r>
        <w:rPr>
          <w:rFonts w:hint="eastAsia"/>
          <w:sz w:val="32"/>
          <w:szCs w:val="32"/>
        </w:rPr>
        <w:t>社会保障和就业支出（类）其他生活救助（款）其他农村生活救助</w:t>
      </w:r>
      <w:r>
        <w:rPr>
          <w:rFonts w:ascii="仿宋" w:hAnsi="仿宋" w:hint="eastAsia"/>
          <w:sz w:val="32"/>
          <w:szCs w:val="32"/>
        </w:rPr>
        <w:t>（项）。反映除最低生活保障、临时救助、特困人员供养外，用于</w:t>
      </w:r>
      <w:r>
        <w:rPr>
          <w:rFonts w:hint="eastAsia"/>
          <w:sz w:val="32"/>
          <w:szCs w:val="32"/>
        </w:rPr>
        <w:t>农村困难居民生活救助支出</w:t>
      </w:r>
      <w:r>
        <w:rPr>
          <w:rFonts w:ascii="仿宋" w:hAnsi="仿宋" w:hint="eastAsia"/>
          <w:sz w:val="32"/>
          <w:szCs w:val="32"/>
        </w:rPr>
        <w:t>。</w:t>
      </w:r>
    </w:p>
    <w:p w:rsidR="005B6855" w:rsidRDefault="00B15E81">
      <w:pPr>
        <w:spacing w:line="600" w:lineRule="atLeast"/>
        <w:ind w:firstLine="640"/>
        <w:rPr>
          <w:rFonts w:ascii="仿宋" w:eastAsia="仿宋" w:hAnsi="仿宋"/>
          <w:sz w:val="32"/>
          <w:szCs w:val="32"/>
        </w:rPr>
      </w:pPr>
      <w:r>
        <w:rPr>
          <w:rFonts w:hint="eastAsia"/>
          <w:sz w:val="32"/>
          <w:szCs w:val="32"/>
        </w:rPr>
        <w:t>46.</w:t>
      </w:r>
      <w:r>
        <w:rPr>
          <w:rFonts w:hint="eastAsia"/>
          <w:sz w:val="32"/>
          <w:szCs w:val="32"/>
        </w:rPr>
        <w:t>医疗卫生与计划生育支出（类）</w:t>
      </w:r>
      <w:r>
        <w:rPr>
          <w:rFonts w:ascii="仿宋" w:hAnsi="仿宋" w:hint="eastAsia"/>
          <w:sz w:val="32"/>
          <w:szCs w:val="32"/>
        </w:rPr>
        <w:t>计划生育事务（款）其他计划生育事务支出（项）。反映出上述项目以外其他计划生育事务支出。</w:t>
      </w:r>
    </w:p>
    <w:p w:rsidR="005B6855" w:rsidRDefault="00B15E81">
      <w:pPr>
        <w:spacing w:line="600" w:lineRule="atLeast"/>
        <w:ind w:firstLine="640"/>
        <w:rPr>
          <w:rFonts w:ascii="仿宋" w:eastAsia="仿宋" w:hAnsi="仿宋"/>
          <w:sz w:val="32"/>
          <w:szCs w:val="32"/>
        </w:rPr>
      </w:pPr>
      <w:r>
        <w:rPr>
          <w:rFonts w:hint="eastAsia"/>
          <w:sz w:val="32"/>
          <w:szCs w:val="32"/>
        </w:rPr>
        <w:t>47.</w:t>
      </w:r>
      <w:r>
        <w:rPr>
          <w:rFonts w:hint="eastAsia"/>
          <w:sz w:val="32"/>
          <w:szCs w:val="32"/>
        </w:rPr>
        <w:t>医疗卫生与计划生育支出（类）优抚对象医疗（款）</w:t>
      </w:r>
      <w:r>
        <w:rPr>
          <w:rFonts w:ascii="仿宋" w:hAnsi="仿宋" w:hint="eastAsia"/>
          <w:sz w:val="32"/>
          <w:szCs w:val="32"/>
        </w:rPr>
        <w:lastRenderedPageBreak/>
        <w:t>优抚对象医疗补助（项）。反映按规定补助优抚对象的医疗经费。</w:t>
      </w:r>
    </w:p>
    <w:p w:rsidR="005B6855" w:rsidRDefault="00B15E81">
      <w:pPr>
        <w:spacing w:line="600" w:lineRule="atLeast"/>
        <w:ind w:firstLine="640"/>
        <w:rPr>
          <w:rFonts w:ascii="仿宋" w:eastAsia="仿宋" w:hAnsi="仿宋"/>
          <w:sz w:val="32"/>
          <w:szCs w:val="32"/>
        </w:rPr>
      </w:pPr>
      <w:r>
        <w:rPr>
          <w:rFonts w:ascii="仿宋" w:eastAsia="仿宋" w:hAnsi="仿宋" w:hint="eastAsia"/>
          <w:sz w:val="32"/>
          <w:szCs w:val="32"/>
        </w:rPr>
        <w:t>48.</w:t>
      </w:r>
      <w:r>
        <w:rPr>
          <w:rFonts w:ascii="仿宋" w:hAnsi="仿宋" w:hint="eastAsia"/>
          <w:sz w:val="32"/>
          <w:szCs w:val="32"/>
        </w:rPr>
        <w:t>节能环保支出（类）环境保护管理事务（项）其他环境保护管理事务支出（项）。反映出上述项目以外其他环境保护管理事务支出。</w:t>
      </w:r>
    </w:p>
    <w:p w:rsidR="005B6855" w:rsidRDefault="00B15E81">
      <w:pPr>
        <w:spacing w:line="600" w:lineRule="atLeast"/>
        <w:ind w:firstLine="640"/>
        <w:rPr>
          <w:rFonts w:ascii="仿宋" w:eastAsia="仿宋" w:hAnsi="仿宋"/>
          <w:sz w:val="32"/>
          <w:szCs w:val="32"/>
        </w:rPr>
      </w:pPr>
      <w:r>
        <w:rPr>
          <w:rFonts w:ascii="仿宋" w:eastAsia="仿宋" w:hAnsi="仿宋" w:hint="eastAsia"/>
          <w:sz w:val="32"/>
          <w:szCs w:val="32"/>
        </w:rPr>
        <w:t>49.</w:t>
      </w:r>
      <w:r>
        <w:rPr>
          <w:rFonts w:ascii="仿宋" w:hAnsi="仿宋" w:hint="eastAsia"/>
          <w:sz w:val="32"/>
          <w:szCs w:val="32"/>
        </w:rPr>
        <w:t>节能环保支出（类）自然生态保护（款）农村环境保护（项）。反映用于农村环境保护方面的支出。</w:t>
      </w:r>
    </w:p>
    <w:p w:rsidR="005B6855" w:rsidRDefault="00B15E81">
      <w:pPr>
        <w:spacing w:line="600" w:lineRule="atLeast"/>
        <w:ind w:firstLine="640"/>
        <w:rPr>
          <w:rFonts w:ascii="仿宋" w:eastAsia="仿宋" w:hAnsi="仿宋"/>
          <w:sz w:val="32"/>
          <w:szCs w:val="32"/>
        </w:rPr>
      </w:pPr>
      <w:r>
        <w:rPr>
          <w:rFonts w:ascii="仿宋" w:eastAsia="仿宋" w:hAnsi="仿宋" w:hint="eastAsia"/>
          <w:sz w:val="32"/>
          <w:szCs w:val="32"/>
        </w:rPr>
        <w:t>50</w:t>
      </w:r>
      <w:r>
        <w:rPr>
          <w:rFonts w:ascii="仿宋" w:hAnsi="仿宋" w:hint="eastAsia"/>
          <w:sz w:val="32"/>
          <w:szCs w:val="32"/>
        </w:rPr>
        <w:t>城乡社区支出（类）其他城乡社区支出（款）其他城乡社区支出（项）。反映上述项目以外的其他城乡社区支出。</w:t>
      </w:r>
    </w:p>
    <w:p w:rsidR="005B6855" w:rsidRDefault="00B15E81">
      <w:pPr>
        <w:spacing w:line="600" w:lineRule="atLeast"/>
        <w:ind w:firstLine="640"/>
        <w:rPr>
          <w:rFonts w:ascii="仿宋" w:eastAsia="仿宋" w:hAnsi="仿宋"/>
          <w:sz w:val="32"/>
          <w:szCs w:val="32"/>
        </w:rPr>
      </w:pPr>
      <w:r>
        <w:rPr>
          <w:rFonts w:hint="eastAsia"/>
          <w:sz w:val="32"/>
          <w:szCs w:val="32"/>
        </w:rPr>
        <w:t>51.</w:t>
      </w:r>
      <w:r>
        <w:rPr>
          <w:rFonts w:hint="eastAsia"/>
          <w:sz w:val="32"/>
          <w:szCs w:val="32"/>
        </w:rPr>
        <w:t>农林水支出（类）农业（款）</w:t>
      </w:r>
      <w:r>
        <w:rPr>
          <w:rFonts w:ascii="仿宋" w:hAnsi="仿宋" w:hint="eastAsia"/>
          <w:sz w:val="32"/>
          <w:szCs w:val="32"/>
        </w:rPr>
        <w:t>事业运行（项）。</w:t>
      </w:r>
      <w:r>
        <w:rPr>
          <w:rFonts w:ascii="仿宋" w:hAnsi="仿宋" w:cs="Arial" w:hint="eastAsia"/>
          <w:sz w:val="32"/>
          <w:szCs w:val="32"/>
        </w:rPr>
        <w:t>指事业单位的基本支出，不包括行政单位（包括实行公务员管理的事业单位）后勤服务中心、医务室等附属事业单位</w:t>
      </w:r>
      <w:r>
        <w:rPr>
          <w:rFonts w:ascii="仿宋" w:hAnsi="仿宋" w:hint="eastAsia"/>
          <w:sz w:val="32"/>
          <w:szCs w:val="32"/>
        </w:rPr>
        <w:t>。</w:t>
      </w:r>
    </w:p>
    <w:p w:rsidR="005B6855" w:rsidRDefault="00B15E81">
      <w:pPr>
        <w:spacing w:line="600" w:lineRule="atLeast"/>
        <w:ind w:firstLine="640"/>
        <w:rPr>
          <w:rFonts w:ascii="仿宋" w:eastAsia="仿宋" w:hAnsi="仿宋"/>
          <w:sz w:val="32"/>
          <w:szCs w:val="32"/>
        </w:rPr>
      </w:pPr>
      <w:r>
        <w:rPr>
          <w:rFonts w:hint="eastAsia"/>
          <w:sz w:val="32"/>
          <w:szCs w:val="32"/>
        </w:rPr>
        <w:t>52.</w:t>
      </w:r>
      <w:r>
        <w:rPr>
          <w:rFonts w:hint="eastAsia"/>
          <w:sz w:val="32"/>
          <w:szCs w:val="32"/>
        </w:rPr>
        <w:t>农林水支出（类）农业（款）</w:t>
      </w:r>
      <w:r>
        <w:rPr>
          <w:rFonts w:ascii="仿宋" w:hAnsi="仿宋" w:hint="eastAsia"/>
          <w:sz w:val="32"/>
          <w:szCs w:val="32"/>
        </w:rPr>
        <w:t>对高校毕业生到基层任职补助（项）。反映按规定对高校毕业生到基层任职补助支出。</w:t>
      </w:r>
    </w:p>
    <w:p w:rsidR="005B6855" w:rsidRDefault="00B15E81">
      <w:pPr>
        <w:spacing w:line="600" w:lineRule="atLeast"/>
        <w:ind w:firstLine="640"/>
        <w:rPr>
          <w:rFonts w:ascii="仿宋" w:eastAsia="仿宋" w:hAnsi="仿宋"/>
          <w:sz w:val="32"/>
          <w:szCs w:val="32"/>
        </w:rPr>
      </w:pPr>
      <w:r>
        <w:rPr>
          <w:rFonts w:hint="eastAsia"/>
          <w:sz w:val="32"/>
          <w:szCs w:val="32"/>
        </w:rPr>
        <w:t>53.</w:t>
      </w:r>
      <w:r>
        <w:rPr>
          <w:rFonts w:hint="eastAsia"/>
          <w:sz w:val="32"/>
          <w:szCs w:val="32"/>
        </w:rPr>
        <w:t>农林水支出（类）林业（款）</w:t>
      </w:r>
      <w:r>
        <w:rPr>
          <w:rFonts w:ascii="仿宋" w:hAnsi="仿宋" w:hint="eastAsia"/>
          <w:sz w:val="32"/>
          <w:szCs w:val="32"/>
        </w:rPr>
        <w:t>林业事业机构（项）。反映事业单位基本支出，不包括行政单位（含实行公务员管理的事业单位）后勤服务中心等附属事业单位的支出。</w:t>
      </w:r>
    </w:p>
    <w:p w:rsidR="005B6855" w:rsidRDefault="00B15E81">
      <w:pPr>
        <w:spacing w:line="600" w:lineRule="atLeast"/>
        <w:ind w:firstLine="640"/>
        <w:rPr>
          <w:rFonts w:ascii="仿宋" w:eastAsia="仿宋" w:hAnsi="仿宋"/>
          <w:sz w:val="32"/>
          <w:szCs w:val="32"/>
        </w:rPr>
      </w:pPr>
      <w:r>
        <w:rPr>
          <w:rFonts w:hint="eastAsia"/>
          <w:sz w:val="32"/>
          <w:szCs w:val="32"/>
        </w:rPr>
        <w:t>54</w:t>
      </w:r>
      <w:r>
        <w:rPr>
          <w:rFonts w:hint="eastAsia"/>
          <w:sz w:val="32"/>
          <w:szCs w:val="32"/>
        </w:rPr>
        <w:t>农林水支出（类）水利（款）</w:t>
      </w:r>
      <w:r>
        <w:rPr>
          <w:rFonts w:ascii="仿宋" w:hAnsi="仿宋" w:hint="eastAsia"/>
          <w:sz w:val="32"/>
          <w:szCs w:val="32"/>
        </w:rPr>
        <w:t>其他水利支出（项）。反映除上述项目以外的其他水利支出。</w:t>
      </w:r>
    </w:p>
    <w:p w:rsidR="005B6855" w:rsidRDefault="00B15E81">
      <w:pPr>
        <w:spacing w:line="600" w:lineRule="atLeast"/>
        <w:ind w:firstLine="640"/>
        <w:rPr>
          <w:rFonts w:ascii="仿宋" w:eastAsia="仿宋" w:hAnsi="仿宋"/>
          <w:sz w:val="32"/>
          <w:szCs w:val="32"/>
        </w:rPr>
      </w:pPr>
      <w:r>
        <w:rPr>
          <w:rFonts w:hint="eastAsia"/>
          <w:sz w:val="32"/>
          <w:szCs w:val="32"/>
        </w:rPr>
        <w:t>55.</w:t>
      </w:r>
      <w:r>
        <w:rPr>
          <w:rFonts w:hint="eastAsia"/>
          <w:sz w:val="32"/>
          <w:szCs w:val="32"/>
        </w:rPr>
        <w:t>农林水支出（类）农村综合改革（款）</w:t>
      </w:r>
      <w:r>
        <w:rPr>
          <w:rFonts w:ascii="仿宋" w:hAnsi="仿宋" w:hint="eastAsia"/>
          <w:sz w:val="32"/>
          <w:szCs w:val="32"/>
        </w:rPr>
        <w:t>对村级一事一议的补助（项）。反映按规定对对村级一事一议的补助支出。</w:t>
      </w:r>
    </w:p>
    <w:p w:rsidR="005B6855" w:rsidRDefault="00B15E81">
      <w:pPr>
        <w:spacing w:line="600" w:lineRule="atLeast"/>
        <w:ind w:firstLine="640"/>
        <w:rPr>
          <w:rFonts w:ascii="仿宋" w:eastAsia="仿宋" w:hAnsi="仿宋"/>
          <w:sz w:val="32"/>
          <w:szCs w:val="32"/>
        </w:rPr>
      </w:pPr>
      <w:r>
        <w:rPr>
          <w:rFonts w:hint="eastAsia"/>
          <w:sz w:val="32"/>
          <w:szCs w:val="32"/>
        </w:rPr>
        <w:lastRenderedPageBreak/>
        <w:t>56.</w:t>
      </w:r>
      <w:r>
        <w:rPr>
          <w:rFonts w:hint="eastAsia"/>
          <w:sz w:val="32"/>
          <w:szCs w:val="32"/>
        </w:rPr>
        <w:t>农林水支出（类）其他农林水支出（款）其他农林水支出</w:t>
      </w:r>
      <w:r>
        <w:rPr>
          <w:rFonts w:ascii="仿宋" w:hAnsi="仿宋" w:hint="eastAsia"/>
          <w:sz w:val="32"/>
          <w:szCs w:val="32"/>
        </w:rPr>
        <w:t>（项）。反映对除上述项目以外的</w:t>
      </w:r>
      <w:r>
        <w:rPr>
          <w:rFonts w:hint="eastAsia"/>
          <w:sz w:val="32"/>
          <w:szCs w:val="32"/>
        </w:rPr>
        <w:t>其他农林水支出</w:t>
      </w:r>
      <w:r>
        <w:rPr>
          <w:rFonts w:ascii="仿宋" w:hAnsi="仿宋" w:hint="eastAsia"/>
          <w:sz w:val="32"/>
          <w:szCs w:val="32"/>
        </w:rPr>
        <w:t>。</w:t>
      </w:r>
    </w:p>
    <w:p w:rsidR="005B6855" w:rsidRDefault="00B15E81">
      <w:pPr>
        <w:spacing w:line="600" w:lineRule="atLeast"/>
        <w:ind w:firstLine="640"/>
        <w:rPr>
          <w:rFonts w:ascii="仿宋" w:eastAsia="仿宋" w:hAnsi="仿宋"/>
          <w:sz w:val="32"/>
          <w:szCs w:val="32"/>
        </w:rPr>
      </w:pPr>
      <w:r>
        <w:rPr>
          <w:rFonts w:hint="eastAsia"/>
          <w:sz w:val="32"/>
          <w:szCs w:val="32"/>
        </w:rPr>
        <w:t>57.</w:t>
      </w:r>
      <w:r>
        <w:rPr>
          <w:rFonts w:hint="eastAsia"/>
          <w:sz w:val="32"/>
          <w:szCs w:val="32"/>
        </w:rPr>
        <w:t>资源勘探信息等支出（类）安全生产监管（款）</w:t>
      </w:r>
      <w:r>
        <w:rPr>
          <w:rFonts w:ascii="仿宋" w:hAnsi="仿宋" w:hint="eastAsia"/>
          <w:sz w:val="32"/>
          <w:szCs w:val="32"/>
        </w:rPr>
        <w:t>其他安全生产监管支出（项）。反映对上述项目以外的其他安全生产监管支出。</w:t>
      </w:r>
    </w:p>
    <w:p w:rsidR="005B6855" w:rsidRDefault="00B15E81">
      <w:pPr>
        <w:spacing w:line="600" w:lineRule="atLeast"/>
        <w:ind w:firstLine="640"/>
        <w:rPr>
          <w:rFonts w:ascii="楷体" w:eastAsia="楷体" w:hAnsi="楷体" w:cs="Arial"/>
          <w:b/>
          <w:bCs/>
          <w:sz w:val="32"/>
          <w:szCs w:val="32"/>
        </w:rPr>
      </w:pPr>
      <w:r>
        <w:rPr>
          <w:rFonts w:hint="eastAsia"/>
          <w:sz w:val="32"/>
          <w:szCs w:val="32"/>
        </w:rPr>
        <w:t>58.</w:t>
      </w:r>
      <w:r>
        <w:rPr>
          <w:rFonts w:hint="eastAsia"/>
          <w:sz w:val="32"/>
          <w:szCs w:val="32"/>
        </w:rPr>
        <w:t>资源勘探信息等支出（类）支持中小企业发展和管理支出（款）</w:t>
      </w:r>
      <w:r>
        <w:rPr>
          <w:rFonts w:ascii="仿宋" w:hAnsi="仿宋" w:hint="eastAsia"/>
          <w:sz w:val="32"/>
          <w:szCs w:val="32"/>
        </w:rPr>
        <w:t>其他支持中小企业发展和管理支出（项）。反映对除上述项目以外的其他支持中小企业发展和管理支出</w:t>
      </w:r>
      <w:r>
        <w:rPr>
          <w:rFonts w:hint="eastAsia"/>
        </w:rPr>
        <w:t>。</w:t>
      </w:r>
    </w:p>
    <w:p w:rsidR="005B6855" w:rsidRDefault="00B15E81">
      <w:pPr>
        <w:spacing w:line="600" w:lineRule="atLeast"/>
        <w:ind w:firstLine="640"/>
        <w:rPr>
          <w:rFonts w:ascii="仿宋" w:eastAsia="仿宋" w:hAnsi="仿宋" w:cs="宋体"/>
          <w:sz w:val="32"/>
          <w:szCs w:val="32"/>
        </w:rPr>
      </w:pPr>
      <w:r>
        <w:rPr>
          <w:rFonts w:hint="eastAsia"/>
          <w:sz w:val="32"/>
          <w:szCs w:val="32"/>
        </w:rPr>
        <w:t>59.</w:t>
      </w:r>
      <w:r>
        <w:rPr>
          <w:rFonts w:hint="eastAsia"/>
          <w:sz w:val="32"/>
          <w:szCs w:val="32"/>
        </w:rPr>
        <w:t>城乡社区支出（类）国有土地使用权出让收入及对应专项债务收入安排的支出（款）</w:t>
      </w:r>
      <w:r>
        <w:rPr>
          <w:rFonts w:ascii="仿宋" w:hAnsi="仿宋" w:hint="eastAsia"/>
          <w:sz w:val="32"/>
          <w:szCs w:val="32"/>
        </w:rPr>
        <w:t>土地开发支出（项）。反映从国有土地收益基金中安排用于收购贮备土地需要的前期土地开发性支出以及与前期土地开发相关的费用等支出。</w:t>
      </w:r>
    </w:p>
    <w:p w:rsidR="005B6855" w:rsidRDefault="00B15E81">
      <w:pPr>
        <w:spacing w:line="600" w:lineRule="atLeast"/>
        <w:ind w:firstLine="640"/>
        <w:rPr>
          <w:rFonts w:ascii="仿宋" w:eastAsia="仿宋" w:hAnsi="仿宋"/>
          <w:sz w:val="32"/>
          <w:szCs w:val="32"/>
        </w:rPr>
      </w:pPr>
      <w:r>
        <w:rPr>
          <w:rFonts w:hint="eastAsia"/>
          <w:sz w:val="32"/>
          <w:szCs w:val="32"/>
        </w:rPr>
        <w:t>60.</w:t>
      </w:r>
      <w:r>
        <w:rPr>
          <w:rFonts w:hint="eastAsia"/>
          <w:sz w:val="32"/>
          <w:szCs w:val="32"/>
        </w:rPr>
        <w:t>城乡社区支出（类）国有土地使用权出让收入及对应专项债务收入安排的支出（款）</w:t>
      </w:r>
      <w:r>
        <w:rPr>
          <w:rFonts w:ascii="仿宋" w:hAnsi="仿宋" w:hint="eastAsia"/>
          <w:sz w:val="32"/>
          <w:szCs w:val="32"/>
        </w:rPr>
        <w:t>城市建设支出（项）。反映除土地贮备专项债券、棚户区改造专项债券外，国有土地使用权出让收入对应其他专项债务收入安排的用于完善国有土地使用功能的配套设施建设和城市基础设施建设支出。</w:t>
      </w:r>
    </w:p>
    <w:p w:rsidR="005B6855" w:rsidRDefault="00B15E81">
      <w:pPr>
        <w:spacing w:line="600" w:lineRule="atLeast"/>
        <w:ind w:firstLine="640"/>
        <w:rPr>
          <w:rFonts w:ascii="仿宋" w:eastAsia="仿宋" w:hAnsi="仿宋"/>
          <w:sz w:val="32"/>
          <w:szCs w:val="32"/>
        </w:rPr>
      </w:pPr>
      <w:r>
        <w:rPr>
          <w:rFonts w:hint="eastAsia"/>
          <w:sz w:val="32"/>
          <w:szCs w:val="32"/>
        </w:rPr>
        <w:t>61</w:t>
      </w:r>
      <w:r>
        <w:rPr>
          <w:rFonts w:hint="eastAsia"/>
          <w:sz w:val="32"/>
          <w:szCs w:val="32"/>
        </w:rPr>
        <w:t>城乡社区支出（类）国有土地使用权出让收入及对应专项债务收入安排的支出（款）</w:t>
      </w:r>
      <w:r>
        <w:rPr>
          <w:rFonts w:ascii="仿宋" w:hAnsi="仿宋" w:hint="eastAsia"/>
          <w:sz w:val="32"/>
          <w:szCs w:val="32"/>
        </w:rPr>
        <w:t>其他国有土地使用权出让收入安排的支出（项）。反映除土地贮备专项债券、棚户区改造专项债券外，国有土地使用权出让收入对应其他专项债务收入安排的除上述项目以外的，用于其他方面的公益资本支</w:t>
      </w:r>
      <w:r>
        <w:rPr>
          <w:rFonts w:ascii="仿宋" w:hAnsi="仿宋" w:hint="eastAsia"/>
          <w:sz w:val="32"/>
          <w:szCs w:val="32"/>
        </w:rPr>
        <w:lastRenderedPageBreak/>
        <w:t>出。</w:t>
      </w:r>
    </w:p>
    <w:p w:rsidR="005B6855" w:rsidRDefault="00B15E81">
      <w:pPr>
        <w:spacing w:line="600" w:lineRule="atLeast"/>
        <w:ind w:firstLineChars="200" w:firstLine="640"/>
        <w:rPr>
          <w:rFonts w:ascii="仿宋" w:eastAsia="仿宋" w:hAnsi="仿宋"/>
          <w:sz w:val="32"/>
          <w:szCs w:val="32"/>
        </w:rPr>
      </w:pPr>
      <w:r>
        <w:rPr>
          <w:rFonts w:ascii="仿宋" w:eastAsia="仿宋" w:hAnsi="仿宋" w:hint="eastAsia"/>
          <w:sz w:val="32"/>
          <w:szCs w:val="32"/>
        </w:rPr>
        <w:t xml:space="preserve"> 62.</w:t>
      </w:r>
      <w:r>
        <w:rPr>
          <w:rFonts w:hint="eastAsia"/>
          <w:sz w:val="32"/>
          <w:szCs w:val="32"/>
        </w:rPr>
        <w:t>城乡社区支出（类）城市基础设施配套费及对应专项债务收入安排的支出（款）</w:t>
      </w:r>
      <w:r>
        <w:rPr>
          <w:rFonts w:ascii="仿宋" w:hAnsi="仿宋" w:hint="eastAsia"/>
          <w:sz w:val="32"/>
          <w:szCs w:val="32"/>
        </w:rPr>
        <w:t>其他城市基础设施配套</w:t>
      </w:r>
      <w:proofErr w:type="gramStart"/>
      <w:r>
        <w:rPr>
          <w:rFonts w:ascii="仿宋" w:hAnsi="仿宋" w:hint="eastAsia"/>
          <w:sz w:val="32"/>
          <w:szCs w:val="32"/>
        </w:rPr>
        <w:t>费安排</w:t>
      </w:r>
      <w:proofErr w:type="gramEnd"/>
      <w:r>
        <w:rPr>
          <w:rFonts w:ascii="仿宋" w:hAnsi="仿宋" w:hint="eastAsia"/>
          <w:sz w:val="32"/>
          <w:szCs w:val="32"/>
        </w:rPr>
        <w:t>的支出（项）。反映上述项目以外，城市基础设施配套费对应专项债务收入安排的公益性资本支出。</w:t>
      </w:r>
    </w:p>
    <w:p w:rsidR="005B6855" w:rsidRDefault="00B15E81">
      <w:pPr>
        <w:spacing w:line="600" w:lineRule="atLeast"/>
        <w:ind w:firstLine="640"/>
        <w:rPr>
          <w:rFonts w:ascii="仿宋" w:eastAsia="仿宋" w:hAnsi="仿宋"/>
          <w:sz w:val="32"/>
          <w:szCs w:val="32"/>
        </w:rPr>
      </w:pPr>
      <w:r>
        <w:rPr>
          <w:rFonts w:hint="eastAsia"/>
          <w:sz w:val="32"/>
          <w:szCs w:val="32"/>
        </w:rPr>
        <w:t>63.</w:t>
      </w:r>
      <w:r>
        <w:rPr>
          <w:rFonts w:hint="eastAsia"/>
          <w:sz w:val="32"/>
          <w:szCs w:val="32"/>
        </w:rPr>
        <w:t>其他支出（类）其他政府性基金及对应专项债务收入安排的支出（款）其他政府性基金及对应专项债务收入安排的支出</w:t>
      </w:r>
      <w:r>
        <w:rPr>
          <w:rFonts w:ascii="仿宋" w:hAnsi="仿宋" w:hint="eastAsia"/>
          <w:sz w:val="32"/>
          <w:szCs w:val="32"/>
        </w:rPr>
        <w:t>（项）。反映</w:t>
      </w:r>
      <w:r>
        <w:rPr>
          <w:rFonts w:hint="eastAsia"/>
          <w:sz w:val="32"/>
          <w:szCs w:val="32"/>
        </w:rPr>
        <w:t>其他政府性基金及对应专项债务收入安排的支出</w:t>
      </w:r>
      <w:r>
        <w:rPr>
          <w:rFonts w:ascii="仿宋" w:hAnsi="仿宋" w:hint="eastAsia"/>
          <w:sz w:val="32"/>
          <w:szCs w:val="32"/>
        </w:rPr>
        <w:t>。</w:t>
      </w:r>
    </w:p>
    <w:p w:rsidR="005B6855" w:rsidRDefault="00B15E81">
      <w:pPr>
        <w:spacing w:line="600" w:lineRule="atLeast"/>
        <w:ind w:firstLine="640"/>
        <w:rPr>
          <w:rFonts w:ascii="仿宋" w:eastAsia="仿宋" w:hAnsi="仿宋"/>
          <w:sz w:val="32"/>
          <w:szCs w:val="32"/>
        </w:rPr>
      </w:pPr>
      <w:r>
        <w:rPr>
          <w:rFonts w:hint="eastAsia"/>
          <w:sz w:val="32"/>
          <w:szCs w:val="32"/>
        </w:rPr>
        <w:t>64.</w:t>
      </w:r>
      <w:r>
        <w:rPr>
          <w:rFonts w:hint="eastAsia"/>
          <w:sz w:val="32"/>
          <w:szCs w:val="32"/>
        </w:rPr>
        <w:t>其他支出（类）彩票公益金及对应专项债务收入安排的支出（款）</w:t>
      </w:r>
      <w:r>
        <w:rPr>
          <w:rFonts w:ascii="仿宋" w:hAnsi="仿宋" w:hint="eastAsia"/>
          <w:sz w:val="32"/>
          <w:szCs w:val="32"/>
        </w:rPr>
        <w:t>用于社会福利的彩票公益金支出（项）。</w:t>
      </w:r>
      <w:r>
        <w:rPr>
          <w:rFonts w:ascii="仿宋" w:eastAsia="仿宋" w:hAnsi="仿宋" w:hint="eastAsia"/>
          <w:sz w:val="32"/>
          <w:szCs w:val="32"/>
        </w:rPr>
        <w:t xml:space="preserve">  </w:t>
      </w:r>
      <w:r>
        <w:rPr>
          <w:rFonts w:ascii="仿宋" w:hAnsi="仿宋" w:hint="eastAsia"/>
          <w:sz w:val="32"/>
          <w:szCs w:val="32"/>
        </w:rPr>
        <w:t>用于社会福利的彩票公益金支出。</w:t>
      </w:r>
    </w:p>
    <w:p w:rsidR="005B6855" w:rsidRDefault="00B15E81">
      <w:pPr>
        <w:spacing w:line="600" w:lineRule="atLeast"/>
        <w:ind w:firstLine="640"/>
        <w:rPr>
          <w:rFonts w:ascii="仿宋" w:eastAsia="仿宋" w:hAnsi="仿宋"/>
          <w:sz w:val="32"/>
          <w:szCs w:val="32"/>
        </w:rPr>
      </w:pPr>
      <w:r>
        <w:rPr>
          <w:rFonts w:hint="eastAsia"/>
          <w:sz w:val="32"/>
          <w:szCs w:val="32"/>
        </w:rPr>
        <w:t>65.</w:t>
      </w:r>
      <w:r>
        <w:rPr>
          <w:rFonts w:hint="eastAsia"/>
          <w:sz w:val="32"/>
          <w:szCs w:val="32"/>
        </w:rPr>
        <w:t>其他支出（类）彩票公益金及对应专项债务收入安排的支出（款）</w:t>
      </w:r>
      <w:r>
        <w:rPr>
          <w:rFonts w:ascii="仿宋" w:hAnsi="仿宋" w:hint="eastAsia"/>
          <w:sz w:val="32"/>
          <w:szCs w:val="32"/>
        </w:rPr>
        <w:t>用于残疾人事业的彩票公益金支出（项）。反映用于残疾人事业的彩票公益金支出。</w:t>
      </w:r>
    </w:p>
    <w:p w:rsidR="005B6855" w:rsidRDefault="00B15E81">
      <w:r>
        <w:rPr>
          <w:rFonts w:hint="eastAsia"/>
          <w:sz w:val="32"/>
          <w:szCs w:val="32"/>
        </w:rPr>
        <w:t>66.</w:t>
      </w:r>
      <w:r>
        <w:rPr>
          <w:rFonts w:hint="eastAsia"/>
          <w:sz w:val="32"/>
          <w:szCs w:val="32"/>
        </w:rPr>
        <w:t>其他支出（类）彩票公益金及对应专项债务收入安排的支出（款）</w:t>
      </w:r>
      <w:r>
        <w:rPr>
          <w:rFonts w:ascii="仿宋" w:hAnsi="仿宋" w:hint="eastAsia"/>
          <w:sz w:val="32"/>
          <w:szCs w:val="32"/>
        </w:rPr>
        <w:t>用于其他社会公益事业的彩票公益金支出（项）。反映用于其他社会公益事业的彩票公益金支出。</w:t>
      </w:r>
    </w:p>
    <w:sectPr w:rsidR="005B685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05AB205"/>
    <w:multiLevelType w:val="multilevel"/>
    <w:tmpl w:val="A05AB205"/>
    <w:lvl w:ilvl="0">
      <w:start w:val="2"/>
      <w:numFmt w:val="chineseCounting"/>
      <w:suff w:val="nothing"/>
      <w:lvlText w:val="（%1）"/>
      <w:lvlJc w:val="left"/>
      <w:pPr>
        <w:ind w:left="0" w:firstLine="0"/>
      </w:pPr>
      <w:rPr>
        <w:rFonts w:ascii="宋体" w:eastAsia="宋体" w:hAnsi="宋体" w:cs="宋体" w:hint="eastAsia"/>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nsid w:val="C18D7814"/>
    <w:multiLevelType w:val="multilevel"/>
    <w:tmpl w:val="C18D7814"/>
    <w:lvl w:ilvl="0">
      <w:start w:val="6"/>
      <w:numFmt w:val="chineseCounting"/>
      <w:suff w:val="nothing"/>
      <w:lvlText w:val="%1、"/>
      <w:lvlJc w:val="left"/>
      <w:pPr>
        <w:ind w:left="0" w:firstLine="0"/>
      </w:pPr>
      <w:rPr>
        <w:rFonts w:ascii="宋体" w:eastAsia="宋体" w:hAnsi="宋体" w:cs="Times New Roman" w:hint="eastAsia"/>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nsid w:val="F248DF3E"/>
    <w:multiLevelType w:val="multilevel"/>
    <w:tmpl w:val="F248DF3E"/>
    <w:lvl w:ilvl="0">
      <w:start w:val="3"/>
      <w:numFmt w:val="decimal"/>
      <w:lvlText w:val="%1."/>
      <w:lvlJc w:val="left"/>
      <w:pPr>
        <w:tabs>
          <w:tab w:val="left" w:pos="312"/>
        </w:tabs>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nsid w:val="41988915"/>
    <w:multiLevelType w:val="multilevel"/>
    <w:tmpl w:val="41988915"/>
    <w:lvl w:ilvl="0">
      <w:start w:val="1"/>
      <w:numFmt w:val="chineseCounting"/>
      <w:suff w:val="nothing"/>
      <w:lvlText w:val="%1、"/>
      <w:lvlJc w:val="left"/>
      <w:pPr>
        <w:ind w:left="0" w:firstLine="0"/>
      </w:pPr>
      <w:rPr>
        <w:rFonts w:ascii="宋体" w:eastAsia="宋体" w:hAnsi="宋体" w:cs="宋体" w:hint="eastAsia"/>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50733E8"/>
    <w:rsid w:val="000711BE"/>
    <w:rsid w:val="005B6855"/>
    <w:rsid w:val="00741D26"/>
    <w:rsid w:val="008A0033"/>
    <w:rsid w:val="00B15E81"/>
    <w:rsid w:val="00D64674"/>
    <w:rsid w:val="00F36E09"/>
    <w:rsid w:val="050733E8"/>
    <w:rsid w:val="53271077"/>
    <w:rsid w:val="67650F80"/>
    <w:rsid w:val="6AA12815"/>
    <w:rsid w:val="7D3A232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78EEF56-53F3-4ECF-8145-BBC2A74CE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pPr>
      <w:ind w:firstLineChars="200" w:firstLine="420"/>
      <w:jc w:val="left"/>
    </w:pPr>
    <w:rPr>
      <w:rFonts w:ascii="宋体" w:eastAsia="宋体" w:hAnsi="宋体" w:cs="Times New Roman" w:hint="eastAsia"/>
      <w:kern w:val="0"/>
      <w:sz w:val="24"/>
    </w:rPr>
  </w:style>
  <w:style w:type="paragraph" w:styleId="a4">
    <w:name w:val="footer"/>
    <w:basedOn w:val="a"/>
    <w:link w:val="Char"/>
    <w:pPr>
      <w:tabs>
        <w:tab w:val="center" w:pos="4153"/>
        <w:tab w:val="right" w:pos="8306"/>
      </w:tabs>
      <w:snapToGrid w:val="0"/>
      <w:jc w:val="left"/>
    </w:pPr>
    <w:rPr>
      <w:sz w:val="18"/>
      <w:szCs w:val="18"/>
    </w:rPr>
  </w:style>
  <w:style w:type="paragraph" w:styleId="a5">
    <w:name w:val="header"/>
    <w:basedOn w:val="a"/>
    <w:link w:val="Char0"/>
    <w:pPr>
      <w:pBdr>
        <w:bottom w:val="single" w:sz="6" w:space="1" w:color="auto"/>
      </w:pBdr>
      <w:tabs>
        <w:tab w:val="center" w:pos="4153"/>
        <w:tab w:val="right" w:pos="8306"/>
      </w:tabs>
      <w:snapToGrid w:val="0"/>
      <w:jc w:val="center"/>
    </w:pPr>
    <w:rPr>
      <w:sz w:val="18"/>
      <w:szCs w:val="18"/>
    </w:rPr>
  </w:style>
  <w:style w:type="paragraph" w:styleId="a6">
    <w:name w:val="Normal (Web)"/>
    <w:basedOn w:val="a"/>
    <w:pPr>
      <w:spacing w:beforeAutospacing="1" w:afterAutospacing="1"/>
      <w:jc w:val="left"/>
    </w:pPr>
    <w:rPr>
      <w:rFonts w:ascii="宋体" w:eastAsia="宋体" w:hAnsi="宋体" w:cs="Times New Roman"/>
      <w:kern w:val="0"/>
      <w:sz w:val="24"/>
    </w:rPr>
  </w:style>
  <w:style w:type="character" w:customStyle="1" w:styleId="10">
    <w:name w:val="10"/>
    <w:basedOn w:val="a0"/>
    <w:rPr>
      <w:rFonts w:ascii="Times New Roman" w:hAnsi="Times New Roman" w:cs="Times New Roman" w:hint="default"/>
    </w:rPr>
  </w:style>
  <w:style w:type="character" w:customStyle="1" w:styleId="15">
    <w:name w:val="15"/>
    <w:basedOn w:val="a0"/>
    <w:rPr>
      <w:rFonts w:ascii="Times New Roman" w:hAnsi="Times New Roman" w:cs="Times New Roman" w:hint="default"/>
      <w:b/>
    </w:rPr>
  </w:style>
  <w:style w:type="paragraph" w:customStyle="1" w:styleId="a7">
    <w:name w:val="附注表格正文"/>
    <w:basedOn w:val="a"/>
    <w:pPr>
      <w:jc w:val="right"/>
    </w:pPr>
    <w:rPr>
      <w:rFonts w:ascii="宋体" w:eastAsia="宋体" w:hAnsi="宋体" w:cs="Times New Roman" w:hint="eastAsia"/>
      <w:kern w:val="0"/>
      <w:sz w:val="18"/>
      <w:szCs w:val="18"/>
    </w:rPr>
  </w:style>
  <w:style w:type="character" w:customStyle="1" w:styleId="Char0">
    <w:name w:val="页眉 Char"/>
    <w:basedOn w:val="a0"/>
    <w:link w:val="a5"/>
    <w:qFormat/>
    <w:rPr>
      <w:rFonts w:asciiTheme="minorHAnsi" w:eastAsiaTheme="minorEastAsia" w:hAnsiTheme="minorHAnsi" w:cstheme="minorBidi"/>
      <w:kern w:val="2"/>
      <w:sz w:val="18"/>
      <w:szCs w:val="18"/>
    </w:rPr>
  </w:style>
  <w:style w:type="character" w:customStyle="1" w:styleId="Char">
    <w:name w:val="页脚 Char"/>
    <w:basedOn w:val="a0"/>
    <w:link w:val="a4"/>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3417</Words>
  <Characters>19479</Characters>
  <Application>Microsoft Office Word</Application>
  <DocSecurity>0</DocSecurity>
  <Lines>162</Lines>
  <Paragraphs>45</Paragraphs>
  <ScaleCrop>false</ScaleCrop>
  <Company>微软中国</Company>
  <LinksUpToDate>false</LinksUpToDate>
  <CharactersWithSpaces>22851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dc:creator>
  <cp:lastModifiedBy>林琪</cp:lastModifiedBy>
  <cp:revision>8</cp:revision>
  <cp:lastPrinted>2020-09-27T02:37:00Z</cp:lastPrinted>
  <dcterms:created xsi:type="dcterms:W3CDTF">2020-09-25T09:16:00Z</dcterms:created>
  <dcterms:modified xsi:type="dcterms:W3CDTF">2021-12-04T09:29:00Z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