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eastAsia="黑体"/>
          <w:sz w:val="32"/>
          <w:szCs w:val="32"/>
        </w:rPr>
      </w:pPr>
    </w:p>
    <w:p>
      <w:pPr>
        <w:spacing w:line="590" w:lineRule="exact"/>
        <w:rPr>
          <w:rFonts w:ascii="黑体" w:hAnsi="ˎ̥" w:eastAsia="黑体" w:cs="宋体"/>
          <w:sz w:val="32"/>
          <w:szCs w:val="32"/>
        </w:rPr>
      </w:pPr>
    </w:p>
    <w:p>
      <w:pPr>
        <w:spacing w:line="590" w:lineRule="exact"/>
        <w:jc w:val="center"/>
        <w:rPr>
          <w:rFonts w:ascii="方正小标宋简体" w:hAnsi="ˎ̥" w:eastAsia="方正小标宋简体" w:cs="宋体"/>
          <w:b/>
          <w:bCs/>
          <w:sz w:val="44"/>
          <w:szCs w:val="44"/>
        </w:rPr>
      </w:pPr>
      <w:r>
        <w:rPr>
          <w:rFonts w:hint="eastAsia" w:ascii="方正小标宋简体" w:hAnsi="ˎ̥" w:eastAsia="方正小标宋简体" w:cs="宋体"/>
          <w:sz w:val="44"/>
          <w:szCs w:val="44"/>
        </w:rPr>
        <w:t>温岭市投资促进中心2021年部门预算</w:t>
      </w:r>
    </w:p>
    <w:p>
      <w:pPr>
        <w:spacing w:line="590" w:lineRule="exact"/>
        <w:ind w:firstLine="640" w:firstLineChars="200"/>
        <w:rPr>
          <w:rFonts w:ascii="仿宋_GB2312" w:hAnsi="ˎ̥" w:eastAsia="仿宋_GB2312" w:cs="宋体"/>
          <w:sz w:val="32"/>
          <w:szCs w:val="32"/>
        </w:rPr>
      </w:pPr>
    </w:p>
    <w:p>
      <w:pPr>
        <w:spacing w:line="590" w:lineRule="exact"/>
        <w:ind w:firstLine="640" w:firstLineChars="200"/>
        <w:rPr>
          <w:rFonts w:ascii="黑体" w:hAnsi="ˎ̥" w:eastAsia="黑体" w:cs="宋体"/>
          <w:sz w:val="32"/>
          <w:szCs w:val="32"/>
        </w:rPr>
      </w:pPr>
      <w:r>
        <w:rPr>
          <w:rFonts w:hint="eastAsia" w:ascii="黑体" w:hAnsi="ˎ̥" w:eastAsia="黑体" w:cs="宋体"/>
          <w:sz w:val="32"/>
          <w:szCs w:val="32"/>
        </w:rPr>
        <w:t>一、温岭市投资促进中心概况</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（一）主要职能</w:t>
      </w:r>
    </w:p>
    <w:p>
      <w:pPr>
        <w:spacing w:line="590" w:lineRule="exact"/>
        <w:ind w:left="425" w:firstLine="640" w:firstLineChars="200"/>
        <w:rPr>
          <w:rFonts w:ascii="仿宋_GB2312" w:eastAsia="仿宋_GB2312"/>
          <w:bCs/>
          <w:sz w:val="32"/>
          <w:szCs w:val="32"/>
        </w:rPr>
      </w:pPr>
      <w:r>
        <w:rPr>
          <w:rFonts w:hint="eastAsia" w:ascii="仿宋_GB2312" w:eastAsia="仿宋_GB2312"/>
          <w:bCs/>
          <w:sz w:val="32"/>
          <w:szCs w:val="32"/>
        </w:rPr>
        <w:t>1.参与拟订全市投资促进的发展战略、中长期规划和年度计划，并组织实施；参与全市投资促进趋势的研究，并提出相关对策建议。</w:t>
      </w:r>
    </w:p>
    <w:p>
      <w:pPr>
        <w:spacing w:line="590" w:lineRule="exact"/>
        <w:ind w:left="425" w:firstLine="640" w:firstLineChars="200"/>
        <w:rPr>
          <w:rFonts w:ascii="仿宋_GB2312" w:eastAsia="仿宋_GB2312"/>
          <w:bCs/>
          <w:sz w:val="32"/>
          <w:szCs w:val="32"/>
        </w:rPr>
      </w:pPr>
      <w:r>
        <w:rPr>
          <w:rFonts w:hint="eastAsia" w:ascii="仿宋_GB2312" w:eastAsia="仿宋_GB2312"/>
          <w:bCs/>
          <w:sz w:val="32"/>
          <w:szCs w:val="32"/>
        </w:rPr>
        <w:t>2.统筹协调和指导全市投资促进、境内外产业招引工作，牵头开展支持浙商创业创新工作；组织协调全市性重大招商活动和合作项目推介活动，协调督促重大签约项目的推进及合作项目的实施；参与或配合有关部门开展专业性招商引资活动。</w:t>
      </w:r>
    </w:p>
    <w:p>
      <w:pPr>
        <w:spacing w:line="590" w:lineRule="exact"/>
        <w:ind w:left="425" w:firstLine="640" w:firstLineChars="200"/>
        <w:rPr>
          <w:rFonts w:ascii="仿宋_GB2312" w:eastAsia="仿宋_GB2312"/>
          <w:bCs/>
          <w:sz w:val="32"/>
          <w:szCs w:val="32"/>
        </w:rPr>
      </w:pPr>
      <w:r>
        <w:rPr>
          <w:rFonts w:hint="eastAsia" w:ascii="仿宋_GB2312" w:eastAsia="仿宋_GB2312"/>
          <w:bCs/>
          <w:sz w:val="32"/>
          <w:szCs w:val="32"/>
        </w:rPr>
        <w:t>3.承担或参与赴市外举办投资促进、合作洽谈活动的组织、服务工作。</w:t>
      </w:r>
    </w:p>
    <w:p>
      <w:pPr>
        <w:spacing w:line="590" w:lineRule="exact"/>
        <w:ind w:left="425" w:firstLine="640" w:firstLineChars="200"/>
        <w:rPr>
          <w:rFonts w:ascii="仿宋_GB2312" w:eastAsia="仿宋_GB2312"/>
          <w:bCs/>
          <w:sz w:val="32"/>
          <w:szCs w:val="32"/>
        </w:rPr>
      </w:pPr>
      <w:r>
        <w:rPr>
          <w:rFonts w:hint="eastAsia" w:ascii="仿宋_GB2312" w:eastAsia="仿宋_GB2312"/>
          <w:bCs/>
          <w:sz w:val="32"/>
          <w:szCs w:val="32"/>
        </w:rPr>
        <w:t>4.负责全市招商政策、重大招引项目和投资环境的统一宣传；负责全市招商引资信息的收集、筛选、发布和服务。</w:t>
      </w:r>
    </w:p>
    <w:p>
      <w:pPr>
        <w:spacing w:line="590" w:lineRule="exact"/>
        <w:ind w:left="425" w:firstLine="640" w:firstLineChars="200"/>
        <w:rPr>
          <w:rFonts w:ascii="仿宋_GB2312" w:eastAsia="仿宋_GB2312"/>
          <w:bCs/>
          <w:sz w:val="32"/>
          <w:szCs w:val="32"/>
        </w:rPr>
      </w:pPr>
      <w:r>
        <w:rPr>
          <w:rFonts w:hint="eastAsia" w:ascii="仿宋_GB2312" w:eastAsia="仿宋_GB2312"/>
          <w:bCs/>
          <w:sz w:val="32"/>
          <w:szCs w:val="32"/>
        </w:rPr>
        <w:t>5.参与异地温岭商会等社团组织的联络、服务及回归投资协调工作。</w:t>
      </w:r>
    </w:p>
    <w:p>
      <w:pPr>
        <w:spacing w:line="590" w:lineRule="exact"/>
        <w:ind w:left="425" w:firstLine="640" w:firstLineChars="200"/>
        <w:rPr>
          <w:rFonts w:ascii="仿宋_GB2312" w:eastAsia="仿宋_GB2312"/>
          <w:bCs/>
          <w:sz w:val="32"/>
          <w:szCs w:val="32"/>
        </w:rPr>
      </w:pPr>
      <w:r>
        <w:rPr>
          <w:rFonts w:hint="eastAsia" w:ascii="仿宋_GB2312" w:eastAsia="仿宋_GB2312"/>
          <w:bCs/>
          <w:sz w:val="32"/>
          <w:szCs w:val="32"/>
        </w:rPr>
        <w:t>6.负责建立全市投资促进工作综合评价体系，参与制定投资促进、考核奖励办法并组织实施。</w:t>
      </w:r>
    </w:p>
    <w:p>
      <w:pPr>
        <w:spacing w:line="590" w:lineRule="exact"/>
        <w:ind w:left="425" w:firstLine="640" w:firstLineChars="200"/>
        <w:rPr>
          <w:rFonts w:ascii="仿宋_GB2312" w:eastAsia="仿宋_GB2312"/>
          <w:bCs/>
          <w:sz w:val="32"/>
          <w:szCs w:val="32"/>
        </w:rPr>
      </w:pPr>
      <w:r>
        <w:rPr>
          <w:rFonts w:hint="eastAsia" w:ascii="仿宋_GB2312" w:eastAsia="仿宋_GB2312"/>
          <w:bCs/>
          <w:sz w:val="32"/>
          <w:szCs w:val="32"/>
        </w:rPr>
        <w:t>7.指导全市投资促进队伍业务建设。</w:t>
      </w:r>
    </w:p>
    <w:p>
      <w:pPr>
        <w:spacing w:line="590" w:lineRule="exact"/>
        <w:ind w:left="425" w:firstLine="640" w:firstLineChars="200"/>
        <w:rPr>
          <w:rFonts w:ascii="仿宋_GB2312" w:eastAsia="仿宋_GB2312"/>
          <w:bCs/>
          <w:sz w:val="32"/>
          <w:szCs w:val="32"/>
        </w:rPr>
      </w:pPr>
      <w:r>
        <w:rPr>
          <w:rFonts w:hint="eastAsia" w:ascii="仿宋_GB2312" w:eastAsia="仿宋_GB2312"/>
          <w:bCs/>
          <w:sz w:val="32"/>
          <w:szCs w:val="32"/>
        </w:rPr>
        <w:t>8.完成市委、市政府交办的其他任务。</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（二）部门（单位）机构设置情况</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从预算单位构成看，投资促进中心部门预算包括：局本级预算。</w:t>
      </w:r>
    </w:p>
    <w:p>
      <w:pPr>
        <w:spacing w:line="590" w:lineRule="exact"/>
        <w:ind w:firstLine="640" w:firstLineChars="200"/>
        <w:rPr>
          <w:rFonts w:ascii="黑体" w:hAnsi="ˎ̥" w:eastAsia="黑体" w:cs="宋体"/>
          <w:sz w:val="32"/>
          <w:szCs w:val="32"/>
        </w:rPr>
      </w:pPr>
      <w:r>
        <w:rPr>
          <w:rFonts w:hint="eastAsia" w:ascii="黑体" w:hAnsi="ˎ̥" w:eastAsia="黑体" w:cs="宋体"/>
          <w:sz w:val="32"/>
          <w:szCs w:val="32"/>
        </w:rPr>
        <w:t>二、投资促进中心2021年部门预算安排情况说明</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（一）关于投资促进中心2021年收支预算情况的总体说明</w:t>
      </w:r>
    </w:p>
    <w:p>
      <w:pPr>
        <w:spacing w:line="590" w:lineRule="exact"/>
        <w:ind w:firstLine="640" w:firstLineChars="200"/>
        <w:rPr>
          <w:rFonts w:ascii="仿宋_GB2312" w:eastAsia="仿宋_GB2312"/>
          <w:color w:val="000000"/>
          <w:sz w:val="32"/>
          <w:szCs w:val="32"/>
        </w:rPr>
      </w:pPr>
      <w:r>
        <w:rPr>
          <w:rFonts w:hint="eastAsia" w:ascii="仿宋_GB2312" w:eastAsia="仿宋_GB2312"/>
          <w:bCs/>
          <w:color w:val="000000"/>
          <w:sz w:val="32"/>
          <w:szCs w:val="32"/>
        </w:rPr>
        <w:t>按照综合预算的原则，</w:t>
      </w:r>
      <w:r>
        <w:rPr>
          <w:rFonts w:hint="eastAsia" w:ascii="仿宋_GB2312" w:eastAsia="仿宋_GB2312"/>
          <w:color w:val="000000"/>
          <w:sz w:val="32"/>
          <w:szCs w:val="32"/>
        </w:rPr>
        <w:t>投资促进中心所有收入和支出均纳入部门预算管理。收入包括：一般公共预算拨款收入；支出包括：一般公共服务支出、社会保障和就业支出。投资促进中心2021年收支总预算574.90万元。</w:t>
      </w:r>
    </w:p>
    <w:p>
      <w:pPr>
        <w:spacing w:line="590" w:lineRule="exact"/>
        <w:ind w:firstLine="643" w:firstLineChars="200"/>
        <w:rPr>
          <w:rFonts w:eastAsia="仿宋_GB2312"/>
          <w:b/>
          <w:bCs/>
          <w:sz w:val="32"/>
          <w:szCs w:val="32"/>
        </w:rPr>
      </w:pPr>
      <w:r>
        <w:rPr>
          <w:rFonts w:hint="eastAsia" w:ascii="仿宋_GB2312" w:hAnsi="ˎ̥" w:eastAsia="仿宋_GB2312" w:cs="宋体"/>
          <w:b/>
          <w:bCs/>
          <w:sz w:val="32"/>
          <w:szCs w:val="32"/>
        </w:rPr>
        <w:t>（二）关于投资促进中心2021年收入预算情况说明</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投资促进中心2021年收入预算574.90万元，</w:t>
      </w:r>
      <w:r>
        <w:rPr>
          <w:rFonts w:hint="eastAsia" w:ascii="仿宋_GB2312" w:hAnsi="ˎ̥" w:eastAsia="仿宋_GB2312" w:cs="宋体"/>
          <w:sz w:val="32"/>
          <w:szCs w:val="32"/>
        </w:rPr>
        <w:t>比上年收入执行数减少46.49万元，减少7.48%</w:t>
      </w:r>
      <w:r>
        <w:rPr>
          <w:rFonts w:hint="eastAsia" w:ascii="仿宋_GB2312" w:eastAsia="仿宋_GB2312"/>
          <w:color w:val="000000"/>
          <w:sz w:val="32"/>
          <w:szCs w:val="32"/>
        </w:rPr>
        <w:t>，主要原因是20年人员增多，经费增加。</w:t>
      </w:r>
    </w:p>
    <w:p>
      <w:pPr>
        <w:spacing w:line="590" w:lineRule="exact"/>
        <w:ind w:firstLine="640" w:firstLineChars="200"/>
        <w:rPr>
          <w:rFonts w:ascii="仿宋_GB2312" w:hAnsi="ˎ̥" w:eastAsia="仿宋_GB2312" w:cs="宋体"/>
          <w:sz w:val="32"/>
          <w:szCs w:val="32"/>
        </w:rPr>
      </w:pPr>
      <w:r>
        <w:rPr>
          <w:rFonts w:hint="eastAsia" w:ascii="仿宋_GB2312" w:eastAsia="仿宋_GB2312"/>
          <w:color w:val="000000"/>
          <w:sz w:val="32"/>
          <w:szCs w:val="32"/>
        </w:rPr>
        <w:t xml:space="preserve">其中：一般公共预算拨款收入574.90万元，占100.00%；      </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（三）关于投资促进中心2021年支出预算情况说明</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投资促进中心2021年支出预算574.90万元，比上年支出增加33.59万元，增长6.21%，</w:t>
      </w:r>
      <w:r>
        <w:rPr>
          <w:rFonts w:hint="eastAsia" w:ascii="仿宋_GB2312" w:eastAsia="仿宋_GB2312"/>
          <w:color w:val="000000"/>
          <w:sz w:val="32"/>
          <w:szCs w:val="32"/>
        </w:rPr>
        <w:t>主要原因是人员经费增加。</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1.按支出功能分类，包括一般公共服务支出574.90万元。</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2.按支出用途分类，包括人员支出225.83万元，占39.28%；日常公用支出31.07万元，占5.41%；项目支出318万元，占55.31%。</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（四）关于投资促进中心2021年财政拨款收支预算情况的总体说明</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投资促进中心2021年财政拨款收支总预算574.90万元，</w:t>
      </w:r>
      <w:r>
        <w:rPr>
          <w:rFonts w:hint="eastAsia" w:ascii="仿宋_GB2312" w:hAnsi="ˎ̥" w:eastAsia="仿宋_GB2312" w:cs="宋体"/>
          <w:sz w:val="32"/>
          <w:szCs w:val="32"/>
        </w:rPr>
        <w:t>比上年执行数增加33.59万元，增长6.21%，</w:t>
      </w:r>
      <w:r>
        <w:rPr>
          <w:rFonts w:hint="eastAsia" w:ascii="仿宋_GB2312" w:eastAsia="仿宋_GB2312"/>
          <w:color w:val="000000"/>
          <w:sz w:val="32"/>
          <w:szCs w:val="32"/>
        </w:rPr>
        <w:t>主要原因是人员经费增加。</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收入包括：一般公共预算574.90万元。</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支出包括：一般公共服务支出574.90万元。</w:t>
      </w:r>
    </w:p>
    <w:p>
      <w:pPr>
        <w:spacing w:line="590" w:lineRule="exact"/>
        <w:ind w:firstLine="643" w:firstLineChars="200"/>
        <w:rPr>
          <w:rFonts w:ascii="仿宋_GB2312" w:eastAsia="仿宋_GB2312"/>
          <w:b/>
          <w:bCs/>
          <w:color w:val="000000"/>
          <w:sz w:val="32"/>
          <w:szCs w:val="32"/>
        </w:rPr>
      </w:pPr>
      <w:r>
        <w:rPr>
          <w:rFonts w:hint="eastAsia" w:ascii="仿宋_GB2312" w:hAnsi="ˎ̥" w:eastAsia="仿宋_GB2312" w:cs="宋体"/>
          <w:b/>
          <w:bCs/>
          <w:sz w:val="32"/>
          <w:szCs w:val="32"/>
        </w:rPr>
        <w:t>（五）关于</w:t>
      </w:r>
      <w:r>
        <w:rPr>
          <w:rFonts w:hint="eastAsia" w:ascii="仿宋_GB2312" w:eastAsia="仿宋_GB2312"/>
          <w:b/>
          <w:bCs/>
          <w:color w:val="000000"/>
          <w:sz w:val="32"/>
          <w:szCs w:val="32"/>
        </w:rPr>
        <w:t>投资促进中心2021年</w:t>
      </w:r>
      <w:r>
        <w:rPr>
          <w:rFonts w:hint="eastAsia" w:ascii="仿宋_GB2312" w:hAnsi="ˎ̥" w:eastAsia="仿宋_GB2312" w:cs="宋体"/>
          <w:b/>
          <w:bCs/>
          <w:sz w:val="32"/>
          <w:szCs w:val="32"/>
        </w:rPr>
        <w:t>一般公共预算当年拨款情况说明</w:t>
      </w:r>
    </w:p>
    <w:p>
      <w:pPr>
        <w:spacing w:line="590" w:lineRule="exact"/>
        <w:ind w:firstLine="642"/>
        <w:rPr>
          <w:rFonts w:ascii="仿宋_GB2312" w:eastAsia="仿宋_GB2312"/>
          <w:color w:val="000000"/>
          <w:sz w:val="32"/>
          <w:szCs w:val="32"/>
        </w:rPr>
      </w:pPr>
      <w:r>
        <w:rPr>
          <w:rFonts w:hint="eastAsia" w:ascii="楷体_GB2312" w:hAnsi="楷体_GB2312" w:eastAsia="楷体_GB2312" w:cs="楷体_GB2312"/>
          <w:b/>
          <w:color w:val="000000"/>
          <w:sz w:val="32"/>
          <w:szCs w:val="32"/>
        </w:rPr>
        <w:t>1.一般公共预算当年拨款规模变化情况。</w:t>
      </w:r>
    </w:p>
    <w:p>
      <w:pPr>
        <w:spacing w:line="590" w:lineRule="exact"/>
        <w:ind w:firstLine="640" w:firstLineChars="200"/>
        <w:rPr>
          <w:sz w:val="32"/>
          <w:szCs w:val="32"/>
        </w:rPr>
      </w:pPr>
      <w:r>
        <w:rPr>
          <w:rFonts w:hint="eastAsia" w:ascii="仿宋_GB2312" w:eastAsia="仿宋_GB2312"/>
          <w:color w:val="000000"/>
          <w:sz w:val="32"/>
          <w:szCs w:val="32"/>
        </w:rPr>
        <w:t>投资促进中心2021年一般公共预算当年拨款574.90万元，比上年年执行数增加33.59万元，</w:t>
      </w:r>
      <w:r>
        <w:rPr>
          <w:rFonts w:hint="eastAsia" w:ascii="仿宋_GB2312" w:hAnsi="ˎ̥" w:eastAsia="仿宋_GB2312" w:cs="宋体"/>
          <w:sz w:val="32"/>
          <w:szCs w:val="32"/>
        </w:rPr>
        <w:t>增长6.21%，</w:t>
      </w:r>
      <w:r>
        <w:rPr>
          <w:rFonts w:hint="eastAsia" w:ascii="仿宋_GB2312" w:eastAsia="仿宋_GB2312"/>
          <w:color w:val="000000"/>
          <w:sz w:val="32"/>
          <w:szCs w:val="32"/>
        </w:rPr>
        <w:t>主要原因是人员经费增加。</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2. 一般公共预算当年拨款结构情况</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一般公共服务（类）支出574.90万元，占100%；。</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3. 一般公共预算当年拨款具体使用情况</w:t>
      </w:r>
    </w:p>
    <w:p>
      <w:pPr>
        <w:spacing w:line="590" w:lineRule="exact"/>
        <w:ind w:firstLine="640"/>
        <w:rPr>
          <w:rFonts w:ascii="仿宋_GB2312" w:eastAsia="仿宋_GB2312"/>
          <w:color w:val="000000"/>
          <w:sz w:val="32"/>
          <w:szCs w:val="32"/>
        </w:rPr>
      </w:pPr>
      <w:r>
        <w:rPr>
          <w:rFonts w:hint="eastAsia" w:ascii="仿宋_GB2312" w:eastAsia="仿宋_GB2312"/>
          <w:color w:val="000000"/>
          <w:sz w:val="32"/>
          <w:szCs w:val="32"/>
        </w:rPr>
        <w:t>（1）一般公共服务支出（类）商贸事务（款）招商引资（项）318.00万元，主要用于印刷费、宣传费、差旅费、会议费、培训费、租赁费、公务接待费、劳务费、其他商品和服务支出等。</w:t>
      </w:r>
    </w:p>
    <w:p>
      <w:pPr>
        <w:spacing w:line="590" w:lineRule="exact"/>
        <w:ind w:firstLine="640"/>
        <w:rPr>
          <w:rFonts w:ascii="仿宋_GB2312" w:eastAsia="仿宋_GB2312"/>
          <w:color w:val="000000"/>
          <w:sz w:val="32"/>
          <w:szCs w:val="32"/>
        </w:rPr>
      </w:pPr>
      <w:r>
        <w:rPr>
          <w:rFonts w:hint="eastAsia" w:ascii="仿宋_GB2312" w:eastAsia="仿宋_GB2312"/>
          <w:color w:val="000000"/>
          <w:sz w:val="32"/>
          <w:szCs w:val="32"/>
        </w:rPr>
        <w:t>（2）一般公共服务支出（类）商贸事务（款）事业运行（项）230.85万元，主要用于基本工资、津贴补贴、奖金、社会保障缴费、绩效工资、其他工资福利支出、医疗费、住房公积金、其他对个人和家庭的补助支出、公务用车运行维护费等。</w:t>
      </w:r>
    </w:p>
    <w:p>
      <w:pPr>
        <w:spacing w:line="590" w:lineRule="exact"/>
        <w:ind w:firstLine="640"/>
        <w:rPr>
          <w:rFonts w:ascii="仿宋_GB2312" w:eastAsia="仿宋_GB2312"/>
          <w:color w:val="000000"/>
          <w:sz w:val="32"/>
          <w:szCs w:val="32"/>
        </w:rPr>
      </w:pPr>
      <w:r>
        <w:rPr>
          <w:rFonts w:hint="eastAsia" w:ascii="仿宋_GB2312" w:eastAsia="仿宋_GB2312"/>
          <w:color w:val="000000"/>
          <w:sz w:val="32"/>
          <w:szCs w:val="32"/>
        </w:rPr>
        <w:t xml:space="preserve"> （3）一般公共服务支出（类）商贸事务（款）行政运行（项）1.38万元，主要用于参公退休人员社会保障缴费、医疗费、其他工资福利支出、其他对个人和家庭的补助支出等。</w:t>
      </w:r>
    </w:p>
    <w:p>
      <w:pPr>
        <w:spacing w:line="590" w:lineRule="exact"/>
        <w:ind w:firstLine="640"/>
        <w:rPr>
          <w:rFonts w:ascii="仿宋_GB2312" w:eastAsia="仿宋_GB2312"/>
          <w:color w:val="000000"/>
          <w:sz w:val="32"/>
          <w:szCs w:val="32"/>
        </w:rPr>
      </w:pPr>
      <w:r>
        <w:rPr>
          <w:rFonts w:hint="eastAsia" w:ascii="仿宋_GB2312" w:eastAsia="仿宋_GB2312"/>
          <w:color w:val="000000"/>
          <w:sz w:val="32"/>
          <w:szCs w:val="32"/>
        </w:rPr>
        <w:t xml:space="preserve"> （4）社会保障和就业支出（类）行政事业单位养老支出（款）机关事业单位基本养老保险缴费支出（项）16.44万元，主要用于机关事业单位在职人员基本养老保险缴费支出。</w:t>
      </w:r>
    </w:p>
    <w:p>
      <w:pPr>
        <w:spacing w:line="590" w:lineRule="exact"/>
        <w:ind w:firstLine="640"/>
        <w:rPr>
          <w:rFonts w:ascii="仿宋_GB2312" w:eastAsia="仿宋_GB2312"/>
          <w:color w:val="000000"/>
          <w:sz w:val="32"/>
          <w:szCs w:val="32"/>
        </w:rPr>
      </w:pPr>
      <w:r>
        <w:rPr>
          <w:rFonts w:hint="eastAsia" w:ascii="仿宋_GB2312" w:eastAsia="仿宋_GB2312"/>
          <w:color w:val="000000"/>
          <w:sz w:val="32"/>
          <w:szCs w:val="32"/>
        </w:rPr>
        <w:t>（5）社会保障和就业支出（类）行政事业单位养老支出（款）机关事业单位职业年金缴费支出（项）8.22万元，主要用于机关事业单位在职人员基本职业年金缴费支出。</w:t>
      </w:r>
    </w:p>
    <w:p>
      <w:pPr>
        <w:spacing w:line="590" w:lineRule="exact"/>
        <w:ind w:firstLine="640"/>
        <w:rPr>
          <w:rFonts w:ascii="仿宋_GB2312" w:hAnsi="ˎ̥" w:eastAsia="仿宋_GB2312" w:cs="宋体"/>
          <w:b/>
          <w:bCs/>
          <w:sz w:val="32"/>
          <w:szCs w:val="32"/>
        </w:rPr>
      </w:pPr>
      <w:r>
        <w:rPr>
          <w:rFonts w:hint="eastAsia" w:ascii="仿宋_GB2312" w:eastAsia="仿宋_GB2312"/>
          <w:b/>
          <w:bCs/>
          <w:color w:val="000000"/>
          <w:sz w:val="32"/>
          <w:szCs w:val="32"/>
        </w:rPr>
        <w:t>（六）关于投资促进中心2021年一</w:t>
      </w:r>
      <w:r>
        <w:rPr>
          <w:rFonts w:hint="eastAsia" w:ascii="仿宋_GB2312" w:hAnsi="ˎ̥" w:eastAsia="仿宋_GB2312" w:cs="宋体"/>
          <w:b/>
          <w:bCs/>
          <w:sz w:val="32"/>
          <w:szCs w:val="32"/>
        </w:rPr>
        <w:t>般公共预算基本支出情况说明</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投资促进中心2021年一般公共预算基本支出</w:t>
      </w:r>
      <w:r>
        <w:rPr>
          <w:rFonts w:hint="eastAsia" w:ascii="仿宋_GB2312" w:eastAsia="仿宋_GB2312"/>
          <w:color w:val="000000"/>
          <w:sz w:val="32"/>
          <w:szCs w:val="32"/>
        </w:rPr>
        <w:t>574.90</w:t>
      </w:r>
      <w:r>
        <w:rPr>
          <w:rFonts w:hint="eastAsia" w:ascii="仿宋_GB2312" w:hAnsi="ˎ̥" w:eastAsia="仿宋_GB2312" w:cs="宋体"/>
          <w:sz w:val="32"/>
          <w:szCs w:val="32"/>
        </w:rPr>
        <w:t>万元，其中：</w:t>
      </w:r>
    </w:p>
    <w:p>
      <w:pPr>
        <w:spacing w:line="590" w:lineRule="exact"/>
        <w:ind w:firstLine="642"/>
        <w:rPr>
          <w:rFonts w:ascii="仿宋_GB2312" w:eastAsia="仿宋_GB2312"/>
          <w:sz w:val="32"/>
          <w:szCs w:val="32"/>
        </w:rPr>
      </w:pPr>
      <w:r>
        <w:rPr>
          <w:rFonts w:hint="eastAsia" w:ascii="仿宋_GB2312" w:eastAsia="仿宋_GB2312"/>
          <w:color w:val="000000"/>
          <w:sz w:val="32"/>
          <w:szCs w:val="32"/>
        </w:rPr>
        <w:t>人员经费223.95万元，主要包括：基本工资、津贴补贴、奖金、伙食补助费、绩效工资、机关事业单位基本养老保险缴费、职业年金缴费、职工基本医疗保险缴费、公务员医疗补助缴费、其他社会保障缴费、住房公积金、医疗费、其他工资福利支出</w:t>
      </w:r>
      <w:r>
        <w:rPr>
          <w:rFonts w:hint="eastAsia" w:ascii="仿宋_GB2312" w:eastAsia="仿宋_GB2312"/>
          <w:sz w:val="32"/>
          <w:szCs w:val="32"/>
        </w:rPr>
        <w:t>。</w:t>
      </w:r>
    </w:p>
    <w:p>
      <w:pPr>
        <w:spacing w:line="590" w:lineRule="exact"/>
        <w:ind w:firstLine="642"/>
        <w:rPr>
          <w:rFonts w:ascii="仿宋_GB2312" w:eastAsia="仿宋_GB2312"/>
          <w:sz w:val="32"/>
          <w:szCs w:val="32"/>
        </w:rPr>
      </w:pPr>
      <w:r>
        <w:rPr>
          <w:rFonts w:hint="eastAsia" w:ascii="仿宋_GB2312" w:eastAsia="仿宋_GB2312"/>
          <w:color w:val="000000"/>
          <w:sz w:val="32"/>
          <w:szCs w:val="32"/>
        </w:rPr>
        <w:t>公用经费31.07万元，主要包括：印刷费、劳务费、工会经费、福利费、公务用车运行维护费、其他商品和服务支出</w:t>
      </w:r>
      <w:r>
        <w:rPr>
          <w:rFonts w:hint="eastAsia" w:ascii="仿宋_GB2312" w:eastAsia="仿宋_GB2312"/>
          <w:sz w:val="32"/>
          <w:szCs w:val="32"/>
        </w:rPr>
        <w:t>。</w:t>
      </w:r>
    </w:p>
    <w:p>
      <w:pPr>
        <w:spacing w:line="590" w:lineRule="exact"/>
        <w:ind w:firstLine="642"/>
        <w:rPr>
          <w:rFonts w:ascii="仿宋_GB2312" w:eastAsia="仿宋_GB2312"/>
          <w:sz w:val="32"/>
          <w:szCs w:val="32"/>
        </w:rPr>
      </w:pPr>
      <w:r>
        <w:rPr>
          <w:rFonts w:hint="eastAsia" w:ascii="仿宋_GB2312" w:eastAsia="仿宋_GB2312"/>
          <w:sz w:val="32"/>
          <w:szCs w:val="32"/>
        </w:rPr>
        <w:t>其他资本性支出</w:t>
      </w:r>
      <w:r>
        <w:rPr>
          <w:rFonts w:hint="eastAsia" w:ascii="仿宋_GB2312" w:eastAsia="仿宋_GB2312"/>
          <w:color w:val="000000"/>
          <w:sz w:val="32"/>
          <w:szCs w:val="32"/>
        </w:rPr>
        <w:t>0</w:t>
      </w:r>
      <w:r>
        <w:rPr>
          <w:rFonts w:hint="eastAsia" w:ascii="仿宋_GB2312" w:eastAsia="仿宋_GB2312"/>
          <w:sz w:val="32"/>
          <w:szCs w:val="32"/>
        </w:rPr>
        <w:t>万元。</w:t>
      </w:r>
    </w:p>
    <w:p>
      <w:pPr>
        <w:spacing w:line="590" w:lineRule="exact"/>
        <w:ind w:firstLine="642"/>
        <w:rPr>
          <w:rFonts w:ascii="仿宋_GB2312" w:eastAsia="仿宋_GB2312"/>
          <w:b/>
          <w:bCs/>
          <w:sz w:val="32"/>
          <w:szCs w:val="32"/>
        </w:rPr>
      </w:pPr>
      <w:r>
        <w:rPr>
          <w:rFonts w:hint="eastAsia" w:ascii="仿宋_GB2312" w:eastAsia="仿宋_GB2312"/>
          <w:b/>
          <w:bCs/>
          <w:sz w:val="32"/>
          <w:szCs w:val="32"/>
        </w:rPr>
        <w:t>（七）关于</w:t>
      </w:r>
      <w:r>
        <w:rPr>
          <w:rFonts w:hint="eastAsia" w:ascii="仿宋_GB2312" w:eastAsia="仿宋_GB2312"/>
          <w:b/>
          <w:bCs/>
          <w:color w:val="000000"/>
          <w:sz w:val="32"/>
          <w:szCs w:val="32"/>
        </w:rPr>
        <w:t>投资促进中心2021年</w:t>
      </w:r>
      <w:r>
        <w:rPr>
          <w:rFonts w:hint="eastAsia" w:ascii="仿宋_GB2312" w:eastAsia="仿宋_GB2312"/>
          <w:b/>
          <w:bCs/>
          <w:sz w:val="32"/>
          <w:szCs w:val="32"/>
        </w:rPr>
        <w:t>政府性基金预算支出情况说明</w:t>
      </w:r>
    </w:p>
    <w:p>
      <w:pPr>
        <w:spacing w:line="590" w:lineRule="exact"/>
        <w:ind w:firstLine="640" w:firstLineChars="200"/>
        <w:rPr>
          <w:rFonts w:ascii="仿宋_GB2312" w:hAnsi="ˎ̥" w:eastAsia="仿宋_GB2312" w:cs="宋体"/>
          <w:sz w:val="32"/>
          <w:szCs w:val="32"/>
        </w:rPr>
      </w:pPr>
      <w:r>
        <w:rPr>
          <w:rFonts w:hint="eastAsia" w:ascii="仿宋_GB2312" w:eastAsia="仿宋_GB2312"/>
          <w:sz w:val="32"/>
          <w:szCs w:val="32"/>
        </w:rPr>
        <w:t>投资促进中心2021年没有使用政府性基金预算拨款安排的支出。</w:t>
      </w:r>
    </w:p>
    <w:p>
      <w:pPr>
        <w:numPr>
          <w:ilvl w:val="0"/>
          <w:numId w:val="1"/>
        </w:numPr>
        <w:overflowPunct w:val="0"/>
        <w:autoSpaceDE w:val="0"/>
        <w:autoSpaceDN w:val="0"/>
        <w:adjustRightInd w:val="0"/>
        <w:spacing w:line="590" w:lineRule="exact"/>
        <w:ind w:firstLine="643" w:firstLineChars="200"/>
        <w:textAlignment w:val="baseline"/>
        <w:rPr>
          <w:rFonts w:ascii="仿宋_GB2312" w:hAnsi="ˎ̥" w:eastAsia="仿宋_GB2312" w:cs="宋体"/>
          <w:b/>
          <w:bCs/>
          <w:sz w:val="32"/>
          <w:szCs w:val="32"/>
        </w:rPr>
      </w:pPr>
      <w:r>
        <w:rPr>
          <w:rFonts w:hint="eastAsia" w:ascii="仿宋_GB2312" w:hAnsi="ˎ̥" w:eastAsia="仿宋_GB2312" w:cs="宋体"/>
          <w:b/>
          <w:bCs/>
          <w:sz w:val="32"/>
          <w:szCs w:val="32"/>
        </w:rPr>
        <w:t>关于投资促进中心2021年“三公”经费预算情况说明</w:t>
      </w:r>
    </w:p>
    <w:p>
      <w:pPr>
        <w:spacing w:line="590" w:lineRule="exact"/>
        <w:ind w:firstLine="960" w:firstLineChars="300"/>
        <w:rPr>
          <w:rFonts w:ascii="仿宋_GB2312" w:hAnsi="ˎ̥" w:eastAsia="仿宋_GB2312" w:cs="宋体"/>
          <w:sz w:val="32"/>
          <w:szCs w:val="32"/>
        </w:rPr>
      </w:pPr>
      <w:r>
        <w:rPr>
          <w:rFonts w:hint="eastAsia" w:ascii="仿宋_GB2312" w:hAnsi="ˎ̥" w:eastAsia="仿宋_GB2312" w:cs="宋体"/>
          <w:sz w:val="32"/>
          <w:szCs w:val="32"/>
        </w:rPr>
        <w:t>投资促进中心2021年“三公”经费预算数为14.40万元，比上年执行数减少0.02万元，下降0.14%，具体如下：</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因公出国（境）费用：根据因公出国（境）计划和实际工作需要，2021年安排因公出国（境）费用预算0万元，比上年执行数增长（下降）0%。主要用于机关及下属预算单位人员公务出国（境）的国际旅费、国外城市间交通费、住宿费、伙食费、培训费、公杂费等支出。增加（减少）的主要原因是无人员因公出国（境）。</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2.公务接待费：2021年安排公务接待费预算11.75万元，比上年执行数增加1.09%。主要用于接待客商等支出。减少的主要原因是</w:t>
      </w:r>
      <w:r>
        <w:rPr>
          <w:rFonts w:hint="eastAsia" w:ascii="仿宋_GB2312" w:eastAsia="仿宋_GB2312"/>
          <w:sz w:val="32"/>
          <w:szCs w:val="32"/>
        </w:rPr>
        <w:t>公务接待减少</w:t>
      </w:r>
      <w:r>
        <w:rPr>
          <w:rFonts w:hint="eastAsia" w:ascii="仿宋_GB2312" w:hAnsi="ˎ̥" w:eastAsia="仿宋_GB2312" w:cs="宋体"/>
          <w:sz w:val="32"/>
          <w:szCs w:val="32"/>
        </w:rPr>
        <w:t>。</w:t>
      </w:r>
    </w:p>
    <w:p>
      <w:pPr>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3.公务用车购置及运行维护费：2021年安排公务用车购置及运行维护费预算2.65万元，比上年执行数减少29.59%，主要原因：2020年因疫情原因，走访考察项目以公车出行较多，经费使用不足，后续追加公务用车经费。2021年疫情加剧，客商来温考察频率减少，公车使用频率也相应减少。其中，公务用车购置支出0万元（含购置税等附加费用），主要用于经批准购置的0辆公务用车；公务用车运行维护费支出2.65万元，主要用于单位公务用车日常运行所需的燃料费、维修费、过桥过路费、保险费、安全奖励费用等支出。</w:t>
      </w:r>
    </w:p>
    <w:p>
      <w:pPr>
        <w:spacing w:line="590" w:lineRule="exact"/>
        <w:ind w:firstLine="643" w:firstLineChars="200"/>
        <w:rPr>
          <w:rFonts w:ascii="仿宋_GB2312" w:hAnsi="ˎ̥" w:eastAsia="仿宋_GB2312" w:cs="宋体"/>
          <w:b/>
          <w:bCs/>
          <w:sz w:val="32"/>
          <w:szCs w:val="32"/>
        </w:rPr>
      </w:pPr>
      <w:bookmarkStart w:id="0" w:name="_GoBack"/>
      <w:bookmarkEnd w:id="0"/>
      <w:r>
        <w:rPr>
          <w:rFonts w:hint="eastAsia" w:ascii="仿宋_GB2312" w:hAnsi="ˎ̥" w:eastAsia="仿宋_GB2312" w:cs="宋体"/>
          <w:b/>
          <w:bCs/>
          <w:sz w:val="32"/>
          <w:szCs w:val="32"/>
        </w:rPr>
        <w:t>（九）其他重要事项的情况说明</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1.机关运行经费</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2021年本单位的机关运行经费财政拨款预算0万元。</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2.政府采购情况</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2021年投资促进中心各单位政府采购预算总额0.35万元，其中：政府采购货物预算0.35万元、政府采购工程预算0万元、政府采购服务预算0万元。</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3.国有资产占有使用情况</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截至2020年12月31日，投资促进中心所属各预算单位共有车辆1辆，其中，机要通信用车及应急保障用车0辆、执法执勤用车0辆、特种专业技术用车0辆、老干部服务用车0辆、行政执法专用车0辆、业务用车1辆。单位价值50万元以上通用设备0台（套），单位价值100万元以上专用设备0台（套）</w:t>
      </w:r>
      <w:r>
        <w:rPr>
          <w:rFonts w:hint="eastAsia" w:ascii="仿宋_GB2312" w:eastAsia="仿宋_GB2312"/>
          <w:b/>
          <w:bCs/>
          <w:sz w:val="32"/>
          <w:szCs w:val="32"/>
        </w:rPr>
        <w:t>。</w:t>
      </w:r>
    </w:p>
    <w:p>
      <w:pPr>
        <w:spacing w:line="590" w:lineRule="exact"/>
        <w:ind w:firstLine="642"/>
        <w:rPr>
          <w:rFonts w:ascii="仿宋_GB2312" w:hAnsi="ˎ̥" w:eastAsia="仿宋_GB2312" w:cs="宋体"/>
          <w:sz w:val="32"/>
          <w:szCs w:val="32"/>
        </w:rPr>
      </w:pPr>
      <w:r>
        <w:rPr>
          <w:rFonts w:hint="eastAsia" w:ascii="仿宋_GB2312" w:hAnsi="ˎ̥" w:eastAsia="仿宋_GB2312" w:cs="宋体"/>
          <w:sz w:val="32"/>
          <w:szCs w:val="32"/>
        </w:rPr>
        <w:t>2021年部门预算安排购置车辆0辆，其中，机要通信用车及应急保障用车0辆、执法执勤用车0辆、特种专业技术用车0辆、老干部服务用车0辆、行政执法专用车0辆、业务用车0辆。2021年部门预算安排购置单位价值50万元以上通用设备0台（套），单位价值100万元以上专用设备0台（套）。（或2021年部门预算未安排购置车辆、单位价值50万元以上通用设备及单位价值100万元以上专用设备）</w:t>
      </w:r>
      <w:r>
        <w:rPr>
          <w:rFonts w:hint="eastAsia" w:ascii="仿宋_GB2312" w:eastAsia="仿宋_GB2312"/>
          <w:sz w:val="32"/>
          <w:szCs w:val="32"/>
        </w:rPr>
        <w:t>。</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4.绩效目标设置情况</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2021年投资促进中心整体绩效目标是招商引资专项和驻点招商处招商对接企业数超90家，洽谈对接活动超90次，招商联络站和专业招商组专项工作经费走访企业数100家，提供项目投资信息100条，专项公用类、政策性项目和发展建设类项目均实行绩效目标管理，涉及一般公共预算当年拨款318.00万元。</w:t>
      </w:r>
    </w:p>
    <w:p>
      <w:pPr>
        <w:spacing w:line="590" w:lineRule="exact"/>
        <w:ind w:firstLine="640" w:firstLineChars="200"/>
        <w:rPr>
          <w:sz w:val="32"/>
          <w:szCs w:val="32"/>
        </w:rPr>
      </w:pPr>
      <w:r>
        <w:rPr>
          <w:rFonts w:hint="eastAsia" w:ascii="黑体" w:hAnsi="ˎ̥" w:eastAsia="黑体" w:cs="宋体"/>
          <w:sz w:val="32"/>
          <w:szCs w:val="32"/>
        </w:rPr>
        <w:t>三、名词解释</w:t>
      </w:r>
    </w:p>
    <w:p>
      <w:pPr>
        <w:pStyle w:val="6"/>
        <w:widowControl w:val="0"/>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1.财政拨款收入：</w:t>
      </w:r>
      <w:r>
        <w:rPr>
          <w:rFonts w:hint="eastAsia" w:ascii="仿宋_GB2312" w:eastAsia="仿宋_GB2312"/>
          <w:sz w:val="32"/>
          <w:szCs w:val="32"/>
        </w:rPr>
        <w:t>本级财政部门当年拨付的财政预算资金，包括一般公共预算财政拨款和政府性基金预算财政拨款。</w:t>
      </w:r>
    </w:p>
    <w:p>
      <w:pPr>
        <w:pStyle w:val="6"/>
        <w:widowControl w:val="0"/>
        <w:spacing w:line="590" w:lineRule="exact"/>
        <w:rPr>
          <w:rFonts w:ascii="仿宋_GB2312" w:eastAsia="仿宋_GB2312"/>
          <w:color w:val="000000"/>
          <w:sz w:val="32"/>
          <w:szCs w:val="32"/>
        </w:rPr>
      </w:pPr>
      <w:r>
        <w:rPr>
          <w:rFonts w:hint="eastAsia" w:ascii="仿宋_GB2312" w:eastAsia="仿宋_GB2312"/>
          <w:color w:val="000000"/>
          <w:sz w:val="32"/>
          <w:szCs w:val="32"/>
        </w:rPr>
        <w:t xml:space="preserve">    2.专户资金:教育收费作为本部门的事业收入，纳入财政专户管理的资金。</w:t>
      </w:r>
    </w:p>
    <w:p>
      <w:pPr>
        <w:pStyle w:val="6"/>
        <w:widowControl w:val="0"/>
        <w:spacing w:line="590" w:lineRule="exact"/>
        <w:ind w:firstLine="640"/>
        <w:rPr>
          <w:rFonts w:ascii="仿宋_GB2312" w:eastAsia="仿宋_GB2312"/>
          <w:sz w:val="32"/>
          <w:szCs w:val="32"/>
        </w:rPr>
      </w:pPr>
      <w:r>
        <w:rPr>
          <w:rFonts w:hint="eastAsia" w:ascii="仿宋_GB2312" w:eastAsia="仿宋_GB2312"/>
          <w:color w:val="000000"/>
          <w:sz w:val="32"/>
          <w:szCs w:val="32"/>
        </w:rPr>
        <w:t>3.事业收入：</w:t>
      </w:r>
      <w:r>
        <w:rPr>
          <w:rFonts w:hint="eastAsia" w:ascii="仿宋_GB2312" w:eastAsia="仿宋_GB2312"/>
          <w:sz w:val="32"/>
          <w:szCs w:val="32"/>
        </w:rPr>
        <w:t>事业单位开展专业业务活动及辅助活动所取得的收入，不含专户资金收入。</w:t>
      </w:r>
    </w:p>
    <w:p>
      <w:pPr>
        <w:pStyle w:val="6"/>
        <w:widowControl w:val="0"/>
        <w:spacing w:line="590" w:lineRule="exact"/>
        <w:ind w:firstLine="640"/>
        <w:rPr>
          <w:rFonts w:ascii="仿宋_GB2312" w:eastAsia="仿宋_GB2312"/>
          <w:sz w:val="32"/>
          <w:szCs w:val="32"/>
        </w:rPr>
      </w:pPr>
      <w:r>
        <w:rPr>
          <w:rFonts w:hint="eastAsia" w:ascii="仿宋_GB2312" w:eastAsia="仿宋_GB2312"/>
          <w:color w:val="000000"/>
          <w:sz w:val="32"/>
          <w:szCs w:val="32"/>
        </w:rPr>
        <w:t>4.事业单位经营收入：</w:t>
      </w:r>
      <w:r>
        <w:rPr>
          <w:rFonts w:hint="eastAsia" w:ascii="仿宋_GB2312" w:eastAsia="仿宋_GB2312"/>
          <w:sz w:val="32"/>
          <w:szCs w:val="32"/>
        </w:rPr>
        <w:t>事业单位在专业业务活动及辅助活动之外开展非独立核算经营活动取得的收入。</w:t>
      </w:r>
    </w:p>
    <w:p>
      <w:pPr>
        <w:pStyle w:val="6"/>
        <w:widowControl w:val="0"/>
        <w:spacing w:line="590" w:lineRule="exact"/>
        <w:rPr>
          <w:rFonts w:ascii="仿宋_GB2312" w:eastAsia="仿宋_GB2312"/>
          <w:color w:val="000000"/>
          <w:sz w:val="32"/>
          <w:szCs w:val="32"/>
        </w:rPr>
      </w:pPr>
      <w:r>
        <w:rPr>
          <w:rFonts w:hint="eastAsia" w:ascii="仿宋_GB2312" w:eastAsia="仿宋_GB2312"/>
          <w:color w:val="000000"/>
          <w:sz w:val="32"/>
          <w:szCs w:val="32"/>
        </w:rPr>
        <w:t xml:space="preserve">    5.其他收入：</w:t>
      </w:r>
      <w:r>
        <w:rPr>
          <w:rFonts w:hint="eastAsia" w:ascii="仿宋_GB2312" w:eastAsia="仿宋_GB2312"/>
          <w:sz w:val="32"/>
          <w:szCs w:val="32"/>
        </w:rPr>
        <w:t>预算单位在“一般公共预算”“政府性基金”“专户资金”“事业收入”“事业单位经营收入”等之外取得的各项收入（含上级补助收入和附属单位缴款等收入）。</w:t>
      </w:r>
    </w:p>
    <w:p>
      <w:pPr>
        <w:pStyle w:val="6"/>
        <w:widowControl w:val="0"/>
        <w:spacing w:line="590" w:lineRule="exact"/>
        <w:rPr>
          <w:rFonts w:eastAsia="仿宋_GB2312"/>
          <w:sz w:val="32"/>
          <w:szCs w:val="32"/>
        </w:rPr>
      </w:pPr>
      <w:r>
        <w:rPr>
          <w:rFonts w:hint="eastAsia" w:ascii="仿宋_GB2312" w:eastAsia="仿宋_GB2312"/>
          <w:color w:val="000000"/>
          <w:sz w:val="32"/>
          <w:szCs w:val="32"/>
        </w:rPr>
        <w:t xml:space="preserve">    6.用事业基金弥补收支差额：指事业单位在预计用当年的“财政拨款收入”“专户资金”“事业收入”“事业单位经营收入”“其他收入”“上年结转”等不足以安排当</w:t>
      </w:r>
      <w:r>
        <w:rPr>
          <w:rFonts w:hint="eastAsia" w:ascii="仿宋_GB2312" w:eastAsia="仿宋_GB2312"/>
          <w:bCs/>
          <w:color w:val="000000"/>
          <w:sz w:val="32"/>
          <w:szCs w:val="32"/>
        </w:rPr>
        <w:t>年支出的情况下，使</w:t>
      </w:r>
      <w:r>
        <w:rPr>
          <w:rFonts w:eastAsia="仿宋_GB2312"/>
          <w:sz w:val="32"/>
          <w:szCs w:val="32"/>
        </w:rPr>
        <w:t>用</w:t>
      </w:r>
      <w:r>
        <w:rPr>
          <w:rFonts w:hint="eastAsia" w:eastAsia="仿宋_GB2312"/>
          <w:sz w:val="32"/>
          <w:szCs w:val="32"/>
        </w:rPr>
        <w:t>以前年度积累的</w:t>
      </w:r>
      <w:r>
        <w:rPr>
          <w:rFonts w:eastAsia="仿宋_GB2312"/>
          <w:sz w:val="32"/>
          <w:szCs w:val="32"/>
        </w:rPr>
        <w:t>事业基金弥补本年收支</w:t>
      </w:r>
      <w:r>
        <w:rPr>
          <w:rFonts w:hint="eastAsia" w:eastAsia="仿宋_GB2312"/>
          <w:sz w:val="32"/>
          <w:szCs w:val="32"/>
        </w:rPr>
        <w:t>缺口的资金。</w:t>
      </w:r>
    </w:p>
    <w:p>
      <w:pPr>
        <w:spacing w:line="590" w:lineRule="exact"/>
        <w:ind w:firstLine="640" w:firstLineChars="200"/>
        <w:rPr>
          <w:rFonts w:eastAsia="仿宋_GB2312"/>
          <w:sz w:val="32"/>
          <w:szCs w:val="32"/>
        </w:rPr>
      </w:pPr>
      <w:r>
        <w:rPr>
          <w:rFonts w:hint="eastAsia" w:ascii="仿宋_GB2312" w:eastAsia="仿宋_GB2312"/>
          <w:bCs/>
          <w:color w:val="000000"/>
          <w:sz w:val="32"/>
          <w:szCs w:val="32"/>
        </w:rPr>
        <w:t>7.</w:t>
      </w:r>
      <w:r>
        <w:rPr>
          <w:rFonts w:hint="eastAsia" w:eastAsia="仿宋_GB2312"/>
          <w:sz w:val="32"/>
          <w:szCs w:val="32"/>
        </w:rPr>
        <w:t>上年结转：指以前年度尚未完成、结转到本年仍按原规定用途继续使用的资金。</w:t>
      </w:r>
    </w:p>
    <w:p>
      <w:pPr>
        <w:spacing w:line="59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8.基本支出：是预算单位为保障其正常运转，完成日常工作任务所发生的支出，包括人员支出和日常公用支出。</w:t>
      </w:r>
    </w:p>
    <w:p>
      <w:pPr>
        <w:spacing w:line="59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9.项目支出：是预算单位为完成其特定的行政工作任务或事业发展目标所发生的支出。</w:t>
      </w:r>
    </w:p>
    <w:p>
      <w:pPr>
        <w:spacing w:line="59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10、经营支出：指事业单位在专业业务活动及其辅助活动之外开展非独立核算经营活动发生的支出。</w:t>
      </w:r>
    </w:p>
    <w:p>
      <w:pPr>
        <w:spacing w:line="590" w:lineRule="exact"/>
        <w:ind w:firstLine="640" w:firstLineChars="200"/>
        <w:rPr>
          <w:rFonts w:ascii="仿宋_GB2312" w:hAnsi="仿宋_GB2312" w:eastAsia="仿宋_GB2312"/>
          <w:sz w:val="32"/>
          <w:szCs w:val="32"/>
        </w:rPr>
      </w:pPr>
      <w:r>
        <w:rPr>
          <w:rFonts w:hint="eastAsia" w:ascii="仿宋_GB2312" w:eastAsia="仿宋_GB2312"/>
          <w:bCs/>
          <w:color w:val="000000"/>
          <w:sz w:val="32"/>
          <w:szCs w:val="32"/>
        </w:rPr>
        <w:t>11.</w:t>
      </w:r>
      <w:r>
        <w:rPr>
          <w:rFonts w:hint="eastAsia" w:ascii="仿宋_GB2312" w:hAnsi="仿宋_GB2312" w:eastAsia="仿宋_GB2312"/>
          <w:sz w:val="32"/>
          <w:szCs w:val="32"/>
        </w:rPr>
        <w:t>机关运行经费：机关运行经费是</w:t>
      </w:r>
      <w:r>
        <w:rPr>
          <w:rFonts w:hint="eastAsia" w:ascii="仿宋_GB2312" w:hAnsi="仿宋_GB2312" w:eastAsia="仿宋_GB2312"/>
          <w:color w:val="000000"/>
          <w:sz w:val="32"/>
          <w:szCs w:val="32"/>
        </w:rPr>
        <w:t>指各部门机关及参公单位的公用经费，包括办公及印刷费、水电费、邮电</w:t>
      </w:r>
      <w:r>
        <w:rPr>
          <w:rFonts w:hint="eastAsia" w:ascii="仿宋_GB2312" w:hAnsi="仿宋_GB2312" w:eastAsia="仿宋_GB2312"/>
          <w:sz w:val="32"/>
          <w:szCs w:val="32"/>
        </w:rPr>
        <w:t>费、差旅费、会议费、福利费、物业管理费、日常维修费、专用材料费、日常办公设备购置费、公务用车运行维护费以及其他费用（其他交通费用、其他商品和服务支出）。</w:t>
      </w:r>
    </w:p>
    <w:p>
      <w:pPr>
        <w:spacing w:line="590" w:lineRule="exact"/>
        <w:ind w:firstLine="640"/>
        <w:rPr>
          <w:rFonts w:ascii="仿宋_GB2312" w:eastAsia="仿宋_GB2312"/>
          <w:color w:val="000000"/>
          <w:sz w:val="32"/>
          <w:szCs w:val="32"/>
        </w:rPr>
      </w:pPr>
      <w:r>
        <w:rPr>
          <w:rFonts w:hint="eastAsia" w:ascii="仿宋_GB2312" w:eastAsia="仿宋_GB2312"/>
          <w:color w:val="000000"/>
          <w:sz w:val="32"/>
          <w:szCs w:val="32"/>
        </w:rPr>
        <w:t>12.一般公共服务支出（类）商贸事务（款）招商引资（项）</w:t>
      </w:r>
      <w:r>
        <w:rPr>
          <w:bCs/>
          <w:sz w:val="32"/>
          <w:szCs w:val="32"/>
        </w:rPr>
        <w:t>：</w:t>
      </w:r>
      <w:r>
        <w:rPr>
          <w:rFonts w:hint="eastAsia" w:ascii="仿宋_GB2312" w:eastAsia="仿宋_GB2312"/>
          <w:color w:val="000000"/>
          <w:sz w:val="32"/>
          <w:szCs w:val="32"/>
        </w:rPr>
        <w:t>指用于印刷费、宣传费、差旅费、会议费、培训费、租赁费、公务接待费、劳务费、其他商品和服务支出等。</w:t>
      </w:r>
    </w:p>
    <w:p>
      <w:pPr>
        <w:spacing w:line="590" w:lineRule="exact"/>
        <w:ind w:firstLine="640"/>
        <w:rPr>
          <w:rFonts w:ascii="仿宋_GB2312" w:eastAsia="仿宋_GB2312"/>
          <w:color w:val="000000"/>
          <w:sz w:val="32"/>
          <w:szCs w:val="32"/>
        </w:rPr>
      </w:pPr>
      <w:r>
        <w:rPr>
          <w:rFonts w:hint="eastAsia" w:ascii="仿宋_GB2312" w:eastAsia="仿宋_GB2312"/>
          <w:color w:val="000000"/>
          <w:sz w:val="32"/>
          <w:szCs w:val="32"/>
        </w:rPr>
        <w:t>13.一般公共服务支出（类）商贸事务（款）事业运行（项）</w:t>
      </w:r>
      <w:r>
        <w:rPr>
          <w:bCs/>
          <w:sz w:val="32"/>
          <w:szCs w:val="32"/>
        </w:rPr>
        <w:t>：指</w:t>
      </w:r>
      <w:r>
        <w:rPr>
          <w:rFonts w:hint="eastAsia" w:ascii="仿宋_GB2312" w:eastAsia="仿宋_GB2312"/>
          <w:color w:val="000000"/>
          <w:sz w:val="32"/>
          <w:szCs w:val="32"/>
        </w:rPr>
        <w:t>用于基本工资、津贴补贴、奖金、社会保障缴费、绩效工资、其他工资福利支出、医疗费、住房公积金、其他对个人和家庭的补助支出、公务用车运行维护费等。</w:t>
      </w:r>
    </w:p>
    <w:p>
      <w:pPr>
        <w:spacing w:line="590" w:lineRule="exact"/>
        <w:ind w:firstLine="640"/>
        <w:rPr>
          <w:rFonts w:ascii="仿宋_GB2312" w:eastAsia="仿宋_GB2312"/>
          <w:color w:val="000000"/>
          <w:sz w:val="32"/>
          <w:szCs w:val="32"/>
        </w:rPr>
      </w:pPr>
      <w:r>
        <w:rPr>
          <w:rFonts w:hint="eastAsia" w:ascii="仿宋_GB2312" w:hAnsi="仿宋_GB2312" w:eastAsia="仿宋_GB2312"/>
          <w:color w:val="000000"/>
          <w:kern w:val="0"/>
          <w:sz w:val="32"/>
          <w:szCs w:val="32"/>
        </w:rPr>
        <w:t>14.一</w:t>
      </w:r>
      <w:r>
        <w:rPr>
          <w:rFonts w:hint="eastAsia" w:ascii="仿宋_GB2312" w:eastAsia="仿宋_GB2312"/>
          <w:color w:val="000000"/>
          <w:sz w:val="32"/>
          <w:szCs w:val="32"/>
        </w:rPr>
        <w:t>般公共服务支出（类）商贸事务（款）行政运行（项）</w:t>
      </w:r>
      <w:r>
        <w:rPr>
          <w:bCs/>
          <w:sz w:val="32"/>
          <w:szCs w:val="32"/>
        </w:rPr>
        <w:t>：</w:t>
      </w:r>
      <w:r>
        <w:rPr>
          <w:rFonts w:hint="eastAsia" w:ascii="仿宋_GB2312" w:eastAsia="仿宋_GB2312"/>
          <w:color w:val="000000"/>
          <w:sz w:val="32"/>
          <w:szCs w:val="32"/>
        </w:rPr>
        <w:t>用于参公退休人员社会保障缴费、医疗费、其他工资福利支出、其他对个人和家庭的补助支出等。</w:t>
      </w:r>
    </w:p>
    <w:p>
      <w:pPr>
        <w:spacing w:line="590" w:lineRule="exact"/>
        <w:ind w:firstLine="640"/>
        <w:rPr>
          <w:rFonts w:ascii="仿宋_GB2312" w:eastAsia="仿宋_GB2312"/>
          <w:color w:val="000000"/>
          <w:sz w:val="32"/>
          <w:szCs w:val="32"/>
        </w:rPr>
      </w:pPr>
      <w:r>
        <w:rPr>
          <w:rFonts w:hint="eastAsia" w:ascii="仿宋_GB2312" w:eastAsia="仿宋_GB2312"/>
          <w:color w:val="000000"/>
          <w:sz w:val="32"/>
          <w:szCs w:val="32"/>
        </w:rPr>
        <w:t>15.社会保障和就业支出（类）行政事业单位养老支出（款）机关事业单位基本养老保险缴费支出（项）</w:t>
      </w:r>
      <w:r>
        <w:rPr>
          <w:bCs/>
          <w:sz w:val="32"/>
          <w:szCs w:val="32"/>
        </w:rPr>
        <w:t>：</w:t>
      </w:r>
      <w:r>
        <w:rPr>
          <w:rFonts w:hint="eastAsia" w:ascii="仿宋_GB2312" w:eastAsia="仿宋_GB2312"/>
          <w:color w:val="000000"/>
          <w:sz w:val="32"/>
          <w:szCs w:val="32"/>
        </w:rPr>
        <w:t>用于机关事业单位在职人员基本养老保险缴费支出。</w:t>
      </w:r>
    </w:p>
    <w:p>
      <w:pPr>
        <w:spacing w:line="590" w:lineRule="exact"/>
        <w:ind w:firstLine="640"/>
        <w:rPr>
          <w:rFonts w:ascii="仿宋_GB2312" w:eastAsia="仿宋_GB2312"/>
          <w:color w:val="000000"/>
          <w:sz w:val="32"/>
          <w:szCs w:val="32"/>
        </w:rPr>
      </w:pPr>
      <w:r>
        <w:rPr>
          <w:rFonts w:hint="eastAsia" w:ascii="仿宋_GB2312" w:eastAsia="仿宋_GB2312"/>
          <w:color w:val="000000"/>
          <w:sz w:val="32"/>
          <w:szCs w:val="32"/>
        </w:rPr>
        <w:t>16.社会保障和就业支出（类）行政事业单位养老支出（款）机关事业单位职业年金缴费支出（项）</w:t>
      </w:r>
      <w:r>
        <w:rPr>
          <w:bCs/>
          <w:sz w:val="32"/>
          <w:szCs w:val="32"/>
        </w:rPr>
        <w:t>：</w:t>
      </w:r>
      <w:r>
        <w:rPr>
          <w:rFonts w:hint="eastAsia" w:ascii="仿宋_GB2312" w:eastAsia="仿宋_GB2312"/>
          <w:color w:val="000000"/>
          <w:sz w:val="32"/>
          <w:szCs w:val="32"/>
        </w:rPr>
        <w:t>用于机关事业单位在职人员基本职业年金缴费支出。</w:t>
      </w:r>
    </w:p>
    <w:p>
      <w:pPr>
        <w:pStyle w:val="7"/>
        <w:spacing w:line="590" w:lineRule="exact"/>
        <w:ind w:firstLine="640" w:firstLineChars="200"/>
        <w:jc w:val="both"/>
        <w:rPr>
          <w:rFonts w:hint="default"/>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singleLevel"/>
    <w:tmpl w:val="0000000B"/>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IwMjY5M2Y3NzgzODAwNjQzMzc4MzZmNDQ2YmJiMzEifQ=="/>
  </w:docVars>
  <w:rsids>
    <w:rsidRoot w:val="1B15235E"/>
    <w:rsid w:val="001D1E75"/>
    <w:rsid w:val="002E03DA"/>
    <w:rsid w:val="00366801"/>
    <w:rsid w:val="00571C48"/>
    <w:rsid w:val="005C711E"/>
    <w:rsid w:val="005D6370"/>
    <w:rsid w:val="008F3166"/>
    <w:rsid w:val="009509D6"/>
    <w:rsid w:val="009966DD"/>
    <w:rsid w:val="00B10367"/>
    <w:rsid w:val="00B81983"/>
    <w:rsid w:val="00C045B6"/>
    <w:rsid w:val="00C83DA1"/>
    <w:rsid w:val="00E95DA0"/>
    <w:rsid w:val="00F153F0"/>
    <w:rsid w:val="00F96F5E"/>
    <w:rsid w:val="01DE6C42"/>
    <w:rsid w:val="0C3377A8"/>
    <w:rsid w:val="1B15235E"/>
    <w:rsid w:val="36227D13"/>
    <w:rsid w:val="5DA342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rFonts w:ascii="Calibri" w:hAnsi="Calibri" w:cs="宋体"/>
      <w:kern w:val="0"/>
      <w:szCs w:val="21"/>
    </w:rPr>
  </w:style>
  <w:style w:type="paragraph" w:customStyle="1" w:styleId="7">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character" w:customStyle="1" w:styleId="8">
    <w:name w:val="页眉 Char"/>
    <w:basedOn w:val="5"/>
    <w:link w:val="3"/>
    <w:uiPriority w:val="0"/>
    <w:rPr>
      <w:kern w:val="2"/>
      <w:sz w:val="18"/>
      <w:szCs w:val="18"/>
    </w:rPr>
  </w:style>
  <w:style w:type="character" w:customStyle="1" w:styleId="9">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3741</Words>
  <Characters>4077</Characters>
  <Lines>29</Lines>
  <Paragraphs>8</Paragraphs>
  <TotalTime>46</TotalTime>
  <ScaleCrop>false</ScaleCrop>
  <LinksUpToDate>false</LinksUpToDate>
  <CharactersWithSpaces>4099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2021-04-01T06:25:00Z</dcterms:created>
  <dc:creator>静</dc:creator>
  <cp:lastModifiedBy>静</cp:lastModifiedBy>
  <dcterms:modified xsi:type="dcterms:W3CDTF">2022-09-01T09:13:58Z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6804646A1ED5483F8D070F785DA7E097</vt:lpwstr>
  </property>
</Properties>
</file>