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方正小标宋简体" w:hAnsi="ˎ̥" w:eastAsia="方正小标宋简体" w:cs="宋体"/>
          <w:b/>
          <w:bCs/>
          <w:sz w:val="44"/>
          <w:szCs w:val="44"/>
        </w:rPr>
      </w:pPr>
      <w:r>
        <w:rPr>
          <w:rFonts w:hint="eastAsia" w:ascii="方正小标宋简体" w:hAnsi="ˎ̥" w:eastAsia="方正小标宋简体" w:cs="宋体"/>
          <w:sz w:val="44"/>
          <w:szCs w:val="44"/>
        </w:rPr>
        <w:t>温岭市综合行政执法局2021年部门预算</w:t>
      </w:r>
    </w:p>
    <w:p>
      <w:pPr>
        <w:spacing w:line="590" w:lineRule="exact"/>
        <w:ind w:firstLine="640" w:firstLineChars="200"/>
        <w:rPr>
          <w:rFonts w:ascii="仿宋_GB2312" w:hAnsi="ˎ̥" w:eastAsia="仿宋_GB2312" w:cs="宋体"/>
          <w:sz w:val="32"/>
          <w:szCs w:val="32"/>
        </w:rPr>
      </w:pPr>
    </w:p>
    <w:p>
      <w:pPr>
        <w:spacing w:line="590" w:lineRule="exact"/>
        <w:ind w:firstLine="640" w:firstLineChars="200"/>
        <w:rPr>
          <w:rFonts w:ascii="黑体" w:hAnsi="ˎ̥" w:eastAsia="黑体" w:cs="宋体"/>
          <w:sz w:val="32"/>
          <w:szCs w:val="32"/>
        </w:rPr>
      </w:pPr>
      <w:r>
        <w:rPr>
          <w:rFonts w:hint="eastAsia" w:ascii="黑体" w:hAnsi="ˎ̥" w:eastAsia="黑体" w:cs="宋体"/>
          <w:sz w:val="32"/>
          <w:szCs w:val="32"/>
        </w:rPr>
        <w:t>一、温岭市综合行政执法局概况</w:t>
      </w:r>
    </w:p>
    <w:p>
      <w:pPr>
        <w:spacing w:line="590" w:lineRule="exact"/>
        <w:ind w:firstLine="640" w:firstLineChars="200"/>
        <w:rPr>
          <w:rFonts w:ascii="仿宋_GB2312" w:hAnsi="ˎ̥" w:eastAsia="仿宋_GB2312" w:cs="宋体"/>
          <w:sz w:val="32"/>
          <w:szCs w:val="32"/>
        </w:rPr>
      </w:pPr>
      <w:r>
        <w:rPr>
          <w:rFonts w:hint="eastAsia" w:ascii="仿宋_GB2312" w:hAnsi="ˎ̥" w:eastAsia="仿宋_GB2312" w:cs="宋体"/>
          <w:sz w:val="32"/>
          <w:szCs w:val="32"/>
        </w:rPr>
        <w:t>（一）主要职能</w:t>
      </w:r>
    </w:p>
    <w:p>
      <w:pPr>
        <w:snapToGrid w:val="0"/>
        <w:spacing w:line="520" w:lineRule="exact"/>
        <w:ind w:firstLine="623"/>
        <w:rPr>
          <w:rFonts w:ascii="仿宋_GB2312" w:hAnsi="ˎ̥" w:eastAsia="仿宋_GB2312" w:cs="宋体"/>
          <w:sz w:val="32"/>
          <w:szCs w:val="32"/>
          <w:highlight w:val="none"/>
        </w:rPr>
      </w:pPr>
      <w:r>
        <w:rPr>
          <w:rFonts w:hint="eastAsia" w:ascii="仿宋_GB2312" w:hAnsi="ˎ̥" w:eastAsia="仿宋_GB2312" w:cs="宋体"/>
          <w:sz w:val="32"/>
          <w:szCs w:val="32"/>
        </w:rPr>
        <w:t>1、贯</w:t>
      </w:r>
      <w:r>
        <w:rPr>
          <w:rFonts w:hint="eastAsia" w:ascii="仿宋_GB2312" w:hAnsi="ˎ̥" w:eastAsia="仿宋_GB2312" w:cs="宋体"/>
          <w:sz w:val="32"/>
          <w:szCs w:val="32"/>
          <w:highlight w:val="none"/>
        </w:rPr>
        <w:t>彻执行国家和省、市关于综合行政执法工作的法律法规规章和方针政策，研究起草有关综合行政执法的规范性文件草案，经审定后组织实施；</w:t>
      </w:r>
    </w:p>
    <w:p>
      <w:pPr>
        <w:snapToGrid w:val="0"/>
        <w:spacing w:line="520" w:lineRule="exact"/>
        <w:ind w:firstLine="623"/>
        <w:rPr>
          <w:rFonts w:ascii="仿宋_GB2312" w:hAnsi="ˎ̥" w:eastAsia="仿宋_GB2312" w:cs="宋体"/>
          <w:sz w:val="32"/>
          <w:szCs w:val="32"/>
          <w:highlight w:val="none"/>
        </w:rPr>
      </w:pPr>
      <w:r>
        <w:rPr>
          <w:rFonts w:hint="eastAsia" w:ascii="仿宋_GB2312" w:hAnsi="ˎ̥" w:eastAsia="仿宋_GB2312" w:cs="宋体"/>
          <w:sz w:val="32"/>
          <w:szCs w:val="32"/>
          <w:highlight w:val="none"/>
        </w:rPr>
        <w:t>2、负责对全市综合行政执法工作的指导、协调、检查和监督；</w:t>
      </w:r>
    </w:p>
    <w:p>
      <w:pPr>
        <w:snapToGrid w:val="0"/>
        <w:spacing w:line="520" w:lineRule="exact"/>
        <w:ind w:firstLine="623"/>
        <w:rPr>
          <w:rFonts w:ascii="仿宋_GB2312" w:hAnsi="ˎ̥" w:eastAsia="仿宋_GB2312" w:cs="宋体"/>
          <w:sz w:val="32"/>
          <w:szCs w:val="32"/>
          <w:highlight w:val="none"/>
        </w:rPr>
      </w:pPr>
      <w:r>
        <w:rPr>
          <w:rFonts w:hint="eastAsia" w:ascii="仿宋_GB2312" w:hAnsi="ˎ̥" w:eastAsia="仿宋_GB2312" w:cs="宋体"/>
          <w:sz w:val="32"/>
          <w:szCs w:val="32"/>
          <w:highlight w:val="none"/>
        </w:rPr>
        <w:t>3、负责行使全市范围内市容环境卫生、城乡规划（法律、法规规定由乡镇人民政府行使的行政处罚权除外）、城市绿化、市政公用、环境保护、工商行政管理（室外公共场所无照经营）、公安交通（人行道违法停车）、土地和矿产资源、建筑业、房地产业等21个方面的法律、法规、规章规定的全部或部分行政处罚权及相关行政监督检查、行政强制职权。以上纳入综合行政执法的职权经省政府批准后，以市政府名义向社会公告后分步实施到位；</w:t>
      </w:r>
    </w:p>
    <w:p>
      <w:pPr>
        <w:snapToGrid w:val="0"/>
        <w:spacing w:line="520" w:lineRule="exact"/>
        <w:ind w:firstLine="623"/>
        <w:rPr>
          <w:rFonts w:ascii="仿宋_GB2312" w:hAnsi="ˎ̥" w:eastAsia="仿宋_GB2312" w:cs="宋体"/>
          <w:sz w:val="32"/>
          <w:szCs w:val="32"/>
          <w:highlight w:val="none"/>
        </w:rPr>
      </w:pPr>
      <w:r>
        <w:rPr>
          <w:rFonts w:hint="eastAsia" w:ascii="仿宋_GB2312" w:hAnsi="ˎ̥" w:eastAsia="仿宋_GB2312" w:cs="宋体"/>
          <w:sz w:val="32"/>
          <w:szCs w:val="32"/>
          <w:highlight w:val="none"/>
        </w:rPr>
        <w:t>4、实施对综合行政执法队伍的规范管理和调度指挥，组织开展阶段性集中统一的专项整治和重大执法活动；</w:t>
      </w:r>
    </w:p>
    <w:p>
      <w:pPr>
        <w:snapToGrid w:val="0"/>
        <w:spacing w:line="520" w:lineRule="exact"/>
        <w:ind w:firstLine="623"/>
        <w:rPr>
          <w:rFonts w:ascii="仿宋_GB2312" w:hAnsi="ˎ̥" w:eastAsia="仿宋_GB2312" w:cs="宋体"/>
          <w:sz w:val="32"/>
          <w:szCs w:val="32"/>
          <w:highlight w:val="none"/>
        </w:rPr>
      </w:pPr>
      <w:r>
        <w:rPr>
          <w:rFonts w:hint="eastAsia" w:ascii="仿宋_GB2312" w:hAnsi="ˎ̥" w:eastAsia="仿宋_GB2312" w:cs="宋体"/>
          <w:sz w:val="32"/>
          <w:szCs w:val="32"/>
          <w:highlight w:val="none"/>
        </w:rPr>
        <w:t>5、负责综合行政执法指挥中心的建设管理工作，承担市综合行政执法协调指挥领导小组办公室日常工作；</w:t>
      </w:r>
    </w:p>
    <w:p>
      <w:pPr>
        <w:snapToGrid w:val="0"/>
        <w:spacing w:line="520" w:lineRule="exact"/>
        <w:ind w:firstLine="623"/>
        <w:rPr>
          <w:rFonts w:ascii="仿宋_GB2312" w:hAnsi="ˎ̥" w:eastAsia="仿宋_GB2312" w:cs="宋体"/>
          <w:sz w:val="32"/>
          <w:szCs w:val="32"/>
          <w:highlight w:val="none"/>
        </w:rPr>
      </w:pPr>
      <w:r>
        <w:rPr>
          <w:rFonts w:hint="eastAsia" w:ascii="仿宋_GB2312" w:hAnsi="ˎ̥" w:eastAsia="仿宋_GB2312" w:cs="宋体"/>
          <w:sz w:val="32"/>
          <w:szCs w:val="32"/>
          <w:highlight w:val="none"/>
        </w:rPr>
        <w:t>6、负责受理综合行政执法中的举报投诉、承担行政复议和行政应诉工作；</w:t>
      </w:r>
    </w:p>
    <w:p>
      <w:pPr>
        <w:snapToGrid w:val="0"/>
        <w:spacing w:line="520" w:lineRule="exact"/>
        <w:ind w:firstLine="623"/>
        <w:rPr>
          <w:rFonts w:ascii="仿宋_GB2312" w:hAnsi="ˎ̥" w:eastAsia="仿宋_GB2312" w:cs="宋体"/>
          <w:sz w:val="32"/>
          <w:szCs w:val="32"/>
          <w:highlight w:val="none"/>
        </w:rPr>
      </w:pPr>
      <w:r>
        <w:rPr>
          <w:rFonts w:hint="eastAsia" w:ascii="仿宋_GB2312" w:hAnsi="ˎ̥" w:eastAsia="仿宋_GB2312" w:cs="宋体"/>
          <w:sz w:val="32"/>
          <w:szCs w:val="32"/>
          <w:highlight w:val="none"/>
        </w:rPr>
        <w:t>7、负责市智慧城管的建设管理工作，承担市城管委办公室日常工作；</w:t>
      </w:r>
    </w:p>
    <w:p>
      <w:pPr>
        <w:snapToGrid w:val="0"/>
        <w:spacing w:line="520" w:lineRule="exact"/>
        <w:ind w:firstLine="623"/>
        <w:rPr>
          <w:rFonts w:ascii="仿宋_GB2312" w:hAnsi="ˎ̥" w:eastAsia="仿宋_GB2312" w:cs="宋体"/>
          <w:sz w:val="32"/>
          <w:szCs w:val="32"/>
          <w:highlight w:val="none"/>
        </w:rPr>
      </w:pPr>
      <w:r>
        <w:rPr>
          <w:rFonts w:hint="eastAsia" w:ascii="仿宋_GB2312" w:hAnsi="ˎ̥" w:eastAsia="仿宋_GB2312" w:cs="宋体"/>
          <w:sz w:val="32"/>
          <w:szCs w:val="32"/>
          <w:highlight w:val="none"/>
        </w:rPr>
        <w:t>8、承办市委、市政府和上级部门交办的其他事项。</w:t>
      </w:r>
    </w:p>
    <w:p>
      <w:pPr>
        <w:spacing w:line="590" w:lineRule="exact"/>
        <w:ind w:firstLine="640" w:firstLineChars="200"/>
        <w:rPr>
          <w:rFonts w:ascii="仿宋_GB2312" w:hAnsi="ˎ̥" w:eastAsia="仿宋_GB2312" w:cs="宋体"/>
          <w:sz w:val="32"/>
          <w:szCs w:val="32"/>
          <w:highlight w:val="none"/>
        </w:rPr>
      </w:pPr>
      <w:r>
        <w:rPr>
          <w:rFonts w:hint="eastAsia" w:ascii="仿宋_GB2312" w:hAnsi="ˎ̥" w:eastAsia="仿宋_GB2312" w:cs="宋体"/>
          <w:sz w:val="32"/>
          <w:szCs w:val="32"/>
          <w:highlight w:val="none"/>
        </w:rPr>
        <w:t>（二）</w:t>
      </w:r>
      <w:r>
        <w:rPr>
          <w:rFonts w:hint="eastAsia" w:ascii="仿宋_GB2312" w:hAnsi="微软雅黑" w:eastAsia="仿宋_GB2312" w:cs="Arial"/>
          <w:color w:val="000000"/>
          <w:sz w:val="32"/>
          <w:szCs w:val="32"/>
          <w:highlight w:val="none"/>
        </w:rPr>
        <w:t>部门机构设置情况</w:t>
      </w:r>
    </w:p>
    <w:p>
      <w:pPr>
        <w:spacing w:line="590" w:lineRule="exact"/>
        <w:ind w:firstLine="640" w:firstLineChars="200"/>
        <w:rPr>
          <w:rFonts w:ascii="仿宋_GB2312" w:hAnsi="ˎ̥" w:eastAsia="仿宋_GB2312" w:cs="宋体"/>
          <w:sz w:val="32"/>
          <w:szCs w:val="32"/>
          <w:highlight w:val="none"/>
        </w:rPr>
      </w:pPr>
      <w:r>
        <w:rPr>
          <w:rFonts w:hint="eastAsia" w:ascii="仿宋_GB2312" w:hAnsi="ˎ̥" w:eastAsia="仿宋_GB2312" w:cs="宋体"/>
          <w:sz w:val="32"/>
          <w:szCs w:val="32"/>
          <w:highlight w:val="none"/>
        </w:rPr>
        <w:t>从预算单位构成看，市综合行政执法局部门预算包括：局本级预算、局属市容环卫处单位预算。</w:t>
      </w:r>
    </w:p>
    <w:p>
      <w:pPr>
        <w:spacing w:line="590" w:lineRule="exact"/>
        <w:ind w:firstLine="640" w:firstLineChars="200"/>
        <w:rPr>
          <w:rFonts w:ascii="黑体" w:hAnsi="ˎ̥" w:eastAsia="黑体" w:cs="宋体"/>
          <w:sz w:val="32"/>
          <w:szCs w:val="32"/>
          <w:highlight w:val="none"/>
        </w:rPr>
      </w:pPr>
      <w:r>
        <w:rPr>
          <w:rFonts w:hint="eastAsia" w:ascii="黑体" w:hAnsi="ˎ̥" w:eastAsia="黑体" w:cs="宋体"/>
          <w:sz w:val="32"/>
          <w:szCs w:val="32"/>
          <w:highlight w:val="none"/>
        </w:rPr>
        <w:t>二、市综合行政执法局2021年部门预算安排情况说明</w:t>
      </w:r>
    </w:p>
    <w:p>
      <w:pPr>
        <w:spacing w:line="590" w:lineRule="exact"/>
        <w:ind w:firstLine="643" w:firstLineChars="200"/>
        <w:rPr>
          <w:rFonts w:ascii="仿宋_GB2312" w:hAnsi="ˎ̥" w:eastAsia="仿宋_GB2312" w:cs="宋体"/>
          <w:b/>
          <w:bCs/>
          <w:sz w:val="32"/>
          <w:szCs w:val="32"/>
          <w:highlight w:val="none"/>
        </w:rPr>
      </w:pPr>
      <w:r>
        <w:rPr>
          <w:rFonts w:hint="eastAsia" w:ascii="仿宋_GB2312" w:hAnsi="ˎ̥" w:eastAsia="仿宋_GB2312" w:cs="宋体"/>
          <w:b/>
          <w:bCs/>
          <w:sz w:val="32"/>
          <w:szCs w:val="32"/>
          <w:highlight w:val="none"/>
        </w:rPr>
        <w:t>（一）关于市综合行政执法局2021年收支预算情况的总体说明</w:t>
      </w:r>
    </w:p>
    <w:p>
      <w:pPr>
        <w:spacing w:line="590" w:lineRule="exact"/>
        <w:ind w:firstLine="640" w:firstLineChars="200"/>
        <w:rPr>
          <w:rFonts w:ascii="仿宋_GB2312" w:eastAsia="仿宋_GB2312"/>
          <w:color w:val="000000"/>
          <w:sz w:val="32"/>
          <w:szCs w:val="32"/>
          <w:highlight w:val="none"/>
        </w:rPr>
      </w:pPr>
      <w:r>
        <w:rPr>
          <w:rFonts w:hint="eastAsia" w:ascii="仿宋_GB2312" w:eastAsia="仿宋_GB2312"/>
          <w:bCs/>
          <w:color w:val="000000"/>
          <w:sz w:val="32"/>
          <w:szCs w:val="32"/>
          <w:highlight w:val="none"/>
        </w:rPr>
        <w:t>按照综合预算的原则，市综合行政执法</w:t>
      </w:r>
      <w:r>
        <w:rPr>
          <w:rFonts w:hint="eastAsia" w:ascii="仿宋_GB2312" w:eastAsia="仿宋_GB2312"/>
          <w:color w:val="000000"/>
          <w:sz w:val="32"/>
          <w:szCs w:val="32"/>
          <w:highlight w:val="none"/>
        </w:rPr>
        <w:t>局所有收入和支出均纳入部门预算管理。收入包括：一般公共预算拨款收入、政府性基金预算收入、专户资金收入、省补助收入；支出包括：社会保障和就业支出、城乡社区支出。市综合行政执法局部门2021年收支总预算24699.32万元。</w:t>
      </w:r>
    </w:p>
    <w:p>
      <w:pPr>
        <w:spacing w:line="590" w:lineRule="exact"/>
        <w:ind w:firstLine="643" w:firstLineChars="200"/>
        <w:rPr>
          <w:rFonts w:eastAsia="仿宋_GB2312"/>
          <w:b/>
          <w:bCs/>
          <w:color w:val="auto"/>
          <w:sz w:val="32"/>
          <w:szCs w:val="32"/>
          <w:highlight w:val="none"/>
        </w:rPr>
      </w:pPr>
      <w:r>
        <w:rPr>
          <w:rFonts w:hint="eastAsia" w:ascii="仿宋_GB2312" w:hAnsi="ˎ̥" w:eastAsia="仿宋_GB2312" w:cs="宋体"/>
          <w:b/>
          <w:bCs/>
          <w:color w:val="auto"/>
          <w:sz w:val="32"/>
          <w:szCs w:val="32"/>
          <w:highlight w:val="none"/>
        </w:rPr>
        <w:t>（二）关于市综合行政执法局2021年收入预算情况说明</w:t>
      </w:r>
    </w:p>
    <w:p>
      <w:pPr>
        <w:spacing w:line="59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市综合行政执法局2021年收入预算24699.32万元，</w:t>
      </w:r>
      <w:r>
        <w:rPr>
          <w:rFonts w:hint="eastAsia" w:ascii="仿宋_GB2312" w:hAnsi="ˎ̥" w:eastAsia="仿宋_GB2312" w:cs="宋体"/>
          <w:color w:val="auto"/>
          <w:sz w:val="32"/>
          <w:szCs w:val="32"/>
          <w:highlight w:val="none"/>
        </w:rPr>
        <w:t>比上年收入执行数减少11</w:t>
      </w:r>
      <w:r>
        <w:rPr>
          <w:rFonts w:hint="eastAsia" w:ascii="仿宋_GB2312" w:hAnsi="ˎ̥" w:eastAsia="仿宋_GB2312" w:cs="宋体"/>
          <w:color w:val="auto"/>
          <w:sz w:val="32"/>
          <w:szCs w:val="32"/>
          <w:highlight w:val="none"/>
          <w:lang w:val="en-US" w:eastAsia="zh-CN"/>
        </w:rPr>
        <w:t>11.52</w:t>
      </w:r>
      <w:r>
        <w:rPr>
          <w:rFonts w:hint="eastAsia" w:ascii="仿宋_GB2312" w:hAnsi="ˎ̥" w:eastAsia="仿宋_GB2312" w:cs="宋体"/>
          <w:color w:val="auto"/>
          <w:sz w:val="32"/>
          <w:szCs w:val="32"/>
          <w:highlight w:val="none"/>
        </w:rPr>
        <w:t>万元，下降4.</w:t>
      </w:r>
      <w:r>
        <w:rPr>
          <w:rFonts w:hint="eastAsia" w:ascii="仿宋_GB2312" w:hAnsi="ˎ̥" w:eastAsia="仿宋_GB2312" w:cs="宋体"/>
          <w:color w:val="auto"/>
          <w:sz w:val="32"/>
          <w:szCs w:val="32"/>
          <w:highlight w:val="none"/>
          <w:lang w:val="en-US" w:eastAsia="zh-CN"/>
        </w:rPr>
        <w:t>3</w:t>
      </w:r>
      <w:r>
        <w:rPr>
          <w:rFonts w:hint="eastAsia" w:ascii="仿宋_GB2312" w:hAnsi="ˎ̥" w:eastAsia="仿宋_GB2312" w:cs="宋体"/>
          <w:color w:val="auto"/>
          <w:sz w:val="32"/>
          <w:szCs w:val="32"/>
          <w:highlight w:val="none"/>
        </w:rPr>
        <w:t>%</w:t>
      </w:r>
      <w:r>
        <w:rPr>
          <w:rFonts w:hint="eastAsia" w:ascii="仿宋_GB2312" w:eastAsia="仿宋_GB2312"/>
          <w:color w:val="auto"/>
          <w:sz w:val="32"/>
          <w:szCs w:val="32"/>
          <w:highlight w:val="none"/>
        </w:rPr>
        <w:t>，主要原因是部分项目如松寨垃圾填埋场污染治理工程资金补助项目已完成。</w:t>
      </w:r>
    </w:p>
    <w:p>
      <w:pPr>
        <w:spacing w:line="59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其中：一般公共预算拨款收入9329.32万元，占37.8%；政府性基金收入14480万元，占58.6%；专户资金840万元，占3.4%；省补助收入50万元，占0.2%。</w:t>
      </w:r>
    </w:p>
    <w:p>
      <w:pPr>
        <w:spacing w:line="590" w:lineRule="exact"/>
        <w:ind w:firstLine="643" w:firstLineChars="200"/>
        <w:rPr>
          <w:rFonts w:ascii="仿宋_GB2312" w:hAnsi="ˎ̥" w:eastAsia="仿宋_GB2312" w:cs="宋体"/>
          <w:color w:val="auto"/>
          <w:sz w:val="32"/>
          <w:szCs w:val="32"/>
          <w:highlight w:val="none"/>
        </w:rPr>
      </w:pPr>
      <w:r>
        <w:rPr>
          <w:rFonts w:hint="eastAsia" w:ascii="仿宋_GB2312" w:hAnsi="ˎ̥" w:eastAsia="仿宋_GB2312" w:cs="宋体"/>
          <w:b/>
          <w:bCs/>
          <w:color w:val="auto"/>
          <w:sz w:val="32"/>
          <w:szCs w:val="32"/>
          <w:highlight w:val="none"/>
        </w:rPr>
        <w:t>（三）关于市综合行政执法局2021年支出预算情况说明</w:t>
      </w:r>
    </w:p>
    <w:p>
      <w:pPr>
        <w:spacing w:line="590" w:lineRule="exact"/>
        <w:ind w:firstLine="640" w:firstLineChars="200"/>
        <w:rPr>
          <w:rFonts w:ascii="仿宋_GB2312" w:hAnsi="ˎ̥" w:eastAsia="仿宋_GB2312" w:cs="宋体"/>
          <w:color w:val="auto"/>
          <w:sz w:val="32"/>
          <w:szCs w:val="32"/>
          <w:highlight w:val="none"/>
        </w:rPr>
      </w:pPr>
      <w:r>
        <w:rPr>
          <w:rFonts w:hint="eastAsia" w:ascii="仿宋_GB2312" w:hAnsi="ˎ̥" w:eastAsia="仿宋_GB2312" w:cs="宋体"/>
          <w:color w:val="auto"/>
          <w:sz w:val="32"/>
          <w:szCs w:val="32"/>
          <w:highlight w:val="none"/>
        </w:rPr>
        <w:t>市综合行政执法局部门2021年支出预算24699.32万元，比上年支出减少11</w:t>
      </w:r>
      <w:r>
        <w:rPr>
          <w:rFonts w:hint="eastAsia" w:ascii="仿宋_GB2312" w:hAnsi="ˎ̥" w:eastAsia="仿宋_GB2312" w:cs="宋体"/>
          <w:color w:val="auto"/>
          <w:sz w:val="32"/>
          <w:szCs w:val="32"/>
          <w:highlight w:val="none"/>
          <w:lang w:val="en-US" w:eastAsia="zh-CN"/>
        </w:rPr>
        <w:t>11.52</w:t>
      </w:r>
      <w:r>
        <w:rPr>
          <w:rFonts w:hint="eastAsia" w:ascii="仿宋_GB2312" w:hAnsi="ˎ̥" w:eastAsia="仿宋_GB2312" w:cs="宋体"/>
          <w:color w:val="auto"/>
          <w:sz w:val="32"/>
          <w:szCs w:val="32"/>
          <w:highlight w:val="none"/>
        </w:rPr>
        <w:t>万元，下降4.</w:t>
      </w:r>
      <w:r>
        <w:rPr>
          <w:rFonts w:hint="eastAsia" w:ascii="仿宋_GB2312" w:hAnsi="ˎ̥" w:eastAsia="仿宋_GB2312" w:cs="宋体"/>
          <w:color w:val="auto"/>
          <w:sz w:val="32"/>
          <w:szCs w:val="32"/>
          <w:highlight w:val="none"/>
          <w:lang w:val="en-US" w:eastAsia="zh-CN"/>
        </w:rPr>
        <w:t>3</w:t>
      </w:r>
      <w:r>
        <w:rPr>
          <w:rFonts w:hint="eastAsia" w:ascii="仿宋_GB2312" w:hAnsi="ˎ̥" w:eastAsia="仿宋_GB2312" w:cs="宋体"/>
          <w:color w:val="auto"/>
          <w:sz w:val="32"/>
          <w:szCs w:val="32"/>
          <w:highlight w:val="none"/>
        </w:rPr>
        <w:t>%，</w:t>
      </w:r>
      <w:r>
        <w:rPr>
          <w:rFonts w:hint="eastAsia" w:ascii="仿宋_GB2312" w:eastAsia="仿宋_GB2312"/>
          <w:color w:val="auto"/>
          <w:sz w:val="32"/>
          <w:szCs w:val="32"/>
          <w:highlight w:val="none"/>
        </w:rPr>
        <w:t>主要原因是部分项目如松寨垃圾填埋场污染治理工程资金补助项目已完成。</w:t>
      </w:r>
    </w:p>
    <w:p>
      <w:pPr>
        <w:numPr>
          <w:ilvl w:val="0"/>
          <w:numId w:val="1"/>
        </w:numPr>
        <w:spacing w:line="59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按支出功能分类，包括社会保障和就业支出480.99万元、城乡社区支出24218.33万元。</w:t>
      </w:r>
    </w:p>
    <w:p>
      <w:pPr>
        <w:spacing w:line="590" w:lineRule="exact"/>
        <w:ind w:firstLine="640" w:firstLineChars="200"/>
        <w:rPr>
          <w:rFonts w:eastAsia="仿宋_GB2312"/>
          <w:color w:val="auto"/>
          <w:sz w:val="32"/>
          <w:szCs w:val="32"/>
          <w:highlight w:val="none"/>
        </w:rPr>
      </w:pPr>
      <w:r>
        <w:rPr>
          <w:rFonts w:hint="eastAsia" w:ascii="仿宋_GB2312" w:eastAsia="仿宋_GB2312"/>
          <w:color w:val="auto"/>
          <w:sz w:val="32"/>
          <w:szCs w:val="32"/>
          <w:highlight w:val="none"/>
        </w:rPr>
        <w:t>2.按支出用途分类，包括人员支出4589.48万元，占18.6%；日常公用支出810.34万元，占3.3%；项目支出19299.5万元，占78.1%。</w:t>
      </w:r>
    </w:p>
    <w:p>
      <w:pPr>
        <w:spacing w:line="590" w:lineRule="exact"/>
        <w:ind w:firstLine="643" w:firstLineChars="200"/>
        <w:rPr>
          <w:rFonts w:ascii="仿宋_GB2312" w:hAnsi="ˎ̥" w:eastAsia="仿宋_GB2312" w:cs="宋体"/>
          <w:b/>
          <w:bCs/>
          <w:color w:val="auto"/>
          <w:sz w:val="32"/>
          <w:szCs w:val="32"/>
          <w:highlight w:val="none"/>
        </w:rPr>
      </w:pPr>
      <w:r>
        <w:rPr>
          <w:rFonts w:hint="eastAsia" w:ascii="仿宋_GB2312" w:hAnsi="ˎ̥" w:eastAsia="仿宋_GB2312" w:cs="宋体"/>
          <w:b/>
          <w:bCs/>
          <w:color w:val="auto"/>
          <w:sz w:val="32"/>
          <w:szCs w:val="32"/>
          <w:highlight w:val="none"/>
        </w:rPr>
        <w:t>（四）关于市综合行政执法局2021年财政拨款收支预算情况的总体说明</w:t>
      </w:r>
    </w:p>
    <w:p>
      <w:pPr>
        <w:spacing w:line="59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市综合行政执法局部门2021年财政拨款收支总预算23859.32万元，</w:t>
      </w:r>
      <w:r>
        <w:rPr>
          <w:rFonts w:hint="eastAsia" w:ascii="仿宋_GB2312" w:hAnsi="ˎ̥" w:eastAsia="仿宋_GB2312" w:cs="宋体"/>
          <w:color w:val="auto"/>
          <w:sz w:val="32"/>
          <w:szCs w:val="32"/>
          <w:highlight w:val="none"/>
        </w:rPr>
        <w:t>比上年执行数减少12</w:t>
      </w:r>
      <w:r>
        <w:rPr>
          <w:rFonts w:hint="eastAsia" w:ascii="仿宋_GB2312" w:hAnsi="ˎ̥" w:eastAsia="仿宋_GB2312" w:cs="宋体"/>
          <w:color w:val="auto"/>
          <w:sz w:val="32"/>
          <w:szCs w:val="32"/>
          <w:highlight w:val="none"/>
          <w:lang w:val="en-US" w:eastAsia="zh-CN"/>
        </w:rPr>
        <w:t>13.29</w:t>
      </w:r>
      <w:r>
        <w:rPr>
          <w:rFonts w:hint="eastAsia" w:ascii="仿宋_GB2312" w:hAnsi="ˎ̥" w:eastAsia="仿宋_GB2312" w:cs="宋体"/>
          <w:color w:val="auto"/>
          <w:sz w:val="32"/>
          <w:szCs w:val="32"/>
          <w:highlight w:val="none"/>
        </w:rPr>
        <w:t>万元，下降4.</w:t>
      </w:r>
      <w:r>
        <w:rPr>
          <w:rFonts w:hint="eastAsia" w:ascii="仿宋_GB2312" w:hAnsi="ˎ̥" w:eastAsia="仿宋_GB2312" w:cs="宋体"/>
          <w:color w:val="auto"/>
          <w:sz w:val="32"/>
          <w:szCs w:val="32"/>
          <w:highlight w:val="none"/>
          <w:lang w:val="en-US" w:eastAsia="zh-CN"/>
        </w:rPr>
        <w:t>8</w:t>
      </w:r>
      <w:r>
        <w:rPr>
          <w:rFonts w:hint="eastAsia" w:ascii="仿宋_GB2312" w:hAnsi="ˎ̥" w:eastAsia="仿宋_GB2312" w:cs="宋体"/>
          <w:color w:val="auto"/>
          <w:sz w:val="32"/>
          <w:szCs w:val="32"/>
          <w:highlight w:val="none"/>
        </w:rPr>
        <w:t>%，</w:t>
      </w:r>
      <w:r>
        <w:rPr>
          <w:rFonts w:hint="eastAsia" w:ascii="仿宋_GB2312" w:eastAsia="仿宋_GB2312"/>
          <w:color w:val="auto"/>
          <w:sz w:val="32"/>
          <w:szCs w:val="32"/>
          <w:highlight w:val="none"/>
        </w:rPr>
        <w:t>主要原因是部分项目如松寨垃圾填埋场污染治理工程资金补助项目已完成。</w:t>
      </w:r>
    </w:p>
    <w:p>
      <w:pPr>
        <w:spacing w:line="59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收入包括：一般公共预算9379.32万元、政府性基金14480万元</w:t>
      </w:r>
      <w:r>
        <w:rPr>
          <w:rFonts w:hint="eastAsia" w:ascii="仿宋_GB2312" w:hAnsi="ˎ̥" w:eastAsia="仿宋_GB2312" w:cs="宋体"/>
          <w:color w:val="auto"/>
          <w:sz w:val="32"/>
          <w:szCs w:val="32"/>
          <w:highlight w:val="none"/>
        </w:rPr>
        <w:t>。</w:t>
      </w:r>
    </w:p>
    <w:p>
      <w:pPr>
        <w:spacing w:line="590" w:lineRule="exact"/>
        <w:ind w:firstLine="640" w:firstLineChars="200"/>
        <w:rPr>
          <w:rFonts w:ascii="仿宋_GB2312" w:hAnsi="ˎ̥" w:eastAsia="仿宋_GB2312" w:cs="宋体"/>
          <w:color w:val="auto"/>
          <w:sz w:val="32"/>
          <w:szCs w:val="32"/>
          <w:highlight w:val="none"/>
        </w:rPr>
      </w:pPr>
      <w:r>
        <w:rPr>
          <w:rFonts w:hint="eastAsia" w:ascii="仿宋_GB2312" w:eastAsia="仿宋_GB2312"/>
          <w:color w:val="auto"/>
          <w:sz w:val="32"/>
          <w:szCs w:val="32"/>
          <w:highlight w:val="none"/>
        </w:rPr>
        <w:t>支出包括：社会保障和就业支出480.99万元、城乡社区支出23378.33万元。</w:t>
      </w:r>
    </w:p>
    <w:p>
      <w:pPr>
        <w:spacing w:line="590" w:lineRule="exact"/>
        <w:ind w:firstLine="643" w:firstLineChars="200"/>
        <w:rPr>
          <w:rFonts w:ascii="仿宋_GB2312" w:eastAsia="仿宋_GB2312"/>
          <w:b/>
          <w:bCs/>
          <w:color w:val="auto"/>
          <w:sz w:val="32"/>
          <w:szCs w:val="32"/>
          <w:highlight w:val="none"/>
        </w:rPr>
      </w:pPr>
      <w:r>
        <w:rPr>
          <w:rFonts w:hint="eastAsia" w:ascii="仿宋_GB2312" w:hAnsi="ˎ̥" w:eastAsia="仿宋_GB2312" w:cs="宋体"/>
          <w:b/>
          <w:bCs/>
          <w:color w:val="auto"/>
          <w:sz w:val="32"/>
          <w:szCs w:val="32"/>
          <w:highlight w:val="none"/>
        </w:rPr>
        <w:t>（五）关于</w:t>
      </w:r>
      <w:r>
        <w:rPr>
          <w:rFonts w:hint="eastAsia" w:ascii="仿宋_GB2312" w:eastAsia="仿宋_GB2312"/>
          <w:b/>
          <w:bCs/>
          <w:color w:val="auto"/>
          <w:sz w:val="32"/>
          <w:szCs w:val="32"/>
          <w:highlight w:val="none"/>
        </w:rPr>
        <w:t>市综合行政执法局2021年</w:t>
      </w:r>
      <w:r>
        <w:rPr>
          <w:rFonts w:hint="eastAsia" w:ascii="仿宋_GB2312" w:hAnsi="ˎ̥" w:eastAsia="仿宋_GB2312" w:cs="宋体"/>
          <w:b/>
          <w:bCs/>
          <w:color w:val="auto"/>
          <w:sz w:val="32"/>
          <w:szCs w:val="32"/>
          <w:highlight w:val="none"/>
        </w:rPr>
        <w:t>一般公共预算当年拨款情况说明</w:t>
      </w:r>
    </w:p>
    <w:p>
      <w:pPr>
        <w:spacing w:line="590" w:lineRule="exact"/>
        <w:ind w:firstLine="642"/>
        <w:rPr>
          <w:rFonts w:ascii="仿宋_GB2312" w:eastAsia="仿宋_GB2312"/>
          <w:color w:val="auto"/>
          <w:sz w:val="32"/>
          <w:szCs w:val="32"/>
          <w:highlight w:val="none"/>
        </w:rPr>
      </w:pPr>
      <w:r>
        <w:rPr>
          <w:rFonts w:hint="eastAsia" w:ascii="楷体_GB2312" w:hAnsi="楷体_GB2312" w:eastAsia="楷体_GB2312" w:cs="楷体_GB2312"/>
          <w:b/>
          <w:color w:val="auto"/>
          <w:sz w:val="32"/>
          <w:szCs w:val="32"/>
          <w:highlight w:val="none"/>
        </w:rPr>
        <w:t>1.一般公共预算当年拨款规模变化情况。</w:t>
      </w:r>
    </w:p>
    <w:p>
      <w:pPr>
        <w:spacing w:line="590" w:lineRule="exact"/>
        <w:ind w:firstLine="640" w:firstLineChars="200"/>
        <w:rPr>
          <w:color w:val="auto"/>
          <w:sz w:val="32"/>
          <w:szCs w:val="32"/>
          <w:highlight w:val="none"/>
        </w:rPr>
      </w:pPr>
      <w:r>
        <w:rPr>
          <w:rFonts w:hint="eastAsia" w:ascii="仿宋_GB2312" w:eastAsia="仿宋_GB2312"/>
          <w:bCs/>
          <w:color w:val="auto"/>
          <w:sz w:val="32"/>
          <w:szCs w:val="32"/>
          <w:highlight w:val="none"/>
        </w:rPr>
        <w:t>市综合行政执法局</w:t>
      </w:r>
      <w:r>
        <w:rPr>
          <w:rFonts w:hint="eastAsia" w:ascii="仿宋_GB2312" w:eastAsia="仿宋_GB2312"/>
          <w:color w:val="auto"/>
          <w:sz w:val="32"/>
          <w:szCs w:val="32"/>
          <w:highlight w:val="none"/>
        </w:rPr>
        <w:t>部门2021年一般公共预算当年拨款9379.32万元，比上年执行数减少</w:t>
      </w:r>
      <w:r>
        <w:rPr>
          <w:rFonts w:hint="eastAsia" w:ascii="仿宋_GB2312" w:eastAsia="仿宋_GB2312"/>
          <w:color w:val="auto"/>
          <w:sz w:val="32"/>
          <w:szCs w:val="32"/>
          <w:highlight w:val="none"/>
          <w:lang w:val="en-US" w:eastAsia="zh-CN"/>
        </w:rPr>
        <w:t>11972.72</w:t>
      </w:r>
      <w:r>
        <w:rPr>
          <w:rFonts w:hint="eastAsia" w:ascii="仿宋_GB2312" w:eastAsia="仿宋_GB2312"/>
          <w:color w:val="auto"/>
          <w:sz w:val="32"/>
          <w:szCs w:val="32"/>
          <w:highlight w:val="none"/>
        </w:rPr>
        <w:t>万元，</w:t>
      </w:r>
      <w:r>
        <w:rPr>
          <w:rFonts w:hint="eastAsia" w:ascii="仿宋_GB2312" w:hAnsi="ˎ̥" w:eastAsia="仿宋_GB2312" w:cs="宋体"/>
          <w:color w:val="auto"/>
          <w:sz w:val="32"/>
          <w:szCs w:val="32"/>
          <w:highlight w:val="none"/>
        </w:rPr>
        <w:t>下降</w:t>
      </w:r>
      <w:r>
        <w:rPr>
          <w:rFonts w:hint="eastAsia" w:ascii="仿宋_GB2312" w:hAnsi="ˎ̥" w:eastAsia="仿宋_GB2312" w:cs="宋体"/>
          <w:color w:val="auto"/>
          <w:sz w:val="32"/>
          <w:szCs w:val="32"/>
          <w:highlight w:val="none"/>
          <w:lang w:val="en-US" w:eastAsia="zh-CN"/>
        </w:rPr>
        <w:t>56.1</w:t>
      </w:r>
      <w:r>
        <w:rPr>
          <w:rFonts w:hint="eastAsia" w:ascii="仿宋_GB2312" w:hAnsi="ˎ̥" w:eastAsia="仿宋_GB2312" w:cs="宋体"/>
          <w:color w:val="auto"/>
          <w:sz w:val="32"/>
          <w:szCs w:val="32"/>
          <w:highlight w:val="none"/>
        </w:rPr>
        <w:t>%，</w:t>
      </w:r>
      <w:r>
        <w:rPr>
          <w:rFonts w:hint="eastAsia" w:ascii="仿宋_GB2312" w:eastAsia="仿宋_GB2312"/>
          <w:color w:val="auto"/>
          <w:sz w:val="32"/>
          <w:szCs w:val="32"/>
          <w:highlight w:val="none"/>
        </w:rPr>
        <w:t>主要原因是部分项目预算2020年在一般公共预算安排，2021年在政府性基金预算安排。</w:t>
      </w:r>
    </w:p>
    <w:p>
      <w:pPr>
        <w:spacing w:line="590" w:lineRule="exact"/>
        <w:ind w:firstLine="643" w:firstLineChars="200"/>
        <w:rPr>
          <w:rFonts w:ascii="仿宋_GB2312" w:hAnsi="ˎ̥" w:eastAsia="仿宋_GB2312" w:cs="宋体"/>
          <w:b/>
          <w:bCs/>
          <w:color w:val="auto"/>
          <w:sz w:val="32"/>
          <w:szCs w:val="32"/>
          <w:highlight w:val="none"/>
        </w:rPr>
      </w:pPr>
      <w:r>
        <w:rPr>
          <w:rFonts w:hint="eastAsia" w:ascii="仿宋_GB2312" w:hAnsi="ˎ̥" w:eastAsia="仿宋_GB2312" w:cs="宋体"/>
          <w:b/>
          <w:bCs/>
          <w:color w:val="auto"/>
          <w:sz w:val="32"/>
          <w:szCs w:val="32"/>
          <w:highlight w:val="none"/>
        </w:rPr>
        <w:t>2. 一般公共预算当年拨款结构情况</w:t>
      </w:r>
    </w:p>
    <w:p>
      <w:pPr>
        <w:spacing w:line="59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社会保障和就业（类）支出480.99万元，占5.1%；城乡社区（类）支出8898.33万元，占94.9%。</w:t>
      </w:r>
    </w:p>
    <w:p>
      <w:pPr>
        <w:spacing w:line="590" w:lineRule="exact"/>
        <w:ind w:firstLine="643" w:firstLineChars="200"/>
        <w:rPr>
          <w:rFonts w:ascii="仿宋_GB2312" w:hAnsi="ˎ̥" w:eastAsia="仿宋_GB2312" w:cs="宋体"/>
          <w:b/>
          <w:bCs/>
          <w:color w:val="auto"/>
          <w:sz w:val="32"/>
          <w:szCs w:val="32"/>
          <w:highlight w:val="none"/>
        </w:rPr>
      </w:pPr>
      <w:r>
        <w:rPr>
          <w:rFonts w:hint="eastAsia" w:ascii="仿宋_GB2312" w:hAnsi="ˎ̥" w:eastAsia="仿宋_GB2312" w:cs="宋体"/>
          <w:b/>
          <w:bCs/>
          <w:color w:val="auto"/>
          <w:sz w:val="32"/>
          <w:szCs w:val="32"/>
          <w:highlight w:val="none"/>
        </w:rPr>
        <w:t>3. 一般公共预算当年拨款具体使用情况</w:t>
      </w:r>
    </w:p>
    <w:p>
      <w:pPr>
        <w:spacing w:line="560" w:lineRule="exact"/>
        <w:ind w:left="149" w:leftChars="71" w:firstLine="480" w:firstLineChars="150"/>
        <w:rPr>
          <w:rFonts w:ascii="仿宋_GB2312" w:hAnsi="ˎ̥" w:eastAsia="仿宋_GB2312" w:cs="宋体"/>
          <w:color w:val="auto"/>
          <w:sz w:val="32"/>
          <w:szCs w:val="32"/>
          <w:highlight w:val="none"/>
        </w:rPr>
      </w:pPr>
      <w:r>
        <w:rPr>
          <w:rFonts w:hint="eastAsia" w:ascii="仿宋_GB2312" w:hAnsi="ˎ̥" w:eastAsia="仿宋_GB2312" w:cs="宋体"/>
          <w:color w:val="auto"/>
          <w:sz w:val="32"/>
          <w:szCs w:val="32"/>
          <w:highlight w:val="none"/>
        </w:rPr>
        <w:t>（1）社会保障和就业支出（类）行政事业单位养老支出（款）机关事业单位基本养老保险缴费支出（项）320.66万元，主要用于</w:t>
      </w:r>
      <w:r>
        <w:rPr>
          <w:rFonts w:ascii="仿宋" w:hAnsi="仿宋" w:eastAsia="仿宋"/>
          <w:color w:val="auto"/>
          <w:sz w:val="32"/>
          <w:szCs w:val="32"/>
          <w:highlight w:val="none"/>
        </w:rPr>
        <w:t>机关事业单位实施养老保险制度由单位实际缴纳</w:t>
      </w:r>
      <w:r>
        <w:rPr>
          <w:rFonts w:hint="eastAsia" w:ascii="仿宋" w:hAnsi="仿宋" w:eastAsia="仿宋"/>
          <w:color w:val="auto"/>
          <w:sz w:val="32"/>
          <w:szCs w:val="32"/>
          <w:highlight w:val="none"/>
        </w:rPr>
        <w:t>的</w:t>
      </w:r>
      <w:r>
        <w:rPr>
          <w:rFonts w:hint="eastAsia" w:ascii="仿宋" w:hAnsi="仿宋" w:eastAsia="仿宋" w:cs="宋体"/>
          <w:color w:val="auto"/>
          <w:sz w:val="32"/>
          <w:szCs w:val="32"/>
          <w:highlight w:val="none"/>
        </w:rPr>
        <w:t>养老保险</w:t>
      </w:r>
      <w:r>
        <w:rPr>
          <w:rFonts w:hint="eastAsia" w:ascii="仿宋_GB2312" w:hAnsi="ˎ̥" w:eastAsia="仿宋_GB2312" w:cs="宋体"/>
          <w:color w:val="auto"/>
          <w:sz w:val="32"/>
          <w:szCs w:val="32"/>
          <w:highlight w:val="none"/>
        </w:rPr>
        <w:t>缴费支出。</w:t>
      </w:r>
    </w:p>
    <w:p>
      <w:pPr>
        <w:pStyle w:val="10"/>
        <w:ind w:firstLine="640" w:firstLineChars="200"/>
        <w:rPr>
          <w:rFonts w:hint="default"/>
          <w:color w:val="auto"/>
          <w:sz w:val="32"/>
          <w:szCs w:val="32"/>
          <w:highlight w:val="none"/>
        </w:rPr>
      </w:pPr>
      <w:r>
        <w:rPr>
          <w:rFonts w:hAnsi="ˎ̥" w:cs="宋体"/>
          <w:color w:val="auto"/>
          <w:sz w:val="32"/>
          <w:szCs w:val="32"/>
          <w:highlight w:val="none"/>
        </w:rPr>
        <w:t>（2）社会保障和就业支出（类）行政事业单位养老支出（款）机关事业单位职业年金缴费支出（项）160.33万元，主要用于</w:t>
      </w:r>
      <w:r>
        <w:rPr>
          <w:color w:val="auto"/>
          <w:sz w:val="32"/>
          <w:szCs w:val="32"/>
          <w:highlight w:val="none"/>
        </w:rPr>
        <w:t>机关事业单位实施养老保险制度由单位实际缴纳的职业年金支出。</w:t>
      </w:r>
    </w:p>
    <w:p>
      <w:pPr>
        <w:spacing w:line="560" w:lineRule="exact"/>
        <w:ind w:left="149" w:leftChars="71" w:firstLine="480" w:firstLineChars="150"/>
        <w:rPr>
          <w:rFonts w:ascii="仿宋_GB2312" w:hAnsi="ˎ̥" w:eastAsia="仿宋_GB2312" w:cs="宋体"/>
          <w:color w:val="auto"/>
          <w:sz w:val="32"/>
          <w:szCs w:val="32"/>
          <w:highlight w:val="none"/>
        </w:rPr>
      </w:pPr>
      <w:r>
        <w:rPr>
          <w:rFonts w:hint="eastAsia" w:ascii="仿宋_GB2312" w:hAnsi="ˎ̥" w:eastAsia="仿宋_GB2312" w:cs="宋体"/>
          <w:color w:val="auto"/>
          <w:sz w:val="32"/>
          <w:szCs w:val="32"/>
          <w:highlight w:val="none"/>
        </w:rPr>
        <w:t>（3）城乡社区支出（类）城乡社区管理事务（款）行政运行（项）4226.71万元，主要用于执法局行政人员工资及日常公用支出。</w:t>
      </w:r>
    </w:p>
    <w:p>
      <w:pPr>
        <w:spacing w:line="560" w:lineRule="exact"/>
        <w:ind w:left="149" w:leftChars="71" w:firstLine="480" w:firstLineChars="150"/>
        <w:rPr>
          <w:rFonts w:ascii="仿宋_GB2312" w:hAnsi="ˎ̥" w:eastAsia="仿宋_GB2312" w:cs="宋体"/>
          <w:color w:val="auto"/>
          <w:sz w:val="32"/>
          <w:szCs w:val="32"/>
          <w:highlight w:val="none"/>
        </w:rPr>
      </w:pPr>
      <w:r>
        <w:rPr>
          <w:rFonts w:hint="eastAsia" w:ascii="仿宋_GB2312" w:hAnsi="ˎ̥" w:eastAsia="仿宋_GB2312" w:cs="宋体"/>
          <w:color w:val="auto"/>
          <w:sz w:val="32"/>
          <w:szCs w:val="32"/>
          <w:highlight w:val="none"/>
        </w:rPr>
        <w:t>（4）城乡社区支出（类）城乡社区管理事务（款）城管执法（项）2074.28 万元，主要用于执法局事业人员工资支出、机关运行经费及公共支出类项目支出。</w:t>
      </w:r>
    </w:p>
    <w:p>
      <w:pPr>
        <w:spacing w:line="560" w:lineRule="exact"/>
        <w:ind w:left="149" w:leftChars="71" w:firstLine="480" w:firstLineChars="150"/>
        <w:rPr>
          <w:rFonts w:ascii="仿宋_GB2312" w:hAnsi="ˎ̥" w:eastAsia="仿宋_GB2312" w:cs="宋体"/>
          <w:color w:val="auto"/>
          <w:sz w:val="32"/>
          <w:szCs w:val="32"/>
        </w:rPr>
      </w:pPr>
      <w:r>
        <w:rPr>
          <w:rFonts w:hint="eastAsia" w:ascii="仿宋_GB2312" w:hAnsi="ˎ̥" w:eastAsia="仿宋_GB2312" w:cs="宋体"/>
          <w:color w:val="auto"/>
          <w:sz w:val="32"/>
          <w:szCs w:val="32"/>
        </w:rPr>
        <w:t>（5）城乡社区支出（类）城乡社区管理事务（款）其他城乡社区管理事务支出（项）2547.34万元，主要用于环卫工人工资及环卫管理运行支出。</w:t>
      </w:r>
    </w:p>
    <w:p>
      <w:pPr>
        <w:spacing w:line="560" w:lineRule="exact"/>
        <w:ind w:left="149" w:leftChars="71" w:firstLine="480" w:firstLineChars="150"/>
        <w:rPr>
          <w:rFonts w:ascii="仿宋_GB2312" w:eastAsia="仿宋_GB2312"/>
          <w:color w:val="auto"/>
          <w:sz w:val="32"/>
          <w:szCs w:val="32"/>
        </w:rPr>
      </w:pPr>
      <w:r>
        <w:rPr>
          <w:rFonts w:hint="eastAsia" w:ascii="仿宋_GB2312" w:hAnsi="ˎ̥" w:eastAsia="仿宋_GB2312" w:cs="宋体"/>
          <w:color w:val="auto"/>
          <w:sz w:val="32"/>
          <w:szCs w:val="32"/>
        </w:rPr>
        <w:t>（6）城乡社区支出（类）其他城乡社区支出（款）其他城乡社区支出（项）50万元，主要用于数字城管运行支出。</w:t>
      </w:r>
    </w:p>
    <w:p>
      <w:pPr>
        <w:spacing w:line="590" w:lineRule="exact"/>
        <w:ind w:firstLine="640"/>
        <w:rPr>
          <w:rFonts w:ascii="仿宋_GB2312" w:hAnsi="ˎ̥" w:eastAsia="仿宋_GB2312" w:cs="宋体"/>
          <w:b/>
          <w:bCs/>
          <w:color w:val="auto"/>
          <w:sz w:val="32"/>
          <w:szCs w:val="32"/>
        </w:rPr>
      </w:pPr>
      <w:r>
        <w:rPr>
          <w:rFonts w:hint="eastAsia" w:ascii="仿宋_GB2312" w:eastAsia="仿宋_GB2312"/>
          <w:b/>
          <w:bCs/>
          <w:color w:val="auto"/>
          <w:sz w:val="32"/>
          <w:szCs w:val="32"/>
        </w:rPr>
        <w:t>（六）关于市综合行政执法局2021年一</w:t>
      </w:r>
      <w:r>
        <w:rPr>
          <w:rFonts w:hint="eastAsia" w:ascii="仿宋_GB2312" w:hAnsi="ˎ̥" w:eastAsia="仿宋_GB2312" w:cs="宋体"/>
          <w:b/>
          <w:bCs/>
          <w:color w:val="auto"/>
          <w:sz w:val="32"/>
          <w:szCs w:val="32"/>
        </w:rPr>
        <w:t>般公共预算基本支出情况说明</w:t>
      </w:r>
    </w:p>
    <w:p>
      <w:pPr>
        <w:spacing w:line="590" w:lineRule="exact"/>
        <w:ind w:firstLine="640" w:firstLineChars="200"/>
        <w:rPr>
          <w:rFonts w:ascii="仿宋_GB2312" w:hAnsi="ˎ̥" w:eastAsia="仿宋_GB2312" w:cs="宋体"/>
          <w:color w:val="auto"/>
          <w:sz w:val="32"/>
          <w:szCs w:val="32"/>
        </w:rPr>
      </w:pPr>
      <w:r>
        <w:rPr>
          <w:rFonts w:hint="eastAsia" w:ascii="仿宋_GB2312" w:hAnsi="ˎ̥" w:eastAsia="仿宋_GB2312" w:cs="宋体"/>
          <w:color w:val="auto"/>
          <w:sz w:val="32"/>
          <w:szCs w:val="32"/>
        </w:rPr>
        <w:t>市综合行政执法局部门2021年一般公共预算基本支出</w:t>
      </w:r>
      <w:r>
        <w:rPr>
          <w:rFonts w:hint="eastAsia" w:ascii="仿宋_GB2312" w:eastAsia="仿宋_GB2312"/>
          <w:color w:val="auto"/>
          <w:sz w:val="32"/>
          <w:szCs w:val="32"/>
        </w:rPr>
        <w:t>5399.82</w:t>
      </w:r>
      <w:r>
        <w:rPr>
          <w:rFonts w:hint="eastAsia" w:ascii="仿宋_GB2312" w:hAnsi="ˎ̥" w:eastAsia="仿宋_GB2312" w:cs="宋体"/>
          <w:color w:val="auto"/>
          <w:sz w:val="32"/>
          <w:szCs w:val="32"/>
        </w:rPr>
        <w:t>万元，其中：</w:t>
      </w:r>
    </w:p>
    <w:p>
      <w:pPr>
        <w:spacing w:line="590" w:lineRule="exact"/>
        <w:ind w:firstLine="642"/>
        <w:rPr>
          <w:rFonts w:ascii="仿宋_GB2312" w:eastAsia="仿宋_GB2312"/>
          <w:color w:val="auto"/>
          <w:sz w:val="32"/>
          <w:szCs w:val="32"/>
        </w:rPr>
      </w:pPr>
      <w:r>
        <w:rPr>
          <w:rFonts w:hint="eastAsia" w:ascii="仿宋_GB2312" w:eastAsia="仿宋_GB2312"/>
          <w:color w:val="auto"/>
          <w:sz w:val="32"/>
          <w:szCs w:val="32"/>
        </w:rPr>
        <w:t>人员经费4589.48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pPr>
        <w:spacing w:line="590" w:lineRule="exact"/>
        <w:ind w:firstLine="642"/>
        <w:rPr>
          <w:rFonts w:ascii="仿宋_GB2312" w:eastAsia="仿宋_GB2312"/>
          <w:color w:val="auto"/>
          <w:sz w:val="32"/>
          <w:szCs w:val="32"/>
        </w:rPr>
      </w:pPr>
      <w:r>
        <w:rPr>
          <w:rFonts w:hint="eastAsia" w:ascii="仿宋_GB2312" w:eastAsia="仿宋_GB2312"/>
          <w:color w:val="auto"/>
          <w:sz w:val="32"/>
          <w:szCs w:val="32"/>
        </w:rPr>
        <w:t>公用经费808.34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其他商品和服务支出、办公设备购置。</w:t>
      </w:r>
    </w:p>
    <w:p>
      <w:pPr>
        <w:spacing w:line="590" w:lineRule="exact"/>
        <w:ind w:firstLine="642"/>
        <w:rPr>
          <w:color w:val="auto"/>
        </w:rPr>
      </w:pPr>
      <w:r>
        <w:rPr>
          <w:rFonts w:hint="eastAsia" w:ascii="仿宋_GB2312" w:eastAsia="仿宋_GB2312"/>
          <w:color w:val="auto"/>
          <w:sz w:val="32"/>
          <w:szCs w:val="32"/>
        </w:rPr>
        <w:t>其他资本性支出2.00万元，主要包括：办公设备购置。</w:t>
      </w:r>
    </w:p>
    <w:p>
      <w:pPr>
        <w:spacing w:line="590" w:lineRule="exact"/>
        <w:ind w:firstLine="642"/>
        <w:rPr>
          <w:rFonts w:ascii="仿宋_GB2312" w:eastAsia="仿宋_GB2312"/>
          <w:b/>
          <w:bCs/>
          <w:color w:val="auto"/>
          <w:sz w:val="32"/>
          <w:szCs w:val="32"/>
        </w:rPr>
      </w:pPr>
      <w:r>
        <w:rPr>
          <w:rFonts w:hint="eastAsia" w:ascii="仿宋_GB2312" w:eastAsia="仿宋_GB2312"/>
          <w:b/>
          <w:bCs/>
          <w:color w:val="auto"/>
          <w:sz w:val="32"/>
          <w:szCs w:val="32"/>
        </w:rPr>
        <w:t>（七）关于市综合行政执法局2021年政府性基金预算支出情况说明</w:t>
      </w:r>
    </w:p>
    <w:p>
      <w:pPr>
        <w:spacing w:line="590" w:lineRule="exact"/>
        <w:ind w:firstLine="640" w:firstLineChars="200"/>
        <w:rPr>
          <w:rFonts w:ascii="仿宋_GB2312" w:hAnsi="ˎ̥" w:eastAsia="仿宋_GB2312" w:cs="宋体"/>
          <w:color w:val="auto"/>
          <w:sz w:val="32"/>
          <w:szCs w:val="32"/>
        </w:rPr>
      </w:pPr>
      <w:r>
        <w:rPr>
          <w:rFonts w:hint="eastAsia" w:ascii="仿宋_GB2312" w:hAnsi="ˎ̥" w:eastAsia="仿宋_GB2312" w:cs="宋体"/>
          <w:color w:val="auto"/>
          <w:sz w:val="32"/>
          <w:szCs w:val="32"/>
        </w:rPr>
        <w:t>1. 政府性基金预算当年拨款规模变化情况</w:t>
      </w:r>
    </w:p>
    <w:p>
      <w:pPr>
        <w:spacing w:line="590" w:lineRule="exact"/>
        <w:ind w:firstLine="640" w:firstLineChars="200"/>
        <w:rPr>
          <w:rFonts w:ascii="仿宋_GB2312" w:eastAsia="仿宋_GB2312"/>
          <w:color w:val="auto"/>
          <w:sz w:val="32"/>
          <w:szCs w:val="32"/>
          <w:highlight w:val="none"/>
        </w:rPr>
      </w:pPr>
      <w:r>
        <w:rPr>
          <w:rFonts w:hint="eastAsia" w:ascii="仿宋_GB2312" w:hAnsi="ˎ̥" w:eastAsia="仿宋_GB2312" w:cs="宋体"/>
          <w:color w:val="auto"/>
          <w:sz w:val="32"/>
          <w:szCs w:val="32"/>
          <w:highlight w:val="none"/>
        </w:rPr>
        <w:t>市综合行政执法局部门2021年政府性基金预算当年拨款14480万元，比上年执行数增加</w:t>
      </w:r>
      <w:r>
        <w:rPr>
          <w:rFonts w:hint="eastAsia" w:ascii="仿宋_GB2312" w:hAnsi="ˎ̥" w:eastAsia="仿宋_GB2312" w:cs="宋体"/>
          <w:color w:val="auto"/>
          <w:sz w:val="32"/>
          <w:szCs w:val="32"/>
          <w:highlight w:val="none"/>
          <w:lang w:val="en-US" w:eastAsia="zh-CN"/>
        </w:rPr>
        <w:t>10759.42</w:t>
      </w:r>
      <w:r>
        <w:rPr>
          <w:rFonts w:hint="eastAsia" w:ascii="仿宋_GB2312" w:hAnsi="ˎ̥" w:eastAsia="仿宋_GB2312" w:cs="宋体"/>
          <w:color w:val="auto"/>
          <w:sz w:val="32"/>
          <w:szCs w:val="32"/>
          <w:highlight w:val="none"/>
        </w:rPr>
        <w:t>万元，增长</w:t>
      </w:r>
      <w:r>
        <w:rPr>
          <w:rFonts w:hint="eastAsia" w:ascii="仿宋_GB2312" w:hAnsi="ˎ̥" w:eastAsia="仿宋_GB2312" w:cs="宋体"/>
          <w:color w:val="auto"/>
          <w:sz w:val="32"/>
          <w:szCs w:val="32"/>
          <w:highlight w:val="none"/>
          <w:lang w:val="en-US" w:eastAsia="zh-CN"/>
        </w:rPr>
        <w:t>289.2</w:t>
      </w:r>
      <w:r>
        <w:rPr>
          <w:rFonts w:hint="eastAsia" w:ascii="仿宋_GB2312" w:hAnsi="ˎ̥" w:eastAsia="仿宋_GB2312" w:cs="宋体"/>
          <w:color w:val="auto"/>
          <w:sz w:val="32"/>
          <w:szCs w:val="32"/>
          <w:highlight w:val="none"/>
        </w:rPr>
        <w:t>%，主要原因是</w:t>
      </w:r>
      <w:r>
        <w:rPr>
          <w:rFonts w:hint="eastAsia" w:ascii="仿宋_GB2312" w:eastAsia="仿宋_GB2312"/>
          <w:color w:val="auto"/>
          <w:sz w:val="32"/>
          <w:szCs w:val="32"/>
          <w:highlight w:val="none"/>
        </w:rPr>
        <w:t>部分项目预算2020年在一般公共预算安排，2021年在政府性基金预算安排。</w:t>
      </w:r>
    </w:p>
    <w:p>
      <w:pPr>
        <w:spacing w:line="590" w:lineRule="exact"/>
        <w:ind w:firstLine="640" w:firstLineChars="200"/>
        <w:rPr>
          <w:rFonts w:ascii="仿宋_GB2312" w:hAnsi="ˎ̥" w:eastAsia="仿宋_GB2312" w:cs="宋体"/>
          <w:color w:val="auto"/>
          <w:sz w:val="32"/>
          <w:szCs w:val="32"/>
          <w:highlight w:val="none"/>
        </w:rPr>
      </w:pPr>
      <w:r>
        <w:rPr>
          <w:rFonts w:hint="eastAsia" w:ascii="仿宋_GB2312" w:hAnsi="ˎ̥" w:eastAsia="仿宋_GB2312" w:cs="宋体"/>
          <w:color w:val="auto"/>
          <w:sz w:val="32"/>
          <w:szCs w:val="32"/>
          <w:highlight w:val="none"/>
        </w:rPr>
        <w:t>2. 政府性基金预算当年拨款结构情况</w:t>
      </w:r>
    </w:p>
    <w:p>
      <w:pPr>
        <w:spacing w:line="590" w:lineRule="exact"/>
        <w:ind w:firstLine="640" w:firstLineChars="200"/>
        <w:rPr>
          <w:rFonts w:ascii="仿宋_GB2312" w:hAnsi="ˎ̥" w:eastAsia="仿宋_GB2312" w:cs="宋体"/>
          <w:color w:val="auto"/>
          <w:sz w:val="32"/>
          <w:szCs w:val="32"/>
          <w:highlight w:val="none"/>
        </w:rPr>
      </w:pPr>
      <w:r>
        <w:rPr>
          <w:rFonts w:hint="eastAsia" w:ascii="仿宋_GB2312" w:hAnsi="ˎ̥" w:eastAsia="仿宋_GB2312" w:cs="宋体"/>
          <w:color w:val="auto"/>
          <w:sz w:val="32"/>
          <w:szCs w:val="32"/>
          <w:highlight w:val="none"/>
        </w:rPr>
        <w:t>城乡社区支出（类）14480万元，占100.0%。</w:t>
      </w:r>
    </w:p>
    <w:p>
      <w:pPr>
        <w:spacing w:line="590" w:lineRule="exact"/>
        <w:ind w:firstLine="640" w:firstLineChars="200"/>
        <w:rPr>
          <w:rFonts w:ascii="仿宋_GB2312" w:hAnsi="ˎ̥" w:eastAsia="仿宋_GB2312" w:cs="宋体"/>
          <w:color w:val="auto"/>
          <w:sz w:val="32"/>
          <w:szCs w:val="32"/>
          <w:highlight w:val="none"/>
        </w:rPr>
      </w:pPr>
      <w:r>
        <w:rPr>
          <w:rFonts w:hint="eastAsia" w:ascii="仿宋_GB2312" w:hAnsi="ˎ̥" w:eastAsia="仿宋_GB2312" w:cs="宋体"/>
          <w:color w:val="auto"/>
          <w:sz w:val="32"/>
          <w:szCs w:val="32"/>
          <w:highlight w:val="none"/>
        </w:rPr>
        <w:t>3. 政府性基金预算当年拨款具体使用情况</w:t>
      </w:r>
    </w:p>
    <w:p>
      <w:pPr>
        <w:spacing w:line="560" w:lineRule="exact"/>
        <w:ind w:firstLine="640" w:firstLineChars="200"/>
        <w:rPr>
          <w:rFonts w:ascii="仿宋_GB2312" w:hAnsi="ˎ̥" w:eastAsia="仿宋_GB2312" w:cs="宋体"/>
          <w:color w:val="auto"/>
          <w:sz w:val="32"/>
          <w:szCs w:val="32"/>
          <w:highlight w:val="none"/>
        </w:rPr>
      </w:pPr>
      <w:r>
        <w:rPr>
          <w:rFonts w:hint="eastAsia" w:ascii="仿宋_GB2312" w:hAnsi="ˎ̥" w:eastAsia="仿宋_GB2312" w:cs="宋体"/>
          <w:color w:val="auto"/>
          <w:sz w:val="32"/>
          <w:szCs w:val="32"/>
          <w:highlight w:val="none"/>
        </w:rPr>
        <w:t>城乡社区支出（类）国有土地使用权出让收入安排的支出（款）其他国有土地使用权出让收入安排的支出（项）14480万元，主要用于城南垃圾焚烧处理等终端处置支出。</w:t>
      </w:r>
    </w:p>
    <w:p>
      <w:pPr>
        <w:numPr>
          <w:ilvl w:val="0"/>
          <w:numId w:val="2"/>
        </w:numPr>
        <w:overflowPunct w:val="0"/>
        <w:autoSpaceDE w:val="0"/>
        <w:autoSpaceDN w:val="0"/>
        <w:adjustRightInd w:val="0"/>
        <w:spacing w:line="590" w:lineRule="exact"/>
        <w:ind w:firstLine="643" w:firstLineChars="200"/>
        <w:textAlignment w:val="baseline"/>
        <w:rPr>
          <w:rFonts w:ascii="仿宋_GB2312" w:hAnsi="ˎ̥" w:eastAsia="仿宋_GB2312" w:cs="宋体"/>
          <w:b/>
          <w:bCs/>
          <w:color w:val="auto"/>
          <w:sz w:val="32"/>
          <w:szCs w:val="32"/>
          <w:highlight w:val="none"/>
        </w:rPr>
      </w:pPr>
      <w:r>
        <w:rPr>
          <w:rFonts w:hint="eastAsia" w:ascii="仿宋_GB2312" w:hAnsi="ˎ̥" w:eastAsia="仿宋_GB2312" w:cs="宋体"/>
          <w:b/>
          <w:bCs/>
          <w:color w:val="auto"/>
          <w:sz w:val="32"/>
          <w:szCs w:val="32"/>
          <w:highlight w:val="none"/>
        </w:rPr>
        <w:t>关于市综合行政执法局2021年“三公”经费预算情况说明</w:t>
      </w:r>
    </w:p>
    <w:p>
      <w:pPr>
        <w:spacing w:line="590" w:lineRule="exact"/>
        <w:ind w:firstLine="960" w:firstLineChars="300"/>
        <w:rPr>
          <w:rFonts w:ascii="仿宋_GB2312" w:hAnsi="ˎ̥" w:eastAsia="仿宋_GB2312" w:cs="宋体"/>
          <w:color w:val="auto"/>
          <w:sz w:val="32"/>
          <w:szCs w:val="32"/>
          <w:highlight w:val="none"/>
        </w:rPr>
      </w:pPr>
      <w:r>
        <w:rPr>
          <w:rFonts w:hint="eastAsia" w:ascii="仿宋_GB2312" w:hAnsi="ˎ̥" w:eastAsia="仿宋_GB2312" w:cs="宋体"/>
          <w:color w:val="auto"/>
          <w:sz w:val="32"/>
          <w:szCs w:val="32"/>
          <w:highlight w:val="none"/>
        </w:rPr>
        <w:t>市综合行政执法局部门2021年“三公”经费预算数为67.41万元，比上年执行数增加24.3万元，增长56.4%，具体如下：</w:t>
      </w:r>
    </w:p>
    <w:p>
      <w:pPr>
        <w:spacing w:line="590" w:lineRule="exact"/>
        <w:ind w:firstLine="640" w:firstLineChars="200"/>
        <w:rPr>
          <w:rFonts w:ascii="仿宋_GB2312" w:hAnsi="ˎ̥" w:eastAsia="仿宋_GB2312" w:cs="宋体"/>
          <w:color w:val="auto"/>
          <w:sz w:val="32"/>
          <w:szCs w:val="32"/>
          <w:highlight w:val="none"/>
        </w:rPr>
      </w:pPr>
      <w:r>
        <w:rPr>
          <w:rFonts w:hint="eastAsia" w:ascii="仿宋_GB2312" w:hAnsi="ˎ̥" w:eastAsia="仿宋_GB2312" w:cs="宋体"/>
          <w:color w:val="auto"/>
          <w:sz w:val="32"/>
          <w:szCs w:val="32"/>
          <w:highlight w:val="none"/>
        </w:rPr>
        <w:t>1.因公出国（境）费用：根据因公出国（境）计划和实际工作需要，2021年安排因公出国（境）费用预算0万元，与上年执行数持平。</w:t>
      </w:r>
    </w:p>
    <w:p>
      <w:pPr>
        <w:spacing w:line="590" w:lineRule="exact"/>
        <w:ind w:firstLine="640" w:firstLineChars="200"/>
        <w:rPr>
          <w:rFonts w:ascii="仿宋_GB2312" w:hAnsi="ˎ̥" w:eastAsia="仿宋_GB2312" w:cs="宋体"/>
          <w:color w:val="auto"/>
          <w:sz w:val="32"/>
          <w:szCs w:val="32"/>
          <w:highlight w:val="none"/>
        </w:rPr>
      </w:pPr>
      <w:r>
        <w:rPr>
          <w:rFonts w:hint="eastAsia" w:ascii="仿宋_GB2312" w:hAnsi="ˎ̥" w:eastAsia="仿宋_GB2312" w:cs="宋体"/>
          <w:color w:val="auto"/>
          <w:sz w:val="32"/>
          <w:szCs w:val="32"/>
          <w:highlight w:val="none"/>
        </w:rPr>
        <w:t>2.公务接待费：2021年安排公务接待费预算15.45万元，比上年执行数增长163.65%。主要用于</w:t>
      </w:r>
      <w:r>
        <w:rPr>
          <w:rFonts w:hint="eastAsia" w:ascii="仿宋" w:hAnsi="仿宋" w:eastAsia="仿宋"/>
          <w:color w:val="auto"/>
          <w:sz w:val="30"/>
          <w:szCs w:val="30"/>
          <w:highlight w:val="none"/>
        </w:rPr>
        <w:t>公务接待活动过程中发生的费用支出</w:t>
      </w:r>
      <w:r>
        <w:rPr>
          <w:rFonts w:hint="eastAsia" w:ascii="仿宋_GB2312" w:hAnsi="ˎ̥" w:eastAsia="仿宋_GB2312" w:cs="宋体"/>
          <w:color w:val="auto"/>
          <w:sz w:val="32"/>
          <w:szCs w:val="32"/>
          <w:highlight w:val="none"/>
        </w:rPr>
        <w:t>。增加的主要原因是2020年</w:t>
      </w:r>
      <w:r>
        <w:rPr>
          <w:rFonts w:hint="eastAsia" w:ascii="仿宋" w:hAnsi="仿宋" w:eastAsia="仿宋" w:cs="宋体"/>
          <w:color w:val="auto"/>
          <w:sz w:val="30"/>
          <w:szCs w:val="30"/>
          <w:highlight w:val="none"/>
        </w:rPr>
        <w:t>因疫情影响，公务接</w:t>
      </w:r>
      <w:r>
        <w:rPr>
          <w:rFonts w:hint="eastAsia" w:ascii="仿宋" w:hAnsi="仿宋" w:eastAsia="仿宋"/>
          <w:color w:val="auto"/>
          <w:sz w:val="30"/>
          <w:szCs w:val="30"/>
          <w:highlight w:val="none"/>
        </w:rPr>
        <w:t>待人数减少，同时落实</w:t>
      </w:r>
      <w:r>
        <w:rPr>
          <w:rFonts w:hint="eastAsia" w:ascii="仿宋_GB2312" w:hAnsi="ˎ̥" w:eastAsia="仿宋_GB2312" w:cs="宋体"/>
          <w:color w:val="auto"/>
          <w:sz w:val="32"/>
          <w:szCs w:val="32"/>
          <w:highlight w:val="none"/>
        </w:rPr>
        <w:t>厉行节约，严控三公经费，公务接待支出减少。</w:t>
      </w:r>
    </w:p>
    <w:p>
      <w:pPr>
        <w:spacing w:line="590" w:lineRule="exact"/>
        <w:ind w:firstLine="640" w:firstLineChars="200"/>
        <w:rPr>
          <w:rFonts w:ascii="仿宋_GB2312" w:hAnsi="ˎ̥" w:eastAsia="仿宋_GB2312" w:cs="宋体"/>
          <w:color w:val="auto"/>
          <w:sz w:val="32"/>
          <w:szCs w:val="32"/>
          <w:highlight w:val="none"/>
        </w:rPr>
      </w:pPr>
      <w:r>
        <w:rPr>
          <w:rFonts w:hint="eastAsia" w:ascii="仿宋_GB2312" w:hAnsi="ˎ̥" w:eastAsia="仿宋_GB2312" w:cs="宋体"/>
          <w:color w:val="auto"/>
          <w:sz w:val="32"/>
          <w:szCs w:val="32"/>
          <w:highlight w:val="none"/>
        </w:rPr>
        <w:t>3.公务用车购置及运行维护费：2021年安排公务用车购置及运行维护费预算</w:t>
      </w:r>
      <w:r>
        <w:rPr>
          <w:rFonts w:hint="eastAsia" w:ascii="仿宋_GB2312" w:eastAsia="仿宋_GB2312"/>
          <w:color w:val="auto"/>
          <w:sz w:val="32"/>
          <w:szCs w:val="32"/>
          <w:highlight w:val="none"/>
        </w:rPr>
        <w:t>51.96</w:t>
      </w:r>
      <w:r>
        <w:rPr>
          <w:rFonts w:hint="eastAsia" w:ascii="仿宋_GB2312" w:hAnsi="ˎ̥" w:eastAsia="仿宋_GB2312" w:cs="宋体"/>
          <w:color w:val="auto"/>
          <w:sz w:val="32"/>
          <w:szCs w:val="32"/>
          <w:highlight w:val="none"/>
        </w:rPr>
        <w:t>万元，比上年执行数增长39.5%。其中，公务用车运行维护费支出51.96万元，主要用于公务执法等所需的公务用车燃料费、维修费、过桥过路费、保险费、安全奖励费用等支出。</w:t>
      </w:r>
      <w:r>
        <w:rPr>
          <w:rFonts w:hint="eastAsia" w:ascii="仿宋" w:hAnsi="仿宋" w:eastAsia="仿宋"/>
          <w:color w:val="auto"/>
          <w:sz w:val="30"/>
          <w:szCs w:val="30"/>
          <w:highlight w:val="none"/>
        </w:rPr>
        <w:t>增加的主要原因是2020</w:t>
      </w:r>
      <w:r>
        <w:rPr>
          <w:rFonts w:hint="eastAsia" w:ascii="仿宋" w:hAnsi="仿宋" w:eastAsia="仿宋" w:cs="宋体"/>
          <w:color w:val="auto"/>
          <w:sz w:val="30"/>
          <w:szCs w:val="30"/>
          <w:highlight w:val="none"/>
        </w:rPr>
        <w:t>年因疫情影响,出车次数相对减少,车辆管理更加严格,</w:t>
      </w:r>
      <w:r>
        <w:rPr>
          <w:rFonts w:hint="eastAsia" w:ascii="仿宋" w:hAnsi="仿宋" w:eastAsia="仿宋"/>
          <w:color w:val="auto"/>
          <w:sz w:val="30"/>
          <w:szCs w:val="30"/>
          <w:highlight w:val="none"/>
        </w:rPr>
        <w:t>公务用车运行维护费减少。</w:t>
      </w:r>
    </w:p>
    <w:p>
      <w:pPr>
        <w:spacing w:line="590" w:lineRule="exact"/>
        <w:ind w:firstLine="643" w:firstLineChars="200"/>
        <w:rPr>
          <w:rFonts w:ascii="仿宋_GB2312" w:hAnsi="ˎ̥" w:eastAsia="仿宋_GB2312" w:cs="宋体"/>
          <w:b/>
          <w:bCs/>
          <w:color w:val="auto"/>
          <w:sz w:val="32"/>
          <w:szCs w:val="32"/>
          <w:highlight w:val="none"/>
        </w:rPr>
      </w:pPr>
      <w:r>
        <w:rPr>
          <w:rFonts w:hint="eastAsia" w:ascii="仿宋_GB2312" w:hAnsi="ˎ̥" w:eastAsia="仿宋_GB2312" w:cs="宋体"/>
          <w:b/>
          <w:bCs/>
          <w:color w:val="auto"/>
          <w:sz w:val="32"/>
          <w:szCs w:val="32"/>
          <w:highlight w:val="none"/>
        </w:rPr>
        <w:t>（九）其他重要事项的情况说明</w:t>
      </w:r>
    </w:p>
    <w:p>
      <w:pPr>
        <w:spacing w:line="590" w:lineRule="exact"/>
        <w:ind w:firstLine="643" w:firstLineChars="200"/>
        <w:rPr>
          <w:rFonts w:ascii="仿宋_GB2312" w:hAnsi="ˎ̥" w:eastAsia="仿宋_GB2312" w:cs="宋体"/>
          <w:b/>
          <w:bCs/>
          <w:color w:val="auto"/>
          <w:sz w:val="32"/>
          <w:szCs w:val="32"/>
          <w:highlight w:val="none"/>
        </w:rPr>
      </w:pPr>
      <w:r>
        <w:rPr>
          <w:rFonts w:hint="eastAsia" w:ascii="仿宋_GB2312" w:hAnsi="ˎ̥" w:eastAsia="仿宋_GB2312" w:cs="宋体"/>
          <w:b/>
          <w:bCs/>
          <w:color w:val="auto"/>
          <w:sz w:val="32"/>
          <w:szCs w:val="32"/>
          <w:highlight w:val="none"/>
        </w:rPr>
        <w:t>1.机关运行经费</w:t>
      </w:r>
    </w:p>
    <w:p>
      <w:pPr>
        <w:spacing w:line="590" w:lineRule="exact"/>
        <w:ind w:firstLine="640" w:firstLineChars="200"/>
        <w:rPr>
          <w:rFonts w:ascii="仿宋_GB2312" w:hAnsi="ˎ̥" w:eastAsia="仿宋_GB2312" w:cs="宋体"/>
          <w:color w:val="auto"/>
          <w:sz w:val="32"/>
          <w:szCs w:val="32"/>
          <w:highlight w:val="none"/>
        </w:rPr>
      </w:pPr>
      <w:r>
        <w:rPr>
          <w:rFonts w:hint="eastAsia" w:ascii="仿宋_GB2312" w:hAnsi="ˎ̥" w:eastAsia="仿宋_GB2312" w:cs="宋体"/>
          <w:color w:val="auto"/>
          <w:sz w:val="32"/>
          <w:szCs w:val="32"/>
          <w:highlight w:val="none"/>
        </w:rPr>
        <w:t>2021年市综合行政执法局本级1家行政单位机关运行经费财政拨款预算733.56万元，比2020年预算增加32.78万元，增长4.7%，主要是</w:t>
      </w:r>
      <w:r>
        <w:rPr>
          <w:rFonts w:hint="eastAsia" w:ascii="仿宋" w:hAnsi="仿宋" w:eastAsia="仿宋" w:cs="宋体"/>
          <w:color w:val="auto"/>
          <w:sz w:val="30"/>
          <w:szCs w:val="30"/>
          <w:highlight w:val="none"/>
        </w:rPr>
        <w:t>编制外合同工工资标准提高</w:t>
      </w:r>
      <w:r>
        <w:rPr>
          <w:rFonts w:hint="eastAsia" w:ascii="仿宋_GB2312" w:hAnsi="ˎ̥" w:eastAsia="仿宋_GB2312" w:cs="宋体"/>
          <w:color w:val="auto"/>
          <w:sz w:val="32"/>
          <w:szCs w:val="32"/>
          <w:highlight w:val="none"/>
        </w:rPr>
        <w:t>。</w:t>
      </w:r>
    </w:p>
    <w:p>
      <w:pPr>
        <w:spacing w:line="590" w:lineRule="exact"/>
        <w:ind w:firstLine="643" w:firstLineChars="200"/>
        <w:rPr>
          <w:rFonts w:ascii="仿宋_GB2312" w:hAnsi="ˎ̥" w:eastAsia="仿宋_GB2312" w:cs="宋体"/>
          <w:b/>
          <w:bCs/>
          <w:color w:val="auto"/>
          <w:sz w:val="32"/>
          <w:szCs w:val="32"/>
          <w:highlight w:val="none"/>
        </w:rPr>
      </w:pPr>
      <w:r>
        <w:rPr>
          <w:rFonts w:hint="eastAsia" w:ascii="仿宋_GB2312" w:hAnsi="ˎ̥" w:eastAsia="仿宋_GB2312" w:cs="宋体"/>
          <w:b/>
          <w:bCs/>
          <w:color w:val="auto"/>
          <w:sz w:val="32"/>
          <w:szCs w:val="32"/>
          <w:highlight w:val="none"/>
        </w:rPr>
        <w:t>2.政府采购情况</w:t>
      </w:r>
    </w:p>
    <w:p>
      <w:pPr>
        <w:spacing w:line="590" w:lineRule="exact"/>
        <w:ind w:firstLine="640" w:firstLineChars="200"/>
        <w:rPr>
          <w:rFonts w:ascii="仿宋_GB2312" w:hAnsi="ˎ̥" w:eastAsia="仿宋_GB2312" w:cs="宋体"/>
          <w:color w:val="auto"/>
          <w:sz w:val="32"/>
          <w:szCs w:val="32"/>
          <w:highlight w:val="none"/>
        </w:rPr>
      </w:pPr>
      <w:r>
        <w:rPr>
          <w:rFonts w:hint="eastAsia" w:ascii="仿宋_GB2312" w:hAnsi="ˎ̥" w:eastAsia="仿宋_GB2312" w:cs="宋体"/>
          <w:color w:val="auto"/>
          <w:sz w:val="32"/>
          <w:szCs w:val="32"/>
          <w:highlight w:val="none"/>
        </w:rPr>
        <w:t>2021年市综合行政执法局各单位政府采购预算总额468.27万元，其中：政府采购货物预算37</w:t>
      </w:r>
      <w:bookmarkStart w:id="0" w:name="_GoBack"/>
      <w:bookmarkEnd w:id="0"/>
      <w:r>
        <w:rPr>
          <w:rFonts w:hint="eastAsia" w:ascii="仿宋_GB2312" w:hAnsi="ˎ̥" w:eastAsia="仿宋_GB2312" w:cs="宋体"/>
          <w:color w:val="auto"/>
          <w:sz w:val="32"/>
          <w:szCs w:val="32"/>
          <w:highlight w:val="none"/>
        </w:rPr>
        <w:t>3.27万元、政府采购工程预算0万元、政府采购服务预算95万元。</w:t>
      </w:r>
    </w:p>
    <w:p>
      <w:pPr>
        <w:spacing w:line="590" w:lineRule="exact"/>
        <w:ind w:firstLine="643" w:firstLineChars="200"/>
        <w:rPr>
          <w:rFonts w:ascii="仿宋_GB2312" w:hAnsi="ˎ̥" w:eastAsia="仿宋_GB2312" w:cs="宋体"/>
          <w:b/>
          <w:bCs/>
          <w:color w:val="auto"/>
          <w:sz w:val="32"/>
          <w:szCs w:val="32"/>
          <w:highlight w:val="none"/>
        </w:rPr>
      </w:pPr>
      <w:r>
        <w:rPr>
          <w:rFonts w:hint="eastAsia" w:ascii="仿宋_GB2312" w:hAnsi="ˎ̥" w:eastAsia="仿宋_GB2312" w:cs="宋体"/>
          <w:b/>
          <w:bCs/>
          <w:color w:val="auto"/>
          <w:sz w:val="32"/>
          <w:szCs w:val="32"/>
          <w:highlight w:val="none"/>
        </w:rPr>
        <w:t>3.国有资产占有使用情况</w:t>
      </w:r>
    </w:p>
    <w:p>
      <w:pPr>
        <w:spacing w:line="590" w:lineRule="exact"/>
        <w:ind w:firstLine="640" w:firstLineChars="200"/>
        <w:rPr>
          <w:rFonts w:ascii="仿宋_GB2312" w:hAnsi="ˎ̥" w:eastAsia="仿宋_GB2312" w:cs="宋体"/>
          <w:color w:val="auto"/>
          <w:sz w:val="32"/>
          <w:szCs w:val="32"/>
        </w:rPr>
      </w:pPr>
      <w:r>
        <w:rPr>
          <w:rFonts w:hint="eastAsia" w:ascii="仿宋_GB2312" w:hAnsi="ˎ̥" w:eastAsia="仿宋_GB2312" w:cs="宋体"/>
          <w:color w:val="auto"/>
          <w:sz w:val="32"/>
          <w:szCs w:val="32"/>
        </w:rPr>
        <w:t>截至2020年12月31日，市综合行政执法局所属各预算单位共有车辆13辆，其中，执法执勤用车12辆、特种专业技术用车1辆。单位价值50万元以上通用设备0台，单位价值100万元以上专用设备0台</w:t>
      </w:r>
      <w:r>
        <w:rPr>
          <w:rFonts w:hint="eastAsia" w:ascii="仿宋_GB2312" w:eastAsia="仿宋_GB2312"/>
          <w:color w:val="auto"/>
          <w:sz w:val="32"/>
          <w:szCs w:val="32"/>
        </w:rPr>
        <w:t>。</w:t>
      </w:r>
    </w:p>
    <w:p>
      <w:pPr>
        <w:spacing w:line="590" w:lineRule="exact"/>
        <w:ind w:firstLine="642"/>
        <w:rPr>
          <w:rFonts w:ascii="仿宋_GB2312" w:hAnsi="ˎ̥" w:eastAsia="仿宋_GB2312" w:cs="宋体"/>
          <w:color w:val="auto"/>
          <w:sz w:val="32"/>
          <w:szCs w:val="32"/>
        </w:rPr>
      </w:pPr>
      <w:r>
        <w:rPr>
          <w:rFonts w:hint="eastAsia" w:ascii="仿宋_GB2312" w:hAnsi="ˎ̥" w:eastAsia="仿宋_GB2312" w:cs="宋体"/>
          <w:color w:val="auto"/>
          <w:sz w:val="32"/>
          <w:szCs w:val="32"/>
        </w:rPr>
        <w:t>2021年部门预算未安排购置车辆、单位价值50万元以上通用设备及单位价值100万元以上专用设备</w:t>
      </w:r>
      <w:r>
        <w:rPr>
          <w:rFonts w:hint="eastAsia" w:ascii="仿宋_GB2312" w:eastAsia="仿宋_GB2312"/>
          <w:color w:val="auto"/>
          <w:sz w:val="32"/>
          <w:szCs w:val="32"/>
        </w:rPr>
        <w:t>。</w:t>
      </w:r>
    </w:p>
    <w:p>
      <w:pPr>
        <w:spacing w:line="590" w:lineRule="exact"/>
        <w:ind w:firstLine="643" w:firstLineChars="200"/>
        <w:rPr>
          <w:rFonts w:ascii="仿宋_GB2312" w:hAnsi="ˎ̥" w:eastAsia="仿宋_GB2312" w:cs="宋体"/>
          <w:b/>
          <w:bCs/>
          <w:color w:val="auto"/>
          <w:sz w:val="32"/>
          <w:szCs w:val="32"/>
        </w:rPr>
      </w:pPr>
      <w:r>
        <w:rPr>
          <w:rFonts w:hint="eastAsia" w:ascii="仿宋_GB2312" w:hAnsi="ˎ̥" w:eastAsia="仿宋_GB2312" w:cs="宋体"/>
          <w:b/>
          <w:bCs/>
          <w:color w:val="auto"/>
          <w:sz w:val="32"/>
          <w:szCs w:val="32"/>
        </w:rPr>
        <w:t>4.绩效目标设置情况</w:t>
      </w:r>
    </w:p>
    <w:p>
      <w:pPr>
        <w:spacing w:line="360" w:lineRule="auto"/>
        <w:ind w:firstLine="640" w:firstLineChars="200"/>
        <w:rPr>
          <w:rFonts w:ascii="仿宋_GB2312" w:hAnsi="ˎ̥" w:eastAsia="仿宋_GB2312" w:cs="宋体"/>
          <w:color w:val="auto"/>
          <w:sz w:val="32"/>
          <w:szCs w:val="32"/>
        </w:rPr>
      </w:pPr>
      <w:r>
        <w:rPr>
          <w:rFonts w:hint="eastAsia" w:ascii="仿宋_GB2312" w:hAnsi="ˎ̥" w:eastAsia="仿宋_GB2312" w:cs="宋体"/>
          <w:color w:val="auto"/>
          <w:sz w:val="32"/>
          <w:szCs w:val="32"/>
        </w:rPr>
        <w:t>2021年市综合行政执法局部门整体绩效目标是</w:t>
      </w:r>
      <w:r>
        <w:rPr>
          <w:rFonts w:hint="eastAsia" w:ascii="仿宋_GB2312" w:hAnsi="仿宋_GB2312" w:eastAsia="仿宋_GB2312" w:cs="仿宋_GB2312"/>
          <w:color w:val="auto"/>
          <w:sz w:val="32"/>
          <w:szCs w:val="32"/>
        </w:rPr>
        <w:t>加快推进队伍法治化、规范化、专业化建设，完善综合行政执法体制机制，逐步实现“一支队伍管执法”；大力推进行政执法标准化规范化数字化，提升行政执法效能和群众满意度；继续领跑“垃圾革命”，垃圾终端处理设施全面提升；在三改一拆、交通治堵、小城镇综合整治、污水零直排区建设等市中心工作中发挥积极作用；抓细抓实环卫工作，环卫保洁整体继续走在全市前列。</w:t>
      </w:r>
      <w:r>
        <w:rPr>
          <w:rFonts w:hint="eastAsia" w:ascii="仿宋_GB2312" w:hAnsi="ˎ̥" w:eastAsia="仿宋_GB2312" w:cs="宋体"/>
          <w:color w:val="auto"/>
          <w:sz w:val="32"/>
          <w:szCs w:val="32"/>
        </w:rPr>
        <w:t>专项公用类、政策性项目和发展建设类项目均实行绩效目标管理，涉及一般公共预算当年拨款3979.5万元。</w:t>
      </w:r>
    </w:p>
    <w:p>
      <w:pPr>
        <w:spacing w:line="590" w:lineRule="exact"/>
        <w:ind w:firstLine="640" w:firstLineChars="200"/>
        <w:rPr>
          <w:color w:val="auto"/>
          <w:sz w:val="32"/>
          <w:szCs w:val="32"/>
        </w:rPr>
      </w:pPr>
      <w:r>
        <w:rPr>
          <w:rFonts w:hint="eastAsia" w:ascii="黑体" w:hAnsi="ˎ̥" w:eastAsia="黑体" w:cs="宋体"/>
          <w:color w:val="auto"/>
          <w:sz w:val="32"/>
          <w:szCs w:val="32"/>
        </w:rPr>
        <w:t>三、名词解释</w:t>
      </w:r>
    </w:p>
    <w:p>
      <w:pPr>
        <w:pStyle w:val="9"/>
        <w:widowControl w:val="0"/>
        <w:spacing w:line="59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1.财政拨款收入：本级财政部门当年拨付的财政预算资金，包括一般公共预算财政拨款和政府性基金预算财政拨款。</w:t>
      </w:r>
    </w:p>
    <w:p>
      <w:pPr>
        <w:pStyle w:val="9"/>
        <w:widowControl w:val="0"/>
        <w:spacing w:line="590" w:lineRule="exact"/>
        <w:rPr>
          <w:rFonts w:ascii="仿宋_GB2312" w:eastAsia="仿宋_GB2312"/>
          <w:color w:val="auto"/>
          <w:sz w:val="32"/>
          <w:szCs w:val="32"/>
        </w:rPr>
      </w:pPr>
      <w:r>
        <w:rPr>
          <w:rFonts w:hint="eastAsia" w:ascii="仿宋_GB2312" w:eastAsia="仿宋_GB2312"/>
          <w:color w:val="auto"/>
          <w:sz w:val="32"/>
          <w:szCs w:val="32"/>
        </w:rPr>
        <w:t xml:space="preserve">    2.专户资金:教育收费作为本部门的事业收入，纳入财政专户管理的资金。</w:t>
      </w:r>
    </w:p>
    <w:p>
      <w:pPr>
        <w:pStyle w:val="9"/>
        <w:widowControl w:val="0"/>
        <w:spacing w:line="590" w:lineRule="exact"/>
        <w:ind w:firstLine="640"/>
        <w:rPr>
          <w:rFonts w:ascii="仿宋_GB2312" w:eastAsia="仿宋_GB2312"/>
          <w:color w:val="auto"/>
          <w:sz w:val="32"/>
          <w:szCs w:val="32"/>
        </w:rPr>
      </w:pPr>
      <w:r>
        <w:rPr>
          <w:rFonts w:hint="eastAsia" w:ascii="仿宋_GB2312" w:eastAsia="仿宋_GB2312"/>
          <w:color w:val="auto"/>
          <w:sz w:val="32"/>
          <w:szCs w:val="32"/>
        </w:rPr>
        <w:t>3.事业收入：事业单位开展专业业务活动及辅助活动所取得的收入，不含专户资金收入。</w:t>
      </w:r>
    </w:p>
    <w:p>
      <w:pPr>
        <w:pStyle w:val="9"/>
        <w:widowControl w:val="0"/>
        <w:spacing w:line="590" w:lineRule="exact"/>
        <w:ind w:firstLine="640"/>
        <w:rPr>
          <w:rFonts w:ascii="仿宋_GB2312" w:eastAsia="仿宋_GB2312"/>
          <w:color w:val="auto"/>
          <w:sz w:val="32"/>
          <w:szCs w:val="32"/>
        </w:rPr>
      </w:pPr>
      <w:r>
        <w:rPr>
          <w:rFonts w:hint="eastAsia" w:ascii="仿宋_GB2312" w:eastAsia="仿宋_GB2312"/>
          <w:color w:val="auto"/>
          <w:sz w:val="32"/>
          <w:szCs w:val="32"/>
        </w:rPr>
        <w:t>4.事业单位经营收入：事业单位在专业业务活动及辅助活动之外开展非独立核算经营活动取得的收入。</w:t>
      </w:r>
    </w:p>
    <w:p>
      <w:pPr>
        <w:pStyle w:val="9"/>
        <w:widowControl w:val="0"/>
        <w:spacing w:line="590" w:lineRule="exact"/>
        <w:rPr>
          <w:rFonts w:ascii="仿宋_GB2312" w:eastAsia="仿宋_GB2312"/>
          <w:color w:val="auto"/>
          <w:sz w:val="32"/>
          <w:szCs w:val="32"/>
        </w:rPr>
      </w:pPr>
      <w:r>
        <w:rPr>
          <w:rFonts w:hint="eastAsia" w:ascii="仿宋_GB2312" w:eastAsia="仿宋_GB2312"/>
          <w:color w:val="auto"/>
          <w:sz w:val="32"/>
          <w:szCs w:val="32"/>
        </w:rPr>
        <w:t xml:space="preserve">    5.其他收入：预算单位在“一般公共预算”“政府性基金”“专户资金”“事业收入”“事业单位经营收入”等之外取得的各项收入（含上级补助收入和附属单位缴款等收入）。</w:t>
      </w:r>
    </w:p>
    <w:p>
      <w:pPr>
        <w:pStyle w:val="9"/>
        <w:widowControl w:val="0"/>
        <w:spacing w:line="590" w:lineRule="exact"/>
        <w:rPr>
          <w:rFonts w:eastAsia="仿宋_GB2312"/>
          <w:color w:val="auto"/>
          <w:sz w:val="32"/>
          <w:szCs w:val="32"/>
        </w:rPr>
      </w:pPr>
      <w:r>
        <w:rPr>
          <w:rFonts w:hint="eastAsia" w:ascii="仿宋_GB2312" w:eastAsia="仿宋_GB2312"/>
          <w:color w:val="auto"/>
          <w:sz w:val="32"/>
          <w:szCs w:val="32"/>
        </w:rPr>
        <w:t xml:space="preserve">    6.</w:t>
      </w:r>
      <w:r>
        <w:rPr>
          <w:rFonts w:hint="eastAsia" w:eastAsia="仿宋_GB2312"/>
          <w:color w:val="auto"/>
          <w:sz w:val="32"/>
          <w:szCs w:val="32"/>
        </w:rPr>
        <w:t>上年结转：指以前年度尚未完成、结转到本年仍按原规定用途继续使用的资金。</w:t>
      </w:r>
    </w:p>
    <w:p>
      <w:pPr>
        <w:spacing w:line="590" w:lineRule="exact"/>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7.基本支出：是预算单位为保障其正常运转，完成日常工作任务所发生的支出，包括人员支出和日常公用支出。</w:t>
      </w:r>
    </w:p>
    <w:p>
      <w:pPr>
        <w:spacing w:line="590" w:lineRule="exact"/>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8.项目支出：是预算单位为完成其特定的行政工作任务或事业发展目标所发生的支出。</w:t>
      </w:r>
    </w:p>
    <w:p>
      <w:pPr>
        <w:spacing w:line="590" w:lineRule="exact"/>
        <w:ind w:firstLine="640" w:firstLineChars="200"/>
        <w:rPr>
          <w:rFonts w:ascii="仿宋_GB2312" w:hAnsi="仿宋_GB2312" w:eastAsia="仿宋_GB2312"/>
          <w:color w:val="auto"/>
          <w:sz w:val="32"/>
          <w:szCs w:val="32"/>
        </w:rPr>
      </w:pPr>
      <w:r>
        <w:rPr>
          <w:rFonts w:hint="eastAsia" w:ascii="仿宋_GB2312" w:hAnsi="仿宋_GB2312" w:eastAsia="仿宋_GB2312"/>
          <w:color w:val="auto"/>
          <w:sz w:val="32"/>
          <w:szCs w:val="32"/>
        </w:rPr>
        <w:t>9、经营支出：指事业单位在专业业务活动及其辅助活动之外开展非独立核算经营活动发生的支出。</w:t>
      </w:r>
    </w:p>
    <w:p>
      <w:pPr>
        <w:spacing w:line="590" w:lineRule="exact"/>
        <w:ind w:firstLine="640" w:firstLineChars="200"/>
        <w:rPr>
          <w:rFonts w:ascii="仿宋_GB2312" w:hAnsi="仿宋_GB2312" w:eastAsia="仿宋_GB2312"/>
          <w:color w:val="auto"/>
          <w:sz w:val="32"/>
          <w:szCs w:val="32"/>
        </w:rPr>
      </w:pPr>
      <w:r>
        <w:rPr>
          <w:rFonts w:hint="eastAsia" w:ascii="仿宋_GB2312" w:eastAsia="仿宋_GB2312"/>
          <w:bCs/>
          <w:color w:val="auto"/>
          <w:sz w:val="32"/>
          <w:szCs w:val="32"/>
        </w:rPr>
        <w:t>10.</w:t>
      </w:r>
      <w:r>
        <w:rPr>
          <w:rFonts w:hint="eastAsia" w:ascii="仿宋_GB2312" w:hAnsi="仿宋_GB2312" w:eastAsia="仿宋_GB2312"/>
          <w:color w:val="auto"/>
          <w:sz w:val="32"/>
          <w:szCs w:val="32"/>
        </w:rPr>
        <w:t>机关运行经费：是指各部门机关及参公单位的公用经费，包括办公及印刷费、水电费、邮电费、差旅费、会议费、福利费、物业管理费、日常维修费、专用材料费、日常办公设备购置费、公务用车运行维护费以及其他费用（其他交通费用、其他商品和服务支出）。</w:t>
      </w:r>
    </w:p>
    <w:p>
      <w:pPr>
        <w:pStyle w:val="10"/>
        <w:ind w:firstLine="640" w:firstLineChars="200"/>
        <w:rPr>
          <w:rFonts w:hint="default"/>
          <w:color w:val="auto"/>
          <w:sz w:val="32"/>
          <w:szCs w:val="32"/>
        </w:rPr>
      </w:pPr>
      <w:r>
        <w:rPr>
          <w:color w:val="auto"/>
          <w:sz w:val="32"/>
          <w:szCs w:val="32"/>
        </w:rPr>
        <w:t>11. 社会保障和就业支出（类）行政事业单位养老支出（款）机关事业单位基本养老保险缴费支出（项）：指机关事业单位实施养老保险制度由单位缴纳的基本养老保险支出。</w:t>
      </w:r>
    </w:p>
    <w:p>
      <w:pPr>
        <w:pStyle w:val="10"/>
        <w:ind w:firstLine="640" w:firstLineChars="200"/>
        <w:rPr>
          <w:rFonts w:hint="default"/>
          <w:color w:val="auto"/>
          <w:sz w:val="32"/>
          <w:szCs w:val="32"/>
        </w:rPr>
      </w:pPr>
      <w:r>
        <w:rPr>
          <w:color w:val="auto"/>
          <w:sz w:val="32"/>
          <w:szCs w:val="32"/>
        </w:rPr>
        <w:t>12. 社会保障和就业支出（类）行政事业单位养老支出（款）机关事业单位职业年金缴费支出（项）：指机关事业单位实施养老保险制度由单位实际缴纳的职业年金支出。</w:t>
      </w:r>
    </w:p>
    <w:p>
      <w:pPr>
        <w:spacing w:line="560" w:lineRule="exact"/>
        <w:ind w:left="149" w:leftChars="71" w:firstLine="450" w:firstLineChars="150"/>
        <w:rPr>
          <w:rFonts w:ascii="仿宋_GB2312" w:hAnsi="ˎ̥" w:eastAsia="仿宋_GB2312" w:cs="宋体"/>
          <w:color w:val="auto"/>
          <w:sz w:val="30"/>
          <w:szCs w:val="30"/>
        </w:rPr>
      </w:pPr>
      <w:r>
        <w:rPr>
          <w:rFonts w:hint="eastAsia" w:ascii="仿宋_GB2312" w:hAnsi="ˎ̥" w:eastAsia="仿宋_GB2312" w:cs="宋体"/>
          <w:color w:val="auto"/>
          <w:sz w:val="30"/>
          <w:szCs w:val="30"/>
        </w:rPr>
        <w:t>13.城乡社区支出</w:t>
      </w:r>
      <w:r>
        <w:rPr>
          <w:rFonts w:ascii="仿宋_GB2312" w:hAnsi="仿宋_GB2312" w:eastAsia="仿宋_GB2312"/>
          <w:color w:val="auto"/>
          <w:kern w:val="0"/>
          <w:sz w:val="32"/>
          <w:szCs w:val="32"/>
        </w:rPr>
        <w:t>（类）</w:t>
      </w:r>
      <w:r>
        <w:rPr>
          <w:rFonts w:hint="eastAsia" w:ascii="仿宋_GB2312" w:hAnsi="ˎ̥" w:eastAsia="仿宋_GB2312" w:cs="宋体"/>
          <w:color w:val="auto"/>
          <w:sz w:val="30"/>
          <w:szCs w:val="30"/>
        </w:rPr>
        <w:t>城乡社区管理事务</w:t>
      </w:r>
      <w:r>
        <w:rPr>
          <w:rFonts w:ascii="仿宋_GB2312" w:hAnsi="仿宋_GB2312" w:eastAsia="仿宋_GB2312"/>
          <w:color w:val="auto"/>
          <w:kern w:val="0"/>
          <w:sz w:val="32"/>
          <w:szCs w:val="32"/>
        </w:rPr>
        <w:t>（款）</w:t>
      </w:r>
      <w:r>
        <w:rPr>
          <w:rFonts w:hint="eastAsia" w:ascii="仿宋_GB2312" w:hAnsi="ˎ̥" w:eastAsia="仿宋_GB2312" w:cs="宋体"/>
          <w:color w:val="auto"/>
          <w:sz w:val="30"/>
          <w:szCs w:val="30"/>
        </w:rPr>
        <w:t>行政运行</w:t>
      </w:r>
      <w:r>
        <w:rPr>
          <w:rFonts w:ascii="仿宋_GB2312" w:hAnsi="仿宋_GB2312" w:eastAsia="仿宋_GB2312"/>
          <w:color w:val="auto"/>
          <w:kern w:val="0"/>
          <w:sz w:val="32"/>
          <w:szCs w:val="32"/>
        </w:rPr>
        <w:t>（项）</w:t>
      </w:r>
      <w:r>
        <w:rPr>
          <w:rFonts w:hint="eastAsia" w:ascii="仿宋_GB2312" w:hAnsi="ˎ̥" w:eastAsia="仿宋_GB2312" w:cs="宋体"/>
          <w:color w:val="auto"/>
          <w:sz w:val="30"/>
          <w:szCs w:val="30"/>
        </w:rPr>
        <w:t>：指行政单位（包括实行公务员管理的事业单位）的基本支出。</w:t>
      </w:r>
    </w:p>
    <w:p>
      <w:pPr>
        <w:spacing w:line="560" w:lineRule="exact"/>
        <w:ind w:left="149" w:leftChars="71" w:firstLine="450" w:firstLineChars="150"/>
        <w:rPr>
          <w:rFonts w:ascii="仿宋_GB2312" w:hAnsi="ˎ̥" w:eastAsia="仿宋_GB2312" w:cs="宋体"/>
          <w:color w:val="auto"/>
          <w:sz w:val="30"/>
          <w:szCs w:val="30"/>
        </w:rPr>
      </w:pPr>
      <w:r>
        <w:rPr>
          <w:rFonts w:hint="eastAsia" w:ascii="仿宋_GB2312" w:hAnsi="ˎ̥" w:eastAsia="仿宋_GB2312" w:cs="宋体"/>
          <w:color w:val="auto"/>
          <w:sz w:val="30"/>
          <w:szCs w:val="30"/>
        </w:rPr>
        <w:t>14.城乡社区支出</w:t>
      </w:r>
      <w:r>
        <w:rPr>
          <w:rFonts w:ascii="仿宋_GB2312" w:hAnsi="仿宋_GB2312" w:eastAsia="仿宋_GB2312"/>
          <w:color w:val="auto"/>
          <w:kern w:val="0"/>
          <w:sz w:val="32"/>
          <w:szCs w:val="32"/>
        </w:rPr>
        <w:t>（类）</w:t>
      </w:r>
      <w:r>
        <w:rPr>
          <w:rFonts w:hint="eastAsia" w:ascii="仿宋_GB2312" w:hAnsi="ˎ̥" w:eastAsia="仿宋_GB2312" w:cs="宋体"/>
          <w:color w:val="auto"/>
          <w:sz w:val="30"/>
          <w:szCs w:val="30"/>
        </w:rPr>
        <w:t>城乡社区管理事务</w:t>
      </w:r>
      <w:r>
        <w:rPr>
          <w:rFonts w:ascii="仿宋_GB2312" w:hAnsi="仿宋_GB2312" w:eastAsia="仿宋_GB2312"/>
          <w:color w:val="auto"/>
          <w:kern w:val="0"/>
          <w:sz w:val="32"/>
          <w:szCs w:val="32"/>
        </w:rPr>
        <w:t>（款）</w:t>
      </w:r>
      <w:r>
        <w:rPr>
          <w:rFonts w:hint="eastAsia" w:ascii="仿宋_GB2312" w:hAnsi="ˎ̥" w:eastAsia="仿宋_GB2312" w:cs="宋体"/>
          <w:color w:val="auto"/>
          <w:sz w:val="30"/>
          <w:szCs w:val="30"/>
        </w:rPr>
        <w:t>城管执法</w:t>
      </w:r>
      <w:r>
        <w:rPr>
          <w:rFonts w:ascii="仿宋_GB2312" w:hAnsi="仿宋_GB2312" w:eastAsia="仿宋_GB2312"/>
          <w:color w:val="auto"/>
          <w:kern w:val="0"/>
          <w:sz w:val="32"/>
          <w:szCs w:val="32"/>
        </w:rPr>
        <w:t>（项）</w:t>
      </w:r>
      <w:r>
        <w:rPr>
          <w:rFonts w:hint="eastAsia" w:ascii="仿宋_GB2312" w:hAnsi="ˎ̥" w:eastAsia="仿宋_GB2312" w:cs="宋体"/>
          <w:color w:val="auto"/>
          <w:sz w:val="30"/>
          <w:szCs w:val="30"/>
        </w:rPr>
        <w:t>：指城市管理综合行政执法、加强城市市容和环境卫生管理等方面的支出。</w:t>
      </w:r>
    </w:p>
    <w:p>
      <w:pPr>
        <w:spacing w:line="560" w:lineRule="exact"/>
        <w:ind w:left="149" w:leftChars="71" w:firstLine="450" w:firstLineChars="150"/>
        <w:rPr>
          <w:rFonts w:ascii="仿宋_GB2312" w:hAnsi="ˎ̥" w:eastAsia="仿宋_GB2312" w:cs="宋体"/>
          <w:color w:val="auto"/>
          <w:sz w:val="30"/>
          <w:szCs w:val="30"/>
        </w:rPr>
      </w:pPr>
      <w:r>
        <w:rPr>
          <w:rFonts w:hint="eastAsia" w:ascii="仿宋_GB2312" w:hAnsi="ˎ̥" w:eastAsia="仿宋_GB2312" w:cs="宋体"/>
          <w:color w:val="auto"/>
          <w:sz w:val="30"/>
          <w:szCs w:val="30"/>
        </w:rPr>
        <w:t>15.城乡社区支出</w:t>
      </w:r>
      <w:r>
        <w:rPr>
          <w:rFonts w:ascii="仿宋_GB2312" w:hAnsi="仿宋_GB2312" w:eastAsia="仿宋_GB2312"/>
          <w:color w:val="auto"/>
          <w:kern w:val="0"/>
          <w:sz w:val="32"/>
          <w:szCs w:val="32"/>
        </w:rPr>
        <w:t>（类）</w:t>
      </w:r>
      <w:r>
        <w:rPr>
          <w:rFonts w:hint="eastAsia" w:ascii="仿宋_GB2312" w:hAnsi="ˎ̥" w:eastAsia="仿宋_GB2312" w:cs="宋体"/>
          <w:color w:val="auto"/>
          <w:sz w:val="30"/>
          <w:szCs w:val="30"/>
        </w:rPr>
        <w:t>城乡社区管理事务</w:t>
      </w:r>
      <w:r>
        <w:rPr>
          <w:rFonts w:ascii="仿宋_GB2312" w:hAnsi="仿宋_GB2312" w:eastAsia="仿宋_GB2312"/>
          <w:color w:val="auto"/>
          <w:kern w:val="0"/>
          <w:sz w:val="32"/>
          <w:szCs w:val="32"/>
        </w:rPr>
        <w:t>（款）</w:t>
      </w:r>
      <w:r>
        <w:rPr>
          <w:rFonts w:hint="eastAsia" w:ascii="仿宋_GB2312" w:hAnsi="ˎ̥" w:eastAsia="仿宋_GB2312" w:cs="宋体"/>
          <w:color w:val="auto"/>
          <w:sz w:val="30"/>
          <w:szCs w:val="30"/>
        </w:rPr>
        <w:t>其他城乡社区管理事务支出</w:t>
      </w:r>
      <w:r>
        <w:rPr>
          <w:color w:val="auto"/>
          <w:sz w:val="32"/>
          <w:szCs w:val="32"/>
        </w:rPr>
        <w:t>（项）</w:t>
      </w:r>
      <w:r>
        <w:rPr>
          <w:rFonts w:hint="eastAsia" w:ascii="仿宋_GB2312" w:hAnsi="ˎ̥" w:eastAsia="仿宋_GB2312" w:cs="宋体"/>
          <w:color w:val="auto"/>
          <w:sz w:val="30"/>
          <w:szCs w:val="30"/>
        </w:rPr>
        <w:t>：指其他用于城乡社区管理事务方面的支出。</w:t>
      </w:r>
    </w:p>
    <w:p>
      <w:pPr>
        <w:spacing w:line="560" w:lineRule="exact"/>
        <w:ind w:left="149" w:leftChars="71" w:firstLine="450" w:firstLineChars="150"/>
        <w:rPr>
          <w:color w:val="auto"/>
        </w:rPr>
      </w:pPr>
      <w:r>
        <w:rPr>
          <w:rFonts w:hint="eastAsia" w:ascii="仿宋_GB2312" w:hAnsi="ˎ̥" w:eastAsia="仿宋_GB2312" w:cs="宋体"/>
          <w:color w:val="auto"/>
          <w:sz w:val="30"/>
          <w:szCs w:val="30"/>
        </w:rPr>
        <w:t>16.城乡社区支出</w:t>
      </w:r>
      <w:r>
        <w:rPr>
          <w:rFonts w:ascii="仿宋_GB2312" w:hAnsi="仿宋_GB2312" w:eastAsia="仿宋_GB2312"/>
          <w:color w:val="auto"/>
          <w:kern w:val="0"/>
          <w:sz w:val="32"/>
          <w:szCs w:val="32"/>
        </w:rPr>
        <w:t>（类）</w:t>
      </w:r>
      <w:r>
        <w:rPr>
          <w:rFonts w:hint="eastAsia" w:ascii="仿宋_GB2312" w:hAnsi="ˎ̥" w:eastAsia="仿宋_GB2312" w:cs="宋体"/>
          <w:color w:val="auto"/>
          <w:sz w:val="30"/>
          <w:szCs w:val="30"/>
        </w:rPr>
        <w:t>其他城乡社区支出</w:t>
      </w:r>
      <w:r>
        <w:rPr>
          <w:rFonts w:ascii="仿宋_GB2312" w:hAnsi="仿宋_GB2312" w:eastAsia="仿宋_GB2312"/>
          <w:color w:val="auto"/>
          <w:kern w:val="0"/>
          <w:sz w:val="32"/>
          <w:szCs w:val="32"/>
        </w:rPr>
        <w:t>（款）</w:t>
      </w:r>
      <w:r>
        <w:rPr>
          <w:rFonts w:hint="eastAsia" w:ascii="仿宋_GB2312" w:hAnsi="ˎ̥" w:eastAsia="仿宋_GB2312" w:cs="宋体"/>
          <w:color w:val="auto"/>
          <w:sz w:val="30"/>
          <w:szCs w:val="30"/>
        </w:rPr>
        <w:t>其他城乡社区支出</w:t>
      </w:r>
      <w:r>
        <w:rPr>
          <w:rFonts w:ascii="仿宋_GB2312" w:hAnsi="仿宋_GB2312" w:eastAsia="仿宋_GB2312"/>
          <w:color w:val="auto"/>
          <w:kern w:val="0"/>
          <w:sz w:val="32"/>
          <w:szCs w:val="32"/>
        </w:rPr>
        <w:t>（项）</w:t>
      </w:r>
      <w:r>
        <w:rPr>
          <w:rFonts w:hint="eastAsia" w:ascii="仿宋_GB2312" w:hAnsi="ˎ̥" w:eastAsia="仿宋_GB2312" w:cs="宋体"/>
          <w:color w:val="auto"/>
          <w:sz w:val="30"/>
          <w:szCs w:val="30"/>
        </w:rPr>
        <w:t>：指其他用于城乡社区方面的支出。</w:t>
      </w:r>
    </w:p>
    <w:p>
      <w:pPr>
        <w:pStyle w:val="10"/>
        <w:ind w:firstLine="600" w:firstLineChars="200"/>
        <w:rPr>
          <w:rFonts w:hint="default"/>
        </w:rPr>
      </w:pPr>
      <w:r>
        <w:rPr>
          <w:rFonts w:hAnsi="ˎ̥" w:cs="宋体"/>
          <w:color w:val="auto"/>
          <w:sz w:val="30"/>
          <w:szCs w:val="30"/>
        </w:rPr>
        <w:t>17.城乡社区支出</w:t>
      </w:r>
      <w:r>
        <w:rPr>
          <w:color w:val="auto"/>
          <w:sz w:val="32"/>
          <w:szCs w:val="32"/>
        </w:rPr>
        <w:t>（类）</w:t>
      </w:r>
      <w:r>
        <w:rPr>
          <w:rFonts w:hAnsi="ˎ̥" w:cs="宋体"/>
          <w:color w:val="auto"/>
          <w:sz w:val="30"/>
          <w:szCs w:val="30"/>
        </w:rPr>
        <w:t>国有土地使用权出让收入安排的支出</w:t>
      </w:r>
      <w:r>
        <w:rPr>
          <w:color w:val="auto"/>
          <w:sz w:val="32"/>
          <w:szCs w:val="32"/>
        </w:rPr>
        <w:t>（款）</w:t>
      </w:r>
      <w:r>
        <w:rPr>
          <w:rFonts w:hAnsi="ˎ̥" w:cs="宋体"/>
          <w:color w:val="auto"/>
          <w:sz w:val="30"/>
          <w:szCs w:val="30"/>
        </w:rPr>
        <w:t>其他国有土地使用权出让收入安排的支出</w:t>
      </w:r>
      <w:r>
        <w:rPr>
          <w:color w:val="auto"/>
          <w:sz w:val="32"/>
          <w:szCs w:val="32"/>
        </w:rPr>
        <w:t>（项）：指土地出让收入用于其他方面的支出。不包括市县级政府当年按规定用土地出让收入向中央和省级政府缴纳的新</w:t>
      </w:r>
      <w:r>
        <w:rPr>
          <w:sz w:val="32"/>
          <w:szCs w:val="32"/>
        </w:rPr>
        <w:t>增建设用地土地有偿使用费的支出。</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
      <w:lvlText w:val="%1."/>
      <w:lvlJc w:val="left"/>
      <w:pPr>
        <w:tabs>
          <w:tab w:val="left" w:pos="312"/>
        </w:tabs>
      </w:pPr>
    </w:lvl>
  </w:abstractNum>
  <w:abstractNum w:abstractNumId="1">
    <w:nsid w:val="00000004"/>
    <w:multiLevelType w:val="singleLevel"/>
    <w:tmpl w:val="00000004"/>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B1D1B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1"/>
    <w:basedOn w:val="1"/>
    <w:next w:val="1"/>
    <w:uiPriority w:val="0"/>
    <w:pPr>
      <w:spacing w:beforeLines="50" w:line="360" w:lineRule="auto"/>
      <w:ind w:firstLine="420" w:firstLineChars="200"/>
    </w:pPr>
    <w:rPr>
      <w:rFonts w:ascii="宋体" w:hAnsi="宋体"/>
      <w:iCs/>
      <w:sz w:val="24"/>
      <w:szCs w:val="21"/>
    </w:rPr>
  </w:style>
  <w:style w:type="paragraph" w:styleId="3">
    <w:name w:val="footer"/>
    <w:basedOn w:val="1"/>
    <w:link w:val="7"/>
    <w:uiPriority w:val="0"/>
    <w:pPr>
      <w:tabs>
        <w:tab w:val="center" w:pos="4153"/>
        <w:tab w:val="right" w:pos="8306"/>
      </w:tabs>
      <w:snapToGrid w:val="0"/>
      <w:jc w:val="left"/>
    </w:pPr>
    <w:rPr>
      <w:kern w:val="2"/>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kern w:val="2"/>
      <w:sz w:val="18"/>
      <w:szCs w:val="18"/>
    </w:rPr>
  </w:style>
  <w:style w:type="character" w:customStyle="1" w:styleId="7">
    <w:name w:val="页脚 Char"/>
    <w:basedOn w:val="6"/>
    <w:link w:val="3"/>
    <w:semiHidden/>
    <w:qFormat/>
    <w:uiPriority w:val="0"/>
    <w:rPr>
      <w:kern w:val="2"/>
      <w:sz w:val="18"/>
      <w:szCs w:val="18"/>
    </w:rPr>
  </w:style>
  <w:style w:type="character" w:customStyle="1" w:styleId="8">
    <w:name w:val="页眉 Char"/>
    <w:basedOn w:val="6"/>
    <w:link w:val="4"/>
    <w:semiHidden/>
    <w:qFormat/>
    <w:uiPriority w:val="0"/>
    <w:rPr>
      <w:kern w:val="2"/>
      <w:sz w:val="18"/>
      <w:szCs w:val="18"/>
    </w:rPr>
  </w:style>
  <w:style w:type="paragraph" w:customStyle="1" w:styleId="9">
    <w:name w:val="p0"/>
    <w:basedOn w:val="1"/>
    <w:qFormat/>
    <w:uiPriority w:val="0"/>
    <w:pPr>
      <w:widowControl/>
    </w:pPr>
    <w:rPr>
      <w:rFonts w:ascii="Calibri" w:hAnsi="Calibri" w:cs="宋体"/>
      <w:kern w:val="0"/>
      <w:szCs w:val="21"/>
    </w:rPr>
  </w:style>
  <w:style w:type="paragraph" w:customStyle="1" w:styleId="10">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11">
    <w:name w:val="普通(网站)1"/>
    <w:qFormat/>
    <w:uiPriority w:val="0"/>
    <w:pPr>
      <w:spacing w:before="100" w:beforeAutospacing="1" w:after="100" w:afterAutospacing="1"/>
    </w:pPr>
    <w:rPr>
      <w:rFonts w:ascii="宋体" w:hAnsi="宋体" w:eastAsia="宋体" w:cs="宋体"/>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741</Words>
  <Characters>4228</Characters>
  <Lines>35</Lines>
  <Paragraphs>9</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2021-04-02T22:57:00Z</dcterms:created>
  <dc:creator>Administrator</dc:creator>
  <cp:lastModifiedBy>Administrator</cp:lastModifiedBy>
  <dcterms:modified xsi:type="dcterms:W3CDTF">2021-04-20T08:59:49Z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0DC52C1573094DC087A9B2A542122146</vt:lpwstr>
  </property>
</Properties>
</file>