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Style w:val="9"/>
          <w:rFonts w:ascii="黑体" w:hAnsi="宋体" w:eastAsia="黑体" w:cs="黑体"/>
          <w:sz w:val="44"/>
          <w:szCs w:val="44"/>
        </w:rPr>
      </w:pPr>
    </w:p>
    <w:p>
      <w:pPr>
        <w:pStyle w:val="6"/>
        <w:jc w:val="center"/>
        <w:rPr>
          <w:rStyle w:val="9"/>
          <w:rFonts w:ascii="黑体" w:hAnsi="宋体" w:eastAsia="黑体" w:cs="黑体"/>
          <w:sz w:val="44"/>
          <w:szCs w:val="44"/>
        </w:rPr>
      </w:pPr>
    </w:p>
    <w:p>
      <w:pPr>
        <w:pStyle w:val="6"/>
        <w:jc w:val="center"/>
      </w:pPr>
      <w:r>
        <w:rPr>
          <w:rStyle w:val="9"/>
          <w:rFonts w:hint="eastAsia" w:ascii="黑体" w:hAnsi="宋体" w:eastAsia="黑体" w:cs="黑体"/>
          <w:sz w:val="44"/>
          <w:szCs w:val="44"/>
        </w:rPr>
        <w:t>国家统计局温岭调查队</w:t>
      </w:r>
      <w:r>
        <w:rPr>
          <w:rStyle w:val="9"/>
          <w:rFonts w:ascii="黑体" w:hAnsi="宋体" w:eastAsia="黑体" w:cs="黑体"/>
          <w:sz w:val="44"/>
          <w:szCs w:val="44"/>
        </w:rPr>
        <w:t>2020年度部门决算</w:t>
      </w:r>
    </w:p>
    <w:p>
      <w:pPr>
        <w:pStyle w:val="6"/>
        <w:jc w:val="center"/>
      </w:pPr>
      <w:r>
        <w:rPr>
          <w:rStyle w:val="9"/>
          <w:rFonts w:ascii="等线" w:hAnsi="等线" w:eastAsia="等线" w:cs="等线"/>
          <w:sz w:val="22"/>
          <w:szCs w:val="22"/>
        </w:rPr>
        <w:t>目录</w:t>
      </w:r>
    </w:p>
    <w:p>
      <w:pPr>
        <w:pStyle w:val="5"/>
        <w:tabs>
          <w:tab w:val="right" w:leader="dot" w:pos="8835"/>
        </w:tabs>
        <w:rPr>
          <w:kern w:val="2"/>
          <w:sz w:val="21"/>
        </w:rPr>
      </w:pPr>
      <w:r>
        <w:fldChar w:fldCharType="begin"/>
      </w:r>
      <w:r>
        <w:instrText xml:space="preserve"> TOC \o "1-3" \h \z \u </w:instrText>
      </w:r>
      <w:r>
        <w:fldChar w:fldCharType="separate"/>
      </w:r>
      <w:r>
        <w:fldChar w:fldCharType="begin"/>
      </w:r>
      <w:r>
        <w:instrText xml:space="preserve"> HYPERLINK \l "_Toc82680860" </w:instrText>
      </w:r>
      <w:r>
        <w:fldChar w:fldCharType="separate"/>
      </w:r>
      <w:r>
        <w:rPr>
          <w:rStyle w:val="10"/>
          <w:rFonts w:hint="eastAsia" w:ascii="黑体" w:hAnsi="宋体" w:eastAsia="黑体" w:cs="黑体"/>
        </w:rPr>
        <w:t>一、概况</w:t>
      </w:r>
      <w:r>
        <w:rPr>
          <w:rStyle w:val="10"/>
          <w:color w:val="auto"/>
          <w:u w:val="none"/>
        </w:rPr>
        <w:tab/>
      </w:r>
      <w:r>
        <w:rPr>
          <w:rStyle w:val="10"/>
          <w:color w:val="auto"/>
          <w:u w:val="none"/>
        </w:rPr>
        <w:fldChar w:fldCharType="begin"/>
      </w:r>
      <w:r>
        <w:rPr>
          <w:rStyle w:val="10"/>
          <w:color w:val="auto"/>
          <w:u w:val="none"/>
        </w:rPr>
        <w:instrText xml:space="preserve"> PAGEREF _Toc82680860 \h </w:instrText>
      </w:r>
      <w:r>
        <w:rPr>
          <w:rStyle w:val="10"/>
          <w:color w:val="auto"/>
          <w:u w:val="none"/>
        </w:rPr>
        <w:fldChar w:fldCharType="separate"/>
      </w:r>
      <w:r>
        <w:rPr>
          <w:rStyle w:val="10"/>
          <w:color w:val="auto"/>
          <w:u w:val="none"/>
        </w:rPr>
        <w:t>1</w:t>
      </w:r>
      <w:r>
        <w:rPr>
          <w:rStyle w:val="10"/>
          <w:color w:val="auto"/>
          <w:u w:val="none"/>
        </w:rPr>
        <w:fldChar w:fldCharType="end"/>
      </w:r>
      <w:r>
        <w:rPr>
          <w:rStyle w:val="10"/>
          <w:color w:val="auto"/>
          <w:u w:val="none"/>
        </w:rPr>
        <w:fldChar w:fldCharType="end"/>
      </w:r>
    </w:p>
    <w:p>
      <w:pPr>
        <w:pStyle w:val="5"/>
        <w:tabs>
          <w:tab w:val="right" w:leader="dot" w:pos="8835"/>
        </w:tabs>
        <w:rPr>
          <w:kern w:val="2"/>
          <w:sz w:val="21"/>
        </w:rPr>
      </w:pPr>
      <w:r>
        <w:fldChar w:fldCharType="begin"/>
      </w:r>
      <w:r>
        <w:instrText xml:space="preserve"> HYPERLINK \l "_Toc82680861" </w:instrText>
      </w:r>
      <w:r>
        <w:fldChar w:fldCharType="separate"/>
      </w:r>
      <w:r>
        <w:rPr>
          <w:rStyle w:val="10"/>
          <w:rFonts w:hint="eastAsia" w:ascii="楷体_GB2312" w:hAnsi="楷体_GB2312" w:eastAsia="楷体_GB2312" w:cs="楷体_GB2312"/>
        </w:rPr>
        <w:t>（一）部门职责</w:t>
      </w:r>
      <w:r>
        <w:rPr>
          <w:rStyle w:val="10"/>
          <w:color w:val="auto"/>
          <w:u w:val="none"/>
        </w:rPr>
        <w:tab/>
      </w:r>
      <w:r>
        <w:rPr>
          <w:rStyle w:val="10"/>
          <w:color w:val="auto"/>
          <w:u w:val="none"/>
        </w:rPr>
        <w:fldChar w:fldCharType="begin"/>
      </w:r>
      <w:r>
        <w:rPr>
          <w:rStyle w:val="10"/>
          <w:color w:val="auto"/>
          <w:u w:val="none"/>
        </w:rPr>
        <w:instrText xml:space="preserve"> PAGEREF _Toc82680861 \h </w:instrText>
      </w:r>
      <w:r>
        <w:rPr>
          <w:rStyle w:val="10"/>
          <w:color w:val="auto"/>
          <w:u w:val="none"/>
        </w:rPr>
        <w:fldChar w:fldCharType="separate"/>
      </w:r>
      <w:r>
        <w:rPr>
          <w:rStyle w:val="10"/>
          <w:color w:val="auto"/>
          <w:u w:val="none"/>
        </w:rPr>
        <w:t>1</w:t>
      </w:r>
      <w:r>
        <w:rPr>
          <w:rStyle w:val="10"/>
          <w:color w:val="auto"/>
          <w:u w:val="none"/>
        </w:rPr>
        <w:fldChar w:fldCharType="end"/>
      </w:r>
      <w:r>
        <w:rPr>
          <w:rStyle w:val="10"/>
          <w:color w:val="auto"/>
          <w:u w:val="none"/>
        </w:rPr>
        <w:fldChar w:fldCharType="end"/>
      </w:r>
    </w:p>
    <w:p>
      <w:pPr>
        <w:pStyle w:val="5"/>
        <w:tabs>
          <w:tab w:val="right" w:leader="dot" w:pos="8835"/>
        </w:tabs>
        <w:rPr>
          <w:kern w:val="2"/>
          <w:sz w:val="21"/>
        </w:rPr>
      </w:pPr>
      <w:r>
        <w:fldChar w:fldCharType="begin"/>
      </w:r>
      <w:r>
        <w:instrText xml:space="preserve"> HYPERLINK \l "_Toc82680862" </w:instrText>
      </w:r>
      <w:r>
        <w:fldChar w:fldCharType="separate"/>
      </w:r>
      <w:r>
        <w:rPr>
          <w:rStyle w:val="10"/>
          <w:rFonts w:hint="eastAsia" w:ascii="楷体_GB2312" w:hAnsi="楷体_GB2312" w:eastAsia="楷体_GB2312" w:cs="楷体_GB2312"/>
        </w:rPr>
        <w:t>（二）机构设置</w:t>
      </w:r>
      <w:r>
        <w:rPr>
          <w:rStyle w:val="10"/>
          <w:color w:val="auto"/>
          <w:u w:val="none"/>
        </w:rPr>
        <w:tab/>
      </w:r>
      <w:r>
        <w:rPr>
          <w:rStyle w:val="10"/>
          <w:rFonts w:hint="eastAsia"/>
          <w:color w:val="auto"/>
          <w:u w:val="none"/>
        </w:rPr>
        <w:t>1</w:t>
      </w:r>
      <w:r>
        <w:rPr>
          <w:rStyle w:val="10"/>
          <w:rFonts w:hint="eastAsia"/>
          <w:color w:val="auto"/>
          <w:u w:val="none"/>
        </w:rPr>
        <w:fldChar w:fldCharType="end"/>
      </w:r>
    </w:p>
    <w:p>
      <w:pPr>
        <w:pStyle w:val="5"/>
        <w:tabs>
          <w:tab w:val="right" w:leader="dot" w:pos="8835"/>
        </w:tabs>
        <w:rPr>
          <w:kern w:val="2"/>
          <w:sz w:val="21"/>
        </w:rPr>
      </w:pPr>
      <w:r>
        <w:fldChar w:fldCharType="begin"/>
      </w:r>
      <w:r>
        <w:instrText xml:space="preserve"> HYPERLINK \l "_Toc82680863" </w:instrText>
      </w:r>
      <w:r>
        <w:fldChar w:fldCharType="separate"/>
      </w:r>
      <w:r>
        <w:rPr>
          <w:rStyle w:val="10"/>
          <w:rFonts w:hint="eastAsia" w:ascii="黑体" w:hAnsi="宋体" w:eastAsia="黑体" w:cs="黑体"/>
        </w:rPr>
        <w:t>二、2020年度部门（单位）决算公开表</w:t>
      </w:r>
      <w:r>
        <w:rPr>
          <w:rStyle w:val="10"/>
          <w:color w:val="auto"/>
          <w:u w:val="none"/>
        </w:rPr>
        <w:tab/>
      </w:r>
      <w:r>
        <w:rPr>
          <w:rStyle w:val="10"/>
          <w:rFonts w:hint="eastAsia"/>
          <w:color w:val="auto"/>
          <w:u w:val="none"/>
        </w:rPr>
        <w:t>2</w:t>
      </w:r>
      <w:r>
        <w:rPr>
          <w:rStyle w:val="10"/>
          <w:rFonts w:hint="eastAsia"/>
          <w:color w:val="auto"/>
          <w:u w:val="none"/>
        </w:rPr>
        <w:fldChar w:fldCharType="end"/>
      </w:r>
    </w:p>
    <w:p>
      <w:pPr>
        <w:pStyle w:val="5"/>
        <w:tabs>
          <w:tab w:val="right" w:leader="dot" w:pos="8835"/>
        </w:tabs>
        <w:rPr>
          <w:kern w:val="2"/>
          <w:sz w:val="21"/>
        </w:rPr>
      </w:pPr>
      <w:r>
        <w:fldChar w:fldCharType="begin"/>
      </w:r>
      <w:r>
        <w:instrText xml:space="preserve"> HYPERLINK \l "_Toc82680864" </w:instrText>
      </w:r>
      <w:r>
        <w:fldChar w:fldCharType="separate"/>
      </w:r>
      <w:r>
        <w:rPr>
          <w:rStyle w:val="10"/>
          <w:rFonts w:hint="eastAsia" w:ascii="黑体" w:hAnsi="宋体" w:eastAsia="黑体" w:cs="黑体"/>
        </w:rPr>
        <w:t>三、2020年度部门（单位）决算情况说明</w:t>
      </w:r>
      <w:r>
        <w:rPr>
          <w:rStyle w:val="10"/>
          <w:color w:val="auto"/>
          <w:u w:val="none"/>
        </w:rPr>
        <w:tab/>
      </w:r>
      <w:r>
        <w:rPr>
          <w:rStyle w:val="10"/>
          <w:rFonts w:hint="eastAsia"/>
          <w:color w:val="auto"/>
          <w:u w:val="none"/>
        </w:rPr>
        <w:t>3</w:t>
      </w:r>
      <w:r>
        <w:rPr>
          <w:rStyle w:val="10"/>
          <w:rFonts w:hint="eastAsia"/>
          <w:color w:val="auto"/>
          <w:u w:val="none"/>
        </w:rPr>
        <w:fldChar w:fldCharType="end"/>
      </w:r>
    </w:p>
    <w:p>
      <w:pPr>
        <w:pStyle w:val="5"/>
        <w:tabs>
          <w:tab w:val="right" w:leader="dot" w:pos="8835"/>
        </w:tabs>
        <w:rPr>
          <w:kern w:val="2"/>
          <w:sz w:val="21"/>
        </w:rPr>
      </w:pPr>
      <w:r>
        <w:fldChar w:fldCharType="begin"/>
      </w:r>
      <w:r>
        <w:instrText xml:space="preserve"> HYPERLINK \l "_Toc82680865" </w:instrText>
      </w:r>
      <w:r>
        <w:fldChar w:fldCharType="separate"/>
      </w:r>
      <w:r>
        <w:rPr>
          <w:rStyle w:val="10"/>
          <w:rFonts w:hint="eastAsia" w:ascii="楷体_GB2312" w:hAnsi="楷体_GB2312" w:eastAsia="楷体_GB2312" w:cs="楷体_GB2312"/>
        </w:rPr>
        <w:t>（一）收入支出决算总体情况说明</w:t>
      </w:r>
      <w:r>
        <w:rPr>
          <w:rStyle w:val="10"/>
          <w:color w:val="auto"/>
          <w:u w:val="none"/>
        </w:rPr>
        <w:tab/>
      </w:r>
      <w:r>
        <w:rPr>
          <w:rStyle w:val="10"/>
          <w:rFonts w:hint="eastAsia"/>
          <w:color w:val="auto"/>
          <w:u w:val="none"/>
        </w:rPr>
        <w:t>4</w:t>
      </w:r>
      <w:r>
        <w:rPr>
          <w:rStyle w:val="10"/>
          <w:rFonts w:hint="eastAsia"/>
          <w:color w:val="auto"/>
          <w:u w:val="none"/>
        </w:rPr>
        <w:fldChar w:fldCharType="end"/>
      </w:r>
    </w:p>
    <w:p>
      <w:pPr>
        <w:pStyle w:val="5"/>
        <w:tabs>
          <w:tab w:val="right" w:leader="dot" w:pos="8835"/>
        </w:tabs>
        <w:rPr>
          <w:kern w:val="2"/>
          <w:sz w:val="21"/>
        </w:rPr>
      </w:pPr>
      <w:r>
        <w:fldChar w:fldCharType="begin"/>
      </w:r>
      <w:r>
        <w:instrText xml:space="preserve"> HYPERLINK \l "_Toc82680866" </w:instrText>
      </w:r>
      <w:r>
        <w:fldChar w:fldCharType="separate"/>
      </w:r>
      <w:r>
        <w:rPr>
          <w:rStyle w:val="10"/>
          <w:rFonts w:hint="eastAsia" w:ascii="楷体_GB2312" w:hAnsi="楷体_GB2312" w:eastAsia="楷体_GB2312" w:cs="楷体_GB2312"/>
        </w:rPr>
        <w:t>（二）收入决算情况说明</w:t>
      </w:r>
      <w:r>
        <w:rPr>
          <w:rStyle w:val="10"/>
          <w:color w:val="auto"/>
          <w:u w:val="none"/>
        </w:rPr>
        <w:tab/>
      </w:r>
      <w:r>
        <w:rPr>
          <w:rStyle w:val="10"/>
          <w:rFonts w:hint="eastAsia"/>
          <w:color w:val="auto"/>
          <w:u w:val="none"/>
        </w:rPr>
        <w:t>4</w:t>
      </w:r>
      <w:r>
        <w:rPr>
          <w:rStyle w:val="10"/>
          <w:rFonts w:hint="eastAsia"/>
          <w:color w:val="auto"/>
          <w:u w:val="none"/>
        </w:rPr>
        <w:fldChar w:fldCharType="end"/>
      </w:r>
    </w:p>
    <w:p>
      <w:pPr>
        <w:pStyle w:val="5"/>
        <w:tabs>
          <w:tab w:val="right" w:leader="dot" w:pos="8835"/>
        </w:tabs>
        <w:rPr>
          <w:kern w:val="2"/>
          <w:sz w:val="21"/>
        </w:rPr>
      </w:pPr>
      <w:r>
        <w:fldChar w:fldCharType="begin"/>
      </w:r>
      <w:r>
        <w:instrText xml:space="preserve"> HYPERLINK \l "_Toc82680867" </w:instrText>
      </w:r>
      <w:r>
        <w:fldChar w:fldCharType="separate"/>
      </w:r>
      <w:r>
        <w:rPr>
          <w:rStyle w:val="10"/>
          <w:rFonts w:hint="eastAsia" w:ascii="楷体_GB2312" w:hAnsi="楷体_GB2312" w:eastAsia="楷体_GB2312" w:cs="楷体_GB2312"/>
        </w:rPr>
        <w:t>（三）支出决算情况说明</w:t>
      </w:r>
      <w:r>
        <w:rPr>
          <w:rStyle w:val="10"/>
          <w:color w:val="auto"/>
          <w:u w:val="none"/>
        </w:rPr>
        <w:tab/>
      </w:r>
      <w:r>
        <w:rPr>
          <w:rStyle w:val="10"/>
          <w:rFonts w:hint="eastAsia"/>
          <w:color w:val="auto"/>
          <w:u w:val="none"/>
        </w:rPr>
        <w:t>4</w:t>
      </w:r>
      <w:r>
        <w:rPr>
          <w:rStyle w:val="10"/>
          <w:rFonts w:hint="eastAsia"/>
          <w:color w:val="auto"/>
          <w:u w:val="none"/>
        </w:rPr>
        <w:fldChar w:fldCharType="end"/>
      </w:r>
    </w:p>
    <w:p>
      <w:pPr>
        <w:pStyle w:val="5"/>
        <w:tabs>
          <w:tab w:val="right" w:leader="dot" w:pos="8835"/>
        </w:tabs>
        <w:rPr>
          <w:kern w:val="2"/>
          <w:sz w:val="21"/>
        </w:rPr>
      </w:pPr>
      <w:r>
        <w:fldChar w:fldCharType="begin"/>
      </w:r>
      <w:r>
        <w:instrText xml:space="preserve"> HYPERLINK \l "_Toc82680868" </w:instrText>
      </w:r>
      <w:r>
        <w:fldChar w:fldCharType="separate"/>
      </w:r>
      <w:r>
        <w:rPr>
          <w:rStyle w:val="10"/>
          <w:rFonts w:hint="eastAsia" w:ascii="楷体_GB2312" w:hAnsi="楷体_GB2312" w:eastAsia="楷体_GB2312" w:cs="楷体_GB2312"/>
        </w:rPr>
        <w:t>（四）财政拨款收入支出决算总体情况说明</w:t>
      </w:r>
      <w:r>
        <w:rPr>
          <w:rStyle w:val="10"/>
          <w:color w:val="auto"/>
          <w:u w:val="none"/>
        </w:rPr>
        <w:tab/>
      </w:r>
      <w:r>
        <w:rPr>
          <w:rStyle w:val="10"/>
          <w:rFonts w:hint="eastAsia"/>
          <w:color w:val="auto"/>
          <w:u w:val="none"/>
        </w:rPr>
        <w:t>4</w:t>
      </w:r>
      <w:r>
        <w:rPr>
          <w:rStyle w:val="10"/>
          <w:rFonts w:hint="eastAsia"/>
          <w:color w:val="auto"/>
          <w:u w:val="none"/>
        </w:rPr>
        <w:fldChar w:fldCharType="end"/>
      </w:r>
    </w:p>
    <w:p>
      <w:pPr>
        <w:pStyle w:val="5"/>
        <w:tabs>
          <w:tab w:val="right" w:leader="dot" w:pos="8835"/>
        </w:tabs>
        <w:rPr>
          <w:kern w:val="2"/>
          <w:sz w:val="21"/>
        </w:rPr>
      </w:pPr>
      <w:r>
        <w:fldChar w:fldCharType="begin"/>
      </w:r>
      <w:r>
        <w:instrText xml:space="preserve"> HYPERLINK \l "_Toc82680869" </w:instrText>
      </w:r>
      <w:r>
        <w:fldChar w:fldCharType="separate"/>
      </w:r>
      <w:r>
        <w:rPr>
          <w:rStyle w:val="10"/>
          <w:rFonts w:hint="eastAsia" w:ascii="楷体_GB2312" w:hAnsi="楷体_GB2312" w:eastAsia="楷体_GB2312" w:cs="楷体_GB2312"/>
        </w:rPr>
        <w:t>（五）一般公共预算财政拨款支出决算情况说明</w:t>
      </w:r>
      <w:r>
        <w:rPr>
          <w:rStyle w:val="10"/>
          <w:color w:val="auto"/>
          <w:u w:val="none"/>
        </w:rPr>
        <w:tab/>
      </w:r>
      <w:r>
        <w:rPr>
          <w:rStyle w:val="10"/>
          <w:rFonts w:hint="eastAsia"/>
          <w:color w:val="auto"/>
          <w:u w:val="none"/>
        </w:rPr>
        <w:t>5</w:t>
      </w:r>
      <w:r>
        <w:rPr>
          <w:rStyle w:val="10"/>
          <w:rFonts w:hint="eastAsia"/>
          <w:color w:val="auto"/>
          <w:u w:val="none"/>
        </w:rPr>
        <w:fldChar w:fldCharType="end"/>
      </w:r>
    </w:p>
    <w:p>
      <w:pPr>
        <w:pStyle w:val="5"/>
        <w:tabs>
          <w:tab w:val="right" w:leader="dot" w:pos="8835"/>
        </w:tabs>
        <w:rPr>
          <w:kern w:val="2"/>
          <w:sz w:val="21"/>
        </w:rPr>
      </w:pPr>
      <w:r>
        <w:fldChar w:fldCharType="begin"/>
      </w:r>
      <w:r>
        <w:instrText xml:space="preserve"> HYPERLINK \l "_Toc82680870" </w:instrText>
      </w:r>
      <w:r>
        <w:fldChar w:fldCharType="separate"/>
      </w:r>
      <w:r>
        <w:rPr>
          <w:rStyle w:val="10"/>
          <w:rFonts w:hint="eastAsia" w:ascii="楷体_GB2312" w:hAnsi="楷体_GB2312" w:eastAsia="楷体_GB2312" w:cs="楷体_GB2312"/>
        </w:rPr>
        <w:t>（六）一般公共预算财政拨款基本支出决算情况说明</w:t>
      </w:r>
      <w:r>
        <w:rPr>
          <w:rStyle w:val="10"/>
          <w:color w:val="auto"/>
          <w:u w:val="none"/>
        </w:rPr>
        <w:tab/>
      </w:r>
      <w:r>
        <w:rPr>
          <w:rStyle w:val="10"/>
          <w:rFonts w:hint="eastAsia"/>
          <w:color w:val="auto"/>
          <w:u w:val="none"/>
        </w:rPr>
        <w:t>6</w:t>
      </w:r>
      <w:r>
        <w:rPr>
          <w:rStyle w:val="10"/>
          <w:rFonts w:hint="eastAsia"/>
          <w:color w:val="auto"/>
          <w:u w:val="none"/>
        </w:rPr>
        <w:fldChar w:fldCharType="end"/>
      </w:r>
    </w:p>
    <w:p>
      <w:pPr>
        <w:pStyle w:val="5"/>
        <w:tabs>
          <w:tab w:val="right" w:leader="dot" w:pos="8835"/>
        </w:tabs>
        <w:rPr>
          <w:kern w:val="2"/>
          <w:sz w:val="21"/>
        </w:rPr>
      </w:pPr>
      <w:r>
        <w:fldChar w:fldCharType="begin"/>
      </w:r>
      <w:r>
        <w:instrText xml:space="preserve"> HYPERLINK \l "_Toc82680871" </w:instrText>
      </w:r>
      <w:r>
        <w:fldChar w:fldCharType="separate"/>
      </w:r>
      <w:r>
        <w:rPr>
          <w:rStyle w:val="10"/>
          <w:rFonts w:hint="eastAsia" w:ascii="楷体_GB2312" w:hAnsi="楷体_GB2312" w:eastAsia="楷体_GB2312" w:cs="楷体_GB2312"/>
        </w:rPr>
        <w:t>（七）政府性基金预算财政拨款支出决算总体情况</w:t>
      </w:r>
      <w:r>
        <w:rPr>
          <w:rStyle w:val="10"/>
          <w:color w:val="auto"/>
          <w:u w:val="none"/>
        </w:rPr>
        <w:tab/>
      </w:r>
      <w:r>
        <w:rPr>
          <w:rStyle w:val="10"/>
          <w:rFonts w:hint="eastAsia"/>
          <w:color w:val="auto"/>
          <w:u w:val="none"/>
        </w:rPr>
        <w:t>7</w:t>
      </w:r>
      <w:r>
        <w:rPr>
          <w:rStyle w:val="10"/>
          <w:rFonts w:hint="eastAsia"/>
          <w:color w:val="auto"/>
          <w:u w:val="none"/>
        </w:rPr>
        <w:fldChar w:fldCharType="end"/>
      </w:r>
    </w:p>
    <w:p>
      <w:pPr>
        <w:pStyle w:val="5"/>
        <w:tabs>
          <w:tab w:val="right" w:leader="dot" w:pos="8835"/>
        </w:tabs>
        <w:rPr>
          <w:kern w:val="2"/>
          <w:sz w:val="21"/>
        </w:rPr>
      </w:pPr>
      <w:r>
        <w:fldChar w:fldCharType="begin"/>
      </w:r>
      <w:r>
        <w:instrText xml:space="preserve"> HYPERLINK \l "_Toc82680872" </w:instrText>
      </w:r>
      <w:r>
        <w:fldChar w:fldCharType="separate"/>
      </w:r>
      <w:r>
        <w:rPr>
          <w:rStyle w:val="10"/>
          <w:rFonts w:hint="eastAsia" w:ascii="楷体_GB2312" w:hAnsi="楷体_GB2312" w:eastAsia="楷体_GB2312" w:cs="楷体_GB2312"/>
        </w:rPr>
        <w:t>（八）国有资本经营预算财政拨款支出决算总体情</w:t>
      </w:r>
      <w:r>
        <w:rPr>
          <w:rStyle w:val="10"/>
          <w:color w:val="auto"/>
          <w:u w:val="none"/>
        </w:rPr>
        <w:tab/>
      </w:r>
      <w:r>
        <w:rPr>
          <w:rStyle w:val="10"/>
          <w:rFonts w:hint="eastAsia"/>
          <w:color w:val="auto"/>
          <w:u w:val="none"/>
        </w:rPr>
        <w:t>8</w:t>
      </w:r>
      <w:r>
        <w:rPr>
          <w:rStyle w:val="10"/>
          <w:rFonts w:hint="eastAsia"/>
          <w:color w:val="auto"/>
          <w:u w:val="none"/>
        </w:rPr>
        <w:fldChar w:fldCharType="end"/>
      </w:r>
    </w:p>
    <w:p>
      <w:pPr>
        <w:pStyle w:val="5"/>
        <w:tabs>
          <w:tab w:val="right" w:leader="dot" w:pos="8835"/>
        </w:tabs>
        <w:rPr>
          <w:kern w:val="2"/>
          <w:sz w:val="21"/>
        </w:rPr>
      </w:pPr>
      <w:r>
        <w:fldChar w:fldCharType="begin"/>
      </w:r>
      <w:r>
        <w:instrText xml:space="preserve"> HYPERLINK \l "_Toc82680873" </w:instrText>
      </w:r>
      <w:r>
        <w:fldChar w:fldCharType="separate"/>
      </w:r>
      <w:r>
        <w:rPr>
          <w:rStyle w:val="10"/>
          <w:rFonts w:hint="eastAsia" w:ascii="楷体_GB2312" w:hAnsi="楷体_GB2312" w:eastAsia="楷体_GB2312" w:cs="楷体_GB2312"/>
        </w:rPr>
        <w:t>（九）一般公共预算财政拨款“三公”经费支出决算情况说明</w:t>
      </w:r>
      <w:r>
        <w:rPr>
          <w:rStyle w:val="10"/>
          <w:color w:val="auto"/>
          <w:u w:val="none"/>
        </w:rPr>
        <w:tab/>
      </w:r>
      <w:r>
        <w:rPr>
          <w:rStyle w:val="10"/>
          <w:rFonts w:hint="eastAsia"/>
          <w:color w:val="auto"/>
          <w:u w:val="none"/>
        </w:rPr>
        <w:t>9</w:t>
      </w:r>
      <w:r>
        <w:rPr>
          <w:rStyle w:val="10"/>
          <w:rFonts w:hint="eastAsia"/>
          <w:color w:val="auto"/>
          <w:u w:val="none"/>
        </w:rPr>
        <w:fldChar w:fldCharType="end"/>
      </w:r>
    </w:p>
    <w:p>
      <w:pPr>
        <w:pStyle w:val="5"/>
        <w:tabs>
          <w:tab w:val="right" w:leader="dot" w:pos="8835"/>
        </w:tabs>
        <w:rPr>
          <w:kern w:val="2"/>
          <w:sz w:val="21"/>
        </w:rPr>
      </w:pPr>
      <w:r>
        <w:fldChar w:fldCharType="begin"/>
      </w:r>
      <w:r>
        <w:instrText xml:space="preserve"> HYPERLINK \l "_Toc82680874" </w:instrText>
      </w:r>
      <w:r>
        <w:fldChar w:fldCharType="separate"/>
      </w:r>
      <w:r>
        <w:rPr>
          <w:rStyle w:val="10"/>
          <w:rFonts w:hint="eastAsia" w:ascii="楷体_GB2312" w:hAnsi="楷体_GB2312" w:eastAsia="楷体_GB2312" w:cs="楷体_GB2312"/>
        </w:rPr>
        <w:t>（十）机关运行经费支出说明</w:t>
      </w:r>
      <w:r>
        <w:rPr>
          <w:rStyle w:val="10"/>
          <w:color w:val="auto"/>
          <w:u w:val="none"/>
        </w:rPr>
        <w:tab/>
      </w:r>
      <w:r>
        <w:rPr>
          <w:rStyle w:val="10"/>
          <w:rFonts w:hint="eastAsia"/>
          <w:color w:val="auto"/>
          <w:u w:val="none"/>
        </w:rPr>
        <w:t>1</w:t>
      </w:r>
      <w:r>
        <w:rPr>
          <w:rStyle w:val="10"/>
          <w:rFonts w:hint="eastAsia"/>
          <w:color w:val="auto"/>
          <w:u w:val="none"/>
        </w:rPr>
        <w:fldChar w:fldCharType="end"/>
      </w:r>
      <w:r>
        <w:rPr>
          <w:rStyle w:val="10"/>
          <w:rFonts w:hint="eastAsia"/>
        </w:rPr>
        <w:t>0</w:t>
      </w:r>
    </w:p>
    <w:p>
      <w:pPr>
        <w:pStyle w:val="5"/>
        <w:tabs>
          <w:tab w:val="right" w:leader="dot" w:pos="8835"/>
        </w:tabs>
        <w:rPr>
          <w:kern w:val="2"/>
          <w:sz w:val="21"/>
        </w:rPr>
      </w:pPr>
      <w:r>
        <w:fldChar w:fldCharType="begin"/>
      </w:r>
      <w:r>
        <w:instrText xml:space="preserve"> HYPERLINK \l "_Toc82680875" </w:instrText>
      </w:r>
      <w:r>
        <w:fldChar w:fldCharType="separate"/>
      </w:r>
      <w:r>
        <w:rPr>
          <w:rStyle w:val="10"/>
          <w:rFonts w:hint="eastAsia" w:ascii="楷体_GB2312" w:hAnsi="楷体_GB2312" w:eastAsia="楷体_GB2312" w:cs="楷体_GB2312"/>
        </w:rPr>
        <w:t>（十一）政府采购支出说明</w:t>
      </w:r>
      <w:r>
        <w:rPr>
          <w:rStyle w:val="10"/>
          <w:color w:val="auto"/>
          <w:u w:val="none"/>
        </w:rPr>
        <w:tab/>
      </w:r>
      <w:r>
        <w:rPr>
          <w:rStyle w:val="10"/>
          <w:rFonts w:hint="eastAsia"/>
          <w:color w:val="auto"/>
          <w:u w:val="none"/>
        </w:rPr>
        <w:t>1</w:t>
      </w:r>
      <w:r>
        <w:rPr>
          <w:rStyle w:val="10"/>
          <w:rFonts w:hint="eastAsia"/>
          <w:color w:val="auto"/>
          <w:u w:val="none"/>
        </w:rPr>
        <w:fldChar w:fldCharType="end"/>
      </w:r>
      <w:r>
        <w:rPr>
          <w:rStyle w:val="10"/>
          <w:rFonts w:hint="eastAsia"/>
        </w:rPr>
        <w:t>1</w:t>
      </w:r>
    </w:p>
    <w:p>
      <w:pPr>
        <w:pStyle w:val="5"/>
        <w:tabs>
          <w:tab w:val="right" w:leader="dot" w:pos="8835"/>
        </w:tabs>
        <w:rPr>
          <w:kern w:val="2"/>
          <w:sz w:val="21"/>
        </w:rPr>
      </w:pPr>
      <w:r>
        <w:fldChar w:fldCharType="begin"/>
      </w:r>
      <w:r>
        <w:instrText xml:space="preserve"> HYPERLINK \l "_Toc82680876" </w:instrText>
      </w:r>
      <w:r>
        <w:fldChar w:fldCharType="separate"/>
      </w:r>
      <w:r>
        <w:rPr>
          <w:rStyle w:val="10"/>
          <w:rFonts w:hint="eastAsia" w:ascii="楷体_GB2312" w:hAnsi="楷体_GB2312" w:eastAsia="楷体_GB2312" w:cs="楷体_GB2312"/>
        </w:rPr>
        <w:t>（十二）国有资产占有情况说明</w:t>
      </w:r>
      <w:r>
        <w:rPr>
          <w:rStyle w:val="10"/>
          <w:color w:val="auto"/>
          <w:u w:val="none"/>
        </w:rPr>
        <w:tab/>
      </w:r>
      <w:r>
        <w:rPr>
          <w:rStyle w:val="10"/>
          <w:rFonts w:hint="eastAsia"/>
          <w:color w:val="auto"/>
          <w:u w:val="none"/>
        </w:rPr>
        <w:t>1</w:t>
      </w:r>
      <w:r>
        <w:rPr>
          <w:rStyle w:val="10"/>
          <w:rFonts w:hint="eastAsia"/>
          <w:color w:val="auto"/>
          <w:u w:val="none"/>
        </w:rPr>
        <w:fldChar w:fldCharType="end"/>
      </w:r>
      <w:r>
        <w:rPr>
          <w:rStyle w:val="10"/>
          <w:rFonts w:hint="eastAsia"/>
        </w:rPr>
        <w:t>2</w:t>
      </w:r>
    </w:p>
    <w:p>
      <w:pPr>
        <w:pStyle w:val="5"/>
        <w:tabs>
          <w:tab w:val="right" w:leader="dot" w:pos="8835"/>
        </w:tabs>
        <w:rPr>
          <w:kern w:val="2"/>
          <w:sz w:val="21"/>
        </w:rPr>
      </w:pPr>
      <w:r>
        <w:fldChar w:fldCharType="begin"/>
      </w:r>
      <w:r>
        <w:instrText xml:space="preserve"> HYPERLINK \l "_Toc82680877" </w:instrText>
      </w:r>
      <w:r>
        <w:fldChar w:fldCharType="separate"/>
      </w:r>
      <w:r>
        <w:rPr>
          <w:rStyle w:val="10"/>
          <w:rFonts w:hint="eastAsia" w:ascii="楷体_GB2312" w:hAnsi="楷体_GB2312" w:eastAsia="楷体_GB2312" w:cs="楷体_GB2312"/>
        </w:rPr>
        <w:t>（十三）预算绩效情况说明</w:t>
      </w:r>
      <w:r>
        <w:rPr>
          <w:rStyle w:val="10"/>
          <w:color w:val="auto"/>
          <w:u w:val="none"/>
        </w:rPr>
        <w:tab/>
      </w:r>
      <w:r>
        <w:rPr>
          <w:rStyle w:val="10"/>
          <w:rFonts w:hint="eastAsia"/>
          <w:color w:val="auto"/>
          <w:u w:val="none"/>
        </w:rPr>
        <w:t>1</w:t>
      </w:r>
      <w:r>
        <w:rPr>
          <w:rStyle w:val="10"/>
          <w:rFonts w:hint="eastAsia"/>
          <w:color w:val="auto"/>
          <w:u w:val="none"/>
        </w:rPr>
        <w:fldChar w:fldCharType="end"/>
      </w:r>
      <w:r>
        <w:rPr>
          <w:rStyle w:val="10"/>
          <w:rFonts w:hint="eastAsia"/>
        </w:rPr>
        <w:t>3</w:t>
      </w:r>
    </w:p>
    <w:p>
      <w:pPr>
        <w:pStyle w:val="5"/>
        <w:tabs>
          <w:tab w:val="right" w:leader="dot" w:pos="8835"/>
        </w:tabs>
        <w:rPr>
          <w:kern w:val="2"/>
          <w:sz w:val="21"/>
        </w:rPr>
      </w:pPr>
      <w:r>
        <w:fldChar w:fldCharType="begin"/>
      </w:r>
      <w:r>
        <w:instrText xml:space="preserve"> HYPERLINK \l "_Toc82680878" </w:instrText>
      </w:r>
      <w:r>
        <w:fldChar w:fldCharType="separate"/>
      </w:r>
      <w:r>
        <w:rPr>
          <w:rStyle w:val="10"/>
          <w:rFonts w:hint="eastAsia" w:ascii="黑体" w:hAnsi="宋体" w:eastAsia="黑体" w:cs="黑体"/>
        </w:rPr>
        <w:t>四、名词解释</w:t>
      </w:r>
      <w:r>
        <w:rPr>
          <w:rStyle w:val="10"/>
          <w:color w:val="auto"/>
          <w:u w:val="none"/>
        </w:rPr>
        <w:tab/>
      </w:r>
      <w:r>
        <w:rPr>
          <w:rStyle w:val="10"/>
          <w:rFonts w:hint="eastAsia"/>
          <w:color w:val="auto"/>
          <w:u w:val="none"/>
        </w:rPr>
        <w:t>1</w:t>
      </w:r>
      <w:r>
        <w:rPr>
          <w:rStyle w:val="10"/>
          <w:rFonts w:hint="eastAsia"/>
          <w:color w:val="auto"/>
          <w:u w:val="none"/>
        </w:rPr>
        <w:fldChar w:fldCharType="end"/>
      </w:r>
      <w:r>
        <w:rPr>
          <w:rStyle w:val="10"/>
          <w:rFonts w:hint="eastAsia"/>
        </w:rPr>
        <w:t>4</w:t>
      </w:r>
    </w:p>
    <w:p>
      <w:pPr>
        <w:spacing w:line="600" w:lineRule="atLeast"/>
        <w:ind w:firstLine="640"/>
        <w:jc w:val="both"/>
        <w:rPr>
          <w:rStyle w:val="9"/>
          <w:rFonts w:ascii="黑体" w:hAnsi="宋体" w:eastAsia="黑体" w:cs="Arial"/>
          <w:sz w:val="32"/>
          <w:szCs w:val="32"/>
        </w:rPr>
      </w:pPr>
      <w:r>
        <w:rPr>
          <w:rFonts w:ascii="Calibri" w:hAnsi="Calibri" w:eastAsia="宋体"/>
          <w:sz w:val="22"/>
          <w:szCs w:val="22"/>
        </w:rPr>
        <w:fldChar w:fldCharType="end"/>
      </w:r>
    </w:p>
    <w:p>
      <w:pPr>
        <w:spacing w:line="600" w:lineRule="atLeast"/>
        <w:ind w:firstLine="640"/>
        <w:jc w:val="both"/>
        <w:rPr>
          <w:rStyle w:val="9"/>
          <w:rFonts w:ascii="黑体" w:hAnsi="宋体" w:eastAsia="黑体" w:cs="Arial"/>
          <w:sz w:val="32"/>
          <w:szCs w:val="32"/>
        </w:rPr>
      </w:pPr>
    </w:p>
    <w:p>
      <w:pPr>
        <w:spacing w:line="600" w:lineRule="atLeast"/>
        <w:ind w:firstLine="640"/>
        <w:jc w:val="both"/>
      </w:pPr>
      <w:r>
        <w:rPr>
          <w:rStyle w:val="9"/>
          <w:rFonts w:hint="eastAsia" w:ascii="黑体" w:hAnsi="宋体" w:eastAsia="黑体" w:cs="Arial"/>
          <w:sz w:val="32"/>
          <w:szCs w:val="32"/>
        </w:rPr>
        <w:t>一、概况</w:t>
      </w:r>
    </w:p>
    <w:p>
      <w:pPr>
        <w:spacing w:line="600" w:lineRule="atLeast"/>
        <w:ind w:firstLine="640"/>
        <w:jc w:val="both"/>
      </w:pPr>
      <w:r>
        <w:rPr>
          <w:rStyle w:val="9"/>
          <w:rFonts w:ascii="楷体" w:hAnsi="楷体" w:eastAsia="楷体" w:cs="Arial"/>
          <w:sz w:val="32"/>
          <w:szCs w:val="32"/>
        </w:rPr>
        <w:t>（一）部门职责</w:t>
      </w:r>
    </w:p>
    <w:p>
      <w:pPr>
        <w:widowControl w:val="0"/>
        <w:spacing w:line="590" w:lineRule="exact"/>
        <w:ind w:firstLine="600" w:firstLineChars="200"/>
        <w:rPr>
          <w:rFonts w:ascii="仿宋_GB2312" w:hAnsi="ˎ̥" w:eastAsia="仿宋_GB2312" w:cs="宋体"/>
          <w:sz w:val="30"/>
          <w:szCs w:val="30"/>
        </w:rPr>
      </w:pPr>
      <w:r>
        <w:rPr>
          <w:rFonts w:hint="eastAsia" w:ascii="仿宋_GB2312" w:hAnsi="ˎ̥" w:eastAsia="仿宋_GB2312" w:cs="宋体"/>
          <w:sz w:val="30"/>
          <w:szCs w:val="30"/>
        </w:rPr>
        <w:t>（一）主要职能</w:t>
      </w:r>
    </w:p>
    <w:p>
      <w:pPr>
        <w:widowControl w:val="0"/>
        <w:spacing w:line="590" w:lineRule="exact"/>
        <w:ind w:firstLine="600" w:firstLineChars="200"/>
        <w:rPr>
          <w:rFonts w:ascii="仿宋_GB2312" w:hAnsi="ˎ̥" w:eastAsia="仿宋_GB2312" w:cs="宋体"/>
          <w:sz w:val="30"/>
          <w:szCs w:val="30"/>
        </w:rPr>
      </w:pPr>
      <w:r>
        <w:rPr>
          <w:rFonts w:hint="eastAsia" w:ascii="仿宋_GB2312" w:hAnsi="ˎ̥" w:eastAsia="仿宋_GB2312" w:cs="宋体"/>
          <w:sz w:val="30"/>
          <w:szCs w:val="30"/>
        </w:rPr>
        <w:t>国家统计局温岭调查队既是政府统计调查机构，也是执法机构，依法独立向国家统计局和上级调查队上报承担的国家调查数据，并对上报的调查数据负责。同时，承担地方政府委托的各项统计调查任务。</w:t>
      </w:r>
    </w:p>
    <w:p>
      <w:pPr>
        <w:widowControl w:val="0"/>
        <w:spacing w:line="590" w:lineRule="exact"/>
        <w:ind w:firstLine="600" w:firstLineChars="200"/>
        <w:rPr>
          <w:rFonts w:ascii="仿宋_GB2312" w:hAnsi="ˎ̥" w:eastAsia="仿宋_GB2312" w:cs="宋体"/>
          <w:sz w:val="30"/>
          <w:szCs w:val="30"/>
        </w:rPr>
      </w:pPr>
      <w:r>
        <w:rPr>
          <w:rFonts w:hint="eastAsia" w:ascii="仿宋_GB2312" w:hAnsi="ˎ̥" w:eastAsia="仿宋_GB2312" w:cs="宋体"/>
          <w:sz w:val="30"/>
          <w:szCs w:val="30"/>
        </w:rPr>
        <w:t>1.完成国家统计局布置的各项统计调查任务；</w:t>
      </w:r>
    </w:p>
    <w:p>
      <w:pPr>
        <w:widowControl w:val="0"/>
        <w:spacing w:line="590" w:lineRule="exact"/>
        <w:ind w:firstLine="600" w:firstLineChars="200"/>
        <w:rPr>
          <w:rFonts w:ascii="仿宋_GB2312" w:hAnsi="ˎ̥" w:eastAsia="仿宋_GB2312" w:cs="宋体"/>
          <w:sz w:val="30"/>
          <w:szCs w:val="30"/>
        </w:rPr>
      </w:pPr>
      <w:r>
        <w:rPr>
          <w:rFonts w:hint="eastAsia" w:ascii="仿宋_GB2312" w:hAnsi="ˎ̥" w:eastAsia="仿宋_GB2312" w:cs="宋体"/>
          <w:sz w:val="30"/>
          <w:szCs w:val="30"/>
        </w:rPr>
        <w:t>2.接受地方政府交办的有关调查任务；</w:t>
      </w:r>
    </w:p>
    <w:p>
      <w:pPr>
        <w:widowControl w:val="0"/>
        <w:spacing w:line="590" w:lineRule="exact"/>
        <w:ind w:firstLine="600" w:firstLineChars="200"/>
        <w:rPr>
          <w:rFonts w:ascii="仿宋_GB2312" w:hAnsi="ˎ̥" w:eastAsia="仿宋_GB2312" w:cs="宋体"/>
          <w:sz w:val="30"/>
          <w:szCs w:val="30"/>
        </w:rPr>
      </w:pPr>
      <w:r>
        <w:rPr>
          <w:rFonts w:hint="eastAsia" w:ascii="仿宋_GB2312" w:hAnsi="ˎ̥" w:eastAsia="仿宋_GB2312" w:cs="宋体"/>
          <w:sz w:val="30"/>
          <w:szCs w:val="30"/>
        </w:rPr>
        <w:t>3.完成上级调查队交办的地方调查任务；</w:t>
      </w:r>
    </w:p>
    <w:p>
      <w:pPr>
        <w:widowControl w:val="0"/>
        <w:spacing w:line="590" w:lineRule="exact"/>
        <w:ind w:firstLine="600" w:firstLineChars="200"/>
        <w:rPr>
          <w:rFonts w:ascii="仿宋_GB2312" w:hAnsi="ˎ̥" w:eastAsia="仿宋_GB2312" w:cs="宋体"/>
          <w:sz w:val="30"/>
          <w:szCs w:val="30"/>
        </w:rPr>
      </w:pPr>
      <w:r>
        <w:rPr>
          <w:rFonts w:hint="eastAsia" w:ascii="仿宋_GB2312" w:hAnsi="ˎ̥" w:eastAsia="仿宋_GB2312" w:cs="宋体"/>
          <w:sz w:val="30"/>
          <w:szCs w:val="30"/>
        </w:rPr>
        <w:t>4.协助地方统计局完成重大国情国力的普查任务；</w:t>
      </w:r>
    </w:p>
    <w:p>
      <w:pPr>
        <w:widowControl w:val="0"/>
        <w:spacing w:line="590" w:lineRule="exact"/>
        <w:ind w:firstLine="600" w:firstLineChars="200"/>
        <w:rPr>
          <w:rFonts w:ascii="仿宋_GB2312" w:hAnsi="ˎ̥" w:eastAsia="仿宋_GB2312" w:cs="宋体"/>
          <w:sz w:val="30"/>
          <w:szCs w:val="30"/>
        </w:rPr>
      </w:pPr>
      <w:r>
        <w:rPr>
          <w:rFonts w:hint="eastAsia" w:ascii="仿宋_GB2312" w:hAnsi="ˎ̥" w:eastAsia="仿宋_GB2312" w:cs="宋体"/>
          <w:sz w:val="30"/>
          <w:szCs w:val="30"/>
        </w:rPr>
        <w:t>5.组织指导地方调查队的有关业务工作；</w:t>
      </w:r>
    </w:p>
    <w:p>
      <w:pPr>
        <w:widowControl w:val="0"/>
        <w:spacing w:line="590" w:lineRule="exact"/>
        <w:ind w:firstLine="600" w:firstLineChars="200"/>
        <w:rPr>
          <w:rFonts w:ascii="仿宋_GB2312" w:hAnsi="ˎ̥" w:eastAsia="仿宋_GB2312" w:cs="宋体"/>
          <w:sz w:val="30"/>
          <w:szCs w:val="30"/>
        </w:rPr>
      </w:pPr>
      <w:r>
        <w:rPr>
          <w:rFonts w:hint="eastAsia" w:ascii="仿宋_GB2312" w:hAnsi="ˎ̥" w:eastAsia="仿宋_GB2312" w:cs="宋体"/>
          <w:sz w:val="30"/>
          <w:szCs w:val="30"/>
        </w:rPr>
        <w:t>6.负责查处调查队组织实施的统计调查中发生的统计违法行为；</w:t>
      </w:r>
    </w:p>
    <w:p>
      <w:pPr>
        <w:widowControl w:val="0"/>
        <w:spacing w:line="590" w:lineRule="exact"/>
        <w:ind w:firstLine="600" w:firstLineChars="200"/>
        <w:rPr>
          <w:rFonts w:ascii="仿宋_GB2312" w:hAnsi="ˎ̥" w:eastAsia="仿宋_GB2312" w:cs="宋体"/>
          <w:sz w:val="30"/>
          <w:szCs w:val="30"/>
        </w:rPr>
      </w:pPr>
      <w:r>
        <w:rPr>
          <w:rFonts w:hint="eastAsia" w:ascii="仿宋_GB2312" w:hAnsi="ˎ̥" w:eastAsia="仿宋_GB2312" w:cs="宋体"/>
          <w:sz w:val="30"/>
          <w:szCs w:val="30"/>
        </w:rPr>
        <w:t>7.完成国家统计局和上级调查队交办的其他事项。</w:t>
      </w:r>
    </w:p>
    <w:p>
      <w:pPr>
        <w:spacing w:line="600" w:lineRule="atLeast"/>
        <w:ind w:firstLine="640"/>
        <w:jc w:val="both"/>
      </w:pPr>
      <w:r>
        <w:rPr>
          <w:rStyle w:val="9"/>
          <w:rFonts w:hint="eastAsia" w:ascii="楷体" w:hAnsi="楷体" w:eastAsia="楷体" w:cs="Arial"/>
          <w:sz w:val="32"/>
          <w:szCs w:val="32"/>
        </w:rPr>
        <w:t>（二）机构设置</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从预算单位构成看，国家统计局温岭调查队部门决算包括：队本级预算。</w:t>
      </w:r>
    </w:p>
    <w:p>
      <w:pPr>
        <w:pStyle w:val="2"/>
        <w:ind w:firstLine="640" w:firstLineChars="200"/>
        <w:rPr>
          <w:rFonts w:ascii="仿宋" w:hAnsi="仿宋" w:eastAsia="仿宋" w:cs="Arial"/>
          <w:sz w:val="32"/>
          <w:szCs w:val="32"/>
        </w:rPr>
      </w:pPr>
      <w:r>
        <w:rPr>
          <w:rFonts w:hint="eastAsia" w:ascii="仿宋" w:hAnsi="仿宋" w:eastAsia="仿宋" w:cs="Arial"/>
          <w:sz w:val="32"/>
          <w:szCs w:val="32"/>
        </w:rPr>
        <w:t>纳入国家统计局温岭调查队2020年度部门决算编制范围的二级预算单位包括：无下属二级预算单位</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从预算单位构成看，本单位内设：办公室、调查一科、调查二科。</w:t>
      </w:r>
    </w:p>
    <w:p>
      <w:pPr>
        <w:spacing w:line="600" w:lineRule="atLeast"/>
        <w:ind w:firstLine="640"/>
        <w:jc w:val="both"/>
      </w:pPr>
      <w:r>
        <w:rPr>
          <w:rStyle w:val="9"/>
          <w:rFonts w:hint="eastAsia" w:ascii="黑体" w:hAnsi="宋体" w:eastAsia="黑体" w:cs="Arial"/>
          <w:sz w:val="32"/>
          <w:szCs w:val="32"/>
        </w:rPr>
        <w:t>二、2020年度部门（单位）决算公开表</w:t>
      </w:r>
    </w:p>
    <w:p>
      <w:pPr>
        <w:spacing w:line="600" w:lineRule="atLeast"/>
        <w:ind w:firstLine="640"/>
        <w:jc w:val="both"/>
      </w:pPr>
      <w:r>
        <w:rPr>
          <w:rFonts w:hint="eastAsia" w:ascii="仿宋" w:hAnsi="仿宋" w:eastAsia="仿宋" w:cs="Arial"/>
          <w:sz w:val="32"/>
          <w:szCs w:val="32"/>
        </w:rPr>
        <w:t>详见附表。</w:t>
      </w:r>
    </w:p>
    <w:p>
      <w:pPr>
        <w:spacing w:line="600" w:lineRule="atLeast"/>
        <w:ind w:firstLine="640"/>
        <w:jc w:val="both"/>
      </w:pPr>
      <w:r>
        <w:rPr>
          <w:rStyle w:val="9"/>
          <w:rFonts w:hint="eastAsia" w:ascii="黑体" w:hAnsi="宋体" w:eastAsia="黑体" w:cs="Arial"/>
          <w:sz w:val="32"/>
          <w:szCs w:val="32"/>
        </w:rPr>
        <w:t>三、2020年度部门（单位）决算情况说明</w:t>
      </w:r>
    </w:p>
    <w:p>
      <w:pPr>
        <w:spacing w:line="600" w:lineRule="atLeast"/>
        <w:ind w:firstLine="640"/>
        <w:jc w:val="both"/>
        <w:rPr>
          <w:rStyle w:val="9"/>
          <w:rFonts w:ascii="楷体" w:hAnsi="楷体" w:eastAsia="楷体" w:cs="Arial"/>
          <w:sz w:val="32"/>
          <w:szCs w:val="32"/>
        </w:rPr>
      </w:pPr>
      <w:r>
        <w:rPr>
          <w:rStyle w:val="9"/>
          <w:rFonts w:hint="eastAsia" w:ascii="楷体" w:hAnsi="楷体" w:eastAsia="楷体" w:cs="Arial"/>
          <w:sz w:val="32"/>
          <w:szCs w:val="32"/>
        </w:rPr>
        <w:t>（一）收入支出决算总体情况说明</w:t>
      </w:r>
    </w:p>
    <w:p>
      <w:pPr>
        <w:spacing w:line="600" w:lineRule="atLeast"/>
        <w:ind w:firstLine="640"/>
        <w:jc w:val="both"/>
      </w:pPr>
      <w:r>
        <w:rPr>
          <w:rFonts w:hint="eastAsia" w:ascii="仿宋" w:hAnsi="仿宋" w:eastAsia="仿宋" w:cs="Arial"/>
          <w:sz w:val="32"/>
          <w:szCs w:val="32"/>
        </w:rPr>
        <w:t>2020年度收入总计433.45万元，支出总计433.45万元,与2019年度相比，各增加73.85万元，增长20.54%。主要原因是：住户样本轮换，调查经费支出增加，人员调入经费支出增加。</w:t>
      </w:r>
    </w:p>
    <w:p>
      <w:pPr>
        <w:spacing w:line="600" w:lineRule="atLeast"/>
        <w:ind w:firstLine="640"/>
        <w:jc w:val="both"/>
      </w:pPr>
      <w:r>
        <w:rPr>
          <w:rStyle w:val="9"/>
          <w:rFonts w:hint="eastAsia" w:ascii="楷体" w:hAnsi="楷体" w:eastAsia="楷体" w:cs="Arial"/>
          <w:sz w:val="32"/>
          <w:szCs w:val="32"/>
        </w:rPr>
        <w:t>（二）收入决算情况说明</w:t>
      </w:r>
    </w:p>
    <w:p>
      <w:pPr>
        <w:spacing w:line="600" w:lineRule="atLeast"/>
        <w:ind w:firstLine="640"/>
        <w:jc w:val="both"/>
      </w:pPr>
      <w:r>
        <w:rPr>
          <w:rFonts w:hint="eastAsia" w:ascii="仿宋" w:hAnsi="仿宋" w:eastAsia="仿宋" w:cs="Arial"/>
          <w:sz w:val="32"/>
          <w:szCs w:val="32"/>
        </w:rPr>
        <w:t>本年收入合计433.45万元；包括财政拨款收入233.00万元（其中，一般公共预算233.00万元，政府性基金预算0万元,国有资本经营预算0万元），占收入合计53.75%；上级补助收入0万元，占收入合计0%；事业收入0万元，占收入合计0%；经营收入0万元，占收入合计0%；附属单位上缴收入0万元，占收入合计0%；其他收入200.45万元，占收入合计46.25%。</w:t>
      </w:r>
    </w:p>
    <w:p>
      <w:pPr>
        <w:spacing w:line="600" w:lineRule="atLeast"/>
        <w:ind w:firstLine="640"/>
        <w:jc w:val="both"/>
      </w:pPr>
      <w:r>
        <w:rPr>
          <w:rStyle w:val="9"/>
          <w:rFonts w:hint="eastAsia" w:ascii="楷体" w:hAnsi="楷体" w:eastAsia="楷体" w:cs="Arial"/>
          <w:sz w:val="32"/>
          <w:szCs w:val="32"/>
        </w:rPr>
        <w:t>（三）支出决算情况说明</w:t>
      </w:r>
    </w:p>
    <w:p>
      <w:pPr>
        <w:spacing w:line="600" w:lineRule="atLeast"/>
        <w:ind w:firstLine="640"/>
        <w:jc w:val="both"/>
      </w:pPr>
      <w:r>
        <w:rPr>
          <w:rFonts w:hint="eastAsia" w:ascii="仿宋" w:hAnsi="仿宋" w:eastAsia="仿宋" w:cs="Arial"/>
          <w:sz w:val="32"/>
          <w:szCs w:val="32"/>
        </w:rPr>
        <w:t>本年支出合计415.81万元，其中基本支出149.34万元，占35.91%；项目支出266.47万元，占64.09%；上缴上级支出0万元，占0%；经营支出0万元，占0%；对附属单位补助支出0万元，占0%。</w:t>
      </w:r>
    </w:p>
    <w:p>
      <w:pPr>
        <w:spacing w:line="600" w:lineRule="atLeast"/>
        <w:ind w:firstLine="640"/>
        <w:jc w:val="both"/>
        <w:rPr>
          <w:rStyle w:val="9"/>
          <w:rFonts w:ascii="楷体" w:hAnsi="楷体" w:eastAsia="楷体" w:cs="Arial"/>
          <w:sz w:val="32"/>
          <w:szCs w:val="32"/>
        </w:rPr>
      </w:pPr>
      <w:r>
        <w:rPr>
          <w:rStyle w:val="9"/>
          <w:rFonts w:hint="eastAsia" w:ascii="楷体" w:hAnsi="楷体" w:eastAsia="楷体" w:cs="Arial"/>
          <w:sz w:val="32"/>
          <w:szCs w:val="32"/>
        </w:rPr>
        <w:t>（四）财政拨款收入支出决算总体情况说明</w:t>
      </w:r>
    </w:p>
    <w:p>
      <w:pPr>
        <w:spacing w:line="600" w:lineRule="atLeast"/>
        <w:ind w:firstLine="640"/>
        <w:jc w:val="both"/>
      </w:pPr>
      <w:r>
        <w:rPr>
          <w:rFonts w:hint="eastAsia" w:ascii="仿宋" w:hAnsi="仿宋" w:eastAsia="仿宋" w:cs="Arial"/>
          <w:sz w:val="32"/>
          <w:szCs w:val="32"/>
        </w:rPr>
        <w:t>2020年度财政拨款收入总计233.00万元，支出总计233.00万元，与2019年相比，各增加60.00万元，增长34.68%。主要原因是住户样本轮换，调查经费支出增加，人员调入经费支出增加；财政拨款支出年初预算数205万元，完成年初预算的100%，主要原因是各项支出合理安排，预算完成结果较好。</w:t>
      </w:r>
    </w:p>
    <w:p>
      <w:pPr>
        <w:spacing w:line="600" w:lineRule="atLeast"/>
        <w:ind w:firstLine="640"/>
        <w:jc w:val="both"/>
      </w:pPr>
      <w:r>
        <w:rPr>
          <w:rStyle w:val="9"/>
          <w:rFonts w:hint="eastAsia" w:ascii="楷体" w:hAnsi="楷体" w:eastAsia="楷体" w:cs="Arial"/>
          <w:sz w:val="32"/>
          <w:szCs w:val="32"/>
        </w:rPr>
        <w:t>（五）一般公共预算财政拨款支出决算情况说明</w:t>
      </w:r>
    </w:p>
    <w:p>
      <w:pPr>
        <w:spacing w:line="600" w:lineRule="atLeast"/>
        <w:ind w:firstLine="640"/>
        <w:jc w:val="both"/>
        <w:rPr>
          <w:rStyle w:val="9"/>
          <w:rFonts w:ascii="仿宋" w:hAnsi="仿宋" w:eastAsia="仿宋" w:cs="Arial"/>
          <w:sz w:val="32"/>
          <w:szCs w:val="32"/>
        </w:rPr>
      </w:pPr>
      <w:r>
        <w:rPr>
          <w:rStyle w:val="9"/>
          <w:rFonts w:hint="eastAsia" w:ascii="仿宋" w:hAnsi="仿宋" w:eastAsia="仿宋" w:cs="Arial"/>
          <w:sz w:val="32"/>
          <w:szCs w:val="32"/>
        </w:rPr>
        <w:t>1.一般公共预算财政拨款支出决算总体情况。</w:t>
      </w:r>
    </w:p>
    <w:p>
      <w:pPr>
        <w:spacing w:line="600" w:lineRule="atLeast"/>
        <w:ind w:firstLine="640"/>
        <w:jc w:val="both"/>
      </w:pPr>
      <w:r>
        <w:rPr>
          <w:rFonts w:hint="eastAsia" w:ascii="仿宋" w:hAnsi="仿宋" w:eastAsia="仿宋" w:cs="Arial"/>
          <w:sz w:val="32"/>
          <w:szCs w:val="32"/>
        </w:rPr>
        <w:t>2020年度一般公共预算财政拨款支出233.00万元，占本年支出合计的56.03%。与2019年相比，一般公共预算财政拨款支出增加60.00万元，增长34.68%。主要原因是：住户样本轮换，调查经费支出增加，人员调入经费支出增加。</w:t>
      </w:r>
    </w:p>
    <w:p>
      <w:pPr>
        <w:spacing w:line="600" w:lineRule="atLeast"/>
        <w:ind w:firstLine="640"/>
        <w:jc w:val="both"/>
      </w:pPr>
      <w:r>
        <w:rPr>
          <w:rStyle w:val="9"/>
          <w:rFonts w:hint="eastAsia" w:ascii="仿宋" w:hAnsi="仿宋" w:eastAsia="仿宋" w:cs="Arial"/>
          <w:sz w:val="32"/>
          <w:szCs w:val="32"/>
        </w:rPr>
        <w:t>2.一般公共预算财政拨款支出决算结构情况。</w:t>
      </w:r>
    </w:p>
    <w:p>
      <w:pPr>
        <w:spacing w:line="600" w:lineRule="atLeast"/>
        <w:ind w:firstLine="640"/>
        <w:jc w:val="both"/>
      </w:pPr>
      <w:r>
        <w:rPr>
          <w:rFonts w:hint="eastAsia" w:ascii="仿宋" w:hAnsi="仿宋" w:eastAsia="仿宋" w:cs="Arial"/>
          <w:sz w:val="32"/>
          <w:szCs w:val="32"/>
        </w:rPr>
        <w:t>2020年度一般公共预算财政拨款支出233.00万元，主要用于以下方面：一般公共服务（类）支出233.00万元，占100.00%；国防（类）支出0万元,占0%；公共安全（类）支出0万元,占0%；教育（类）支出0万元,占0%；科学技术（类）支出0万元,占0%；文化旅游体育与传媒（类）支出0万元,占0%；社会保障和就业（类）支出0万元,占0%；卫生健康（类）支出0万元,占0%；节能环保（类）支出0万元,占0%；城乡社区（类）支出0万元,占0%；农林水（类）支出0万元,占0%；交通运输（类）支出0万元,占0%；资源勘探工业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0万元,占0%；其他（类）支出0万元,占0%；债务还本（类）支出0万元,占0%；债务付息（类）支出0万元,占0%。</w:t>
      </w:r>
    </w:p>
    <w:p>
      <w:pPr>
        <w:spacing w:line="600" w:lineRule="atLeast"/>
        <w:ind w:firstLine="640"/>
        <w:jc w:val="both"/>
      </w:pPr>
      <w:r>
        <w:rPr>
          <w:rStyle w:val="9"/>
          <w:rFonts w:hint="eastAsia" w:ascii="仿宋" w:hAnsi="仿宋" w:eastAsia="仿宋" w:cs="Arial"/>
          <w:sz w:val="32"/>
          <w:szCs w:val="32"/>
        </w:rPr>
        <w:t>3.一般公共预算财政拨款支出决算具体情况。</w:t>
      </w:r>
    </w:p>
    <w:p>
      <w:pPr>
        <w:spacing w:line="600" w:lineRule="atLeast"/>
        <w:ind w:firstLine="640"/>
        <w:jc w:val="both"/>
      </w:pPr>
      <w:r>
        <w:rPr>
          <w:rFonts w:hint="eastAsia" w:ascii="仿宋" w:hAnsi="仿宋" w:eastAsia="仿宋" w:cs="Arial"/>
          <w:sz w:val="32"/>
          <w:szCs w:val="32"/>
        </w:rPr>
        <w:t>2020年度一般公共预算财政拨款支出年初预算为205万元，支出决算为233.00万元,完成年初预算的114%，主要原因是住户样本轮换，追加预算28万元。其中：</w:t>
      </w:r>
    </w:p>
    <w:p>
      <w:pPr>
        <w:spacing w:line="600" w:lineRule="atLeast"/>
        <w:ind w:firstLine="640"/>
        <w:jc w:val="both"/>
      </w:pPr>
      <w:r>
        <w:rPr>
          <w:rFonts w:hint="eastAsia" w:ascii="仿宋_GB2312" w:eastAsia="仿宋_GB2312"/>
          <w:color w:val="000000"/>
          <w:sz w:val="32"/>
          <w:szCs w:val="32"/>
        </w:rPr>
        <w:t>一般公共服务支出（类）统计信息事务（款）专项统计业务（项）</w:t>
      </w:r>
      <w:r>
        <w:rPr>
          <w:rFonts w:hint="eastAsia" w:ascii="仿宋" w:hAnsi="仿宋" w:eastAsia="仿宋" w:cs="Arial"/>
          <w:sz w:val="32"/>
          <w:szCs w:val="32"/>
        </w:rPr>
        <w:t>。年初预算为172.9万元，支出决算为172.9万元，完成年初预算的100%，决算数等于预算数的主要原因是因为严格执行年初预算的计划安排。</w:t>
      </w:r>
    </w:p>
    <w:p>
      <w:pPr>
        <w:spacing w:line="600" w:lineRule="atLeast"/>
        <w:ind w:firstLine="640"/>
        <w:jc w:val="both"/>
      </w:pPr>
      <w:r>
        <w:rPr>
          <w:rFonts w:hint="eastAsia" w:ascii="仿宋_GB2312" w:eastAsia="仿宋_GB2312"/>
          <w:color w:val="000000"/>
          <w:sz w:val="32"/>
          <w:szCs w:val="32"/>
        </w:rPr>
        <w:t>一般公共服务支出（类）统计信息事务（款）其他统计信息事务支出（项）</w:t>
      </w:r>
      <w:r>
        <w:rPr>
          <w:rFonts w:hint="eastAsia" w:ascii="仿宋" w:hAnsi="仿宋" w:eastAsia="仿宋" w:cs="Arial"/>
          <w:sz w:val="32"/>
          <w:szCs w:val="32"/>
        </w:rPr>
        <w:t>。年初预算为32.1万元，支出决算为32.1万元，完成年初预算的100%，决算数等于预算数的主要原因是因为严格执行年初预算的计划安排。</w:t>
      </w:r>
    </w:p>
    <w:p>
      <w:pPr>
        <w:spacing w:line="600" w:lineRule="atLeast"/>
        <w:ind w:firstLine="640"/>
        <w:jc w:val="both"/>
      </w:pPr>
      <w:r>
        <w:rPr>
          <w:rFonts w:hint="eastAsia" w:ascii="仿宋_GB2312" w:eastAsia="仿宋_GB2312"/>
          <w:color w:val="000000"/>
          <w:sz w:val="32"/>
          <w:szCs w:val="32"/>
        </w:rPr>
        <w:t>一般公共服务支出（类）其他一般公共服务支出（款）其他一般公共服务支出（项）</w:t>
      </w:r>
      <w:r>
        <w:rPr>
          <w:rFonts w:hint="eastAsia" w:ascii="仿宋" w:hAnsi="仿宋" w:eastAsia="仿宋" w:cs="Arial"/>
          <w:sz w:val="32"/>
          <w:szCs w:val="32"/>
        </w:rPr>
        <w:t>。年初预算为0万元，支出决算为28万元，完成年初预算的100%，决算数大于预算数的主要原因是因为住户样本轮换，调查经费支出增加，年中追加了28万元。</w:t>
      </w:r>
    </w:p>
    <w:p>
      <w:pPr>
        <w:spacing w:line="600" w:lineRule="atLeast"/>
        <w:ind w:firstLine="640"/>
        <w:jc w:val="both"/>
      </w:pPr>
      <w:r>
        <w:rPr>
          <w:rStyle w:val="9"/>
          <w:rFonts w:hint="eastAsia" w:ascii="楷体" w:hAnsi="楷体" w:eastAsia="楷体" w:cs="Arial"/>
          <w:sz w:val="32"/>
          <w:szCs w:val="32"/>
        </w:rPr>
        <w:t>（六）一般公共预算财政拨款基本支出决算情况说明</w:t>
      </w:r>
    </w:p>
    <w:p>
      <w:pPr>
        <w:spacing w:line="600" w:lineRule="atLeast"/>
        <w:ind w:firstLine="640"/>
        <w:jc w:val="both"/>
      </w:pPr>
      <w:r>
        <w:rPr>
          <w:rFonts w:hint="eastAsia" w:ascii="仿宋" w:hAnsi="仿宋" w:eastAsia="仿宋" w:cs="Arial"/>
          <w:sz w:val="32"/>
          <w:szCs w:val="32"/>
        </w:rPr>
        <w:t>2020年度一般公共预算财政拨款基本支出4.02万元，其中：</w:t>
      </w:r>
    </w:p>
    <w:p>
      <w:pPr>
        <w:spacing w:line="600" w:lineRule="atLeast"/>
        <w:ind w:firstLine="640"/>
        <w:jc w:val="both"/>
      </w:pPr>
      <w:r>
        <w:rPr>
          <w:rFonts w:hint="eastAsia" w:ascii="仿宋" w:hAnsi="仿宋" w:eastAsia="仿宋" w:cs="Arial"/>
          <w:sz w:val="32"/>
          <w:szCs w:val="32"/>
        </w:rPr>
        <w:t>人员经费4.02万元，主要包括：十三个月工资。</w:t>
      </w:r>
    </w:p>
    <w:p>
      <w:pPr>
        <w:spacing w:line="600" w:lineRule="atLeast"/>
        <w:ind w:firstLine="640"/>
        <w:jc w:val="both"/>
      </w:pPr>
      <w:r>
        <w:rPr>
          <w:rFonts w:hint="eastAsia" w:ascii="仿宋" w:hAnsi="仿宋" w:eastAsia="仿宋" w:cs="Arial"/>
          <w:sz w:val="32"/>
          <w:szCs w:val="32"/>
        </w:rPr>
        <w:t>公用经费0万元。</w:t>
      </w:r>
    </w:p>
    <w:p>
      <w:pPr>
        <w:spacing w:line="600" w:lineRule="atLeast"/>
        <w:ind w:firstLine="640"/>
        <w:jc w:val="both"/>
      </w:pPr>
      <w:r>
        <w:rPr>
          <w:rStyle w:val="9"/>
          <w:rFonts w:hint="eastAsia" w:ascii="楷体" w:hAnsi="楷体" w:eastAsia="楷体" w:cs="Arial"/>
          <w:sz w:val="32"/>
          <w:szCs w:val="32"/>
        </w:rPr>
        <w:t>（七）政府性基金预算财政拨款支出决算总体情况</w:t>
      </w:r>
    </w:p>
    <w:p>
      <w:pPr>
        <w:spacing w:line="600" w:lineRule="atLeast"/>
        <w:ind w:firstLine="640"/>
        <w:jc w:val="both"/>
      </w:pPr>
      <w:r>
        <w:rPr>
          <w:rStyle w:val="9"/>
          <w:rFonts w:hint="eastAsia" w:ascii="仿宋" w:hAnsi="仿宋" w:eastAsia="仿宋" w:cs="Arial"/>
          <w:sz w:val="32"/>
          <w:szCs w:val="32"/>
        </w:rPr>
        <w:t>1.政府性基金预算财政拨款支出决算总体情况。</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2020年度政府性基金预算财政拨款支出0万元，占本年支出合计的0%。与2019年相比，政府性基金预算财政拨款支出增加0万元，增长0%。主要原因是：本单位2019年、2020年均没有政府性基金预算财政拨款的预算安排。</w:t>
      </w:r>
    </w:p>
    <w:p>
      <w:pPr>
        <w:spacing w:line="600" w:lineRule="atLeast"/>
        <w:ind w:firstLine="640"/>
        <w:jc w:val="both"/>
      </w:pPr>
      <w:r>
        <w:rPr>
          <w:rStyle w:val="9"/>
          <w:rFonts w:hint="eastAsia" w:ascii="仿宋" w:hAnsi="仿宋" w:eastAsia="仿宋" w:cs="Arial"/>
          <w:sz w:val="32"/>
          <w:szCs w:val="32"/>
        </w:rPr>
        <w:t>2.政府性基金预算财政拨款支出决算结构情况。</w:t>
      </w:r>
    </w:p>
    <w:p>
      <w:pPr>
        <w:spacing w:line="600" w:lineRule="atLeast"/>
        <w:ind w:firstLine="640"/>
        <w:jc w:val="both"/>
      </w:pPr>
      <w:r>
        <w:rPr>
          <w:rFonts w:hint="eastAsia" w:ascii="仿宋" w:hAnsi="仿宋" w:eastAsia="仿宋" w:cs="Arial"/>
          <w:sz w:val="32"/>
          <w:szCs w:val="32"/>
        </w:rPr>
        <w:t>2020年度政府性基金预算财政拨款支出0万元，主要用于以下方面：科学技术（类）支出0万元,占0%；文化旅游体育与传媒（类）支出0万元,占0%；社会保障和就业（类）支出0万元,占0%；节能环保（类）支出0万元,占0%；城乡社区（类）支出0万元,占0%；农林水（类）支出0万元,占0%；交通运输（类）支出0万元,占0%；资源勘探信息等（类）支出0万元,占0%；金融（类）支出0万元,占0%；其他（类）支出0万元,占0%；债务付息（类）支出0万元,占0%；抗疫特别国债安排（类）支出0万元,占0%。</w:t>
      </w:r>
    </w:p>
    <w:p>
      <w:pPr>
        <w:spacing w:line="600" w:lineRule="atLeast"/>
        <w:ind w:firstLine="640"/>
        <w:jc w:val="both"/>
      </w:pPr>
      <w:r>
        <w:rPr>
          <w:rStyle w:val="9"/>
          <w:rFonts w:hint="eastAsia" w:ascii="仿宋" w:hAnsi="仿宋" w:eastAsia="仿宋" w:cs="Arial"/>
          <w:sz w:val="32"/>
          <w:szCs w:val="32"/>
        </w:rPr>
        <w:t>3.政府性基金预算财政拨款支出决算具体情况。</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本部门（单位）2020年度无政府性基金预算财政拨款收支安排，故无相关数据。</w:t>
      </w:r>
    </w:p>
    <w:p>
      <w:pPr>
        <w:spacing w:line="600" w:lineRule="atLeast"/>
        <w:ind w:firstLine="640"/>
        <w:jc w:val="both"/>
      </w:pPr>
      <w:r>
        <w:rPr>
          <w:rStyle w:val="9"/>
          <w:rFonts w:hint="eastAsia" w:ascii="楷体" w:hAnsi="楷体" w:eastAsia="楷体" w:cs="Arial"/>
          <w:sz w:val="32"/>
          <w:szCs w:val="32"/>
        </w:rPr>
        <w:t>（八）国有资本经营预算财政拨款支出决算总体情况</w:t>
      </w:r>
    </w:p>
    <w:p>
      <w:pPr>
        <w:spacing w:line="600" w:lineRule="atLeast"/>
        <w:ind w:firstLine="640"/>
        <w:jc w:val="both"/>
      </w:pPr>
      <w:r>
        <w:rPr>
          <w:rStyle w:val="9"/>
          <w:rFonts w:hint="eastAsia" w:ascii="仿宋" w:hAnsi="仿宋" w:eastAsia="仿宋" w:cs="Arial"/>
          <w:sz w:val="32"/>
          <w:szCs w:val="32"/>
        </w:rPr>
        <w:t>1.国有资本经营预算财政拨款支出决算总体情况。</w:t>
      </w:r>
    </w:p>
    <w:p>
      <w:pPr>
        <w:spacing w:line="600" w:lineRule="atLeast"/>
        <w:ind w:firstLine="640"/>
        <w:jc w:val="both"/>
      </w:pPr>
      <w:r>
        <w:rPr>
          <w:rFonts w:hint="eastAsia" w:ascii="仿宋" w:hAnsi="仿宋" w:eastAsia="仿宋" w:cs="Arial"/>
          <w:sz w:val="32"/>
          <w:szCs w:val="32"/>
        </w:rPr>
        <w:t>2020年度国有资本经营预算财政拨款支出0万元，占本年支出合计的0%。</w:t>
      </w:r>
    </w:p>
    <w:p>
      <w:pPr>
        <w:spacing w:line="600" w:lineRule="atLeast"/>
        <w:ind w:firstLine="640"/>
        <w:jc w:val="both"/>
      </w:pPr>
      <w:r>
        <w:rPr>
          <w:rStyle w:val="9"/>
          <w:rFonts w:hint="eastAsia" w:ascii="仿宋" w:hAnsi="仿宋" w:eastAsia="仿宋" w:cs="Arial"/>
          <w:sz w:val="32"/>
          <w:szCs w:val="32"/>
        </w:rPr>
        <w:t>2.国有资本经营预算财政拨款支出决算结构情况。</w:t>
      </w:r>
    </w:p>
    <w:p>
      <w:pPr>
        <w:spacing w:line="600" w:lineRule="atLeast"/>
        <w:ind w:firstLine="640"/>
        <w:jc w:val="both"/>
      </w:pPr>
      <w:r>
        <w:rPr>
          <w:rFonts w:hint="eastAsia" w:ascii="仿宋" w:hAnsi="仿宋" w:eastAsia="仿宋" w:cs="Arial"/>
          <w:sz w:val="32"/>
          <w:szCs w:val="32"/>
        </w:rPr>
        <w:t>2020年度国有资本经营预算财政拨款支出0万元，主要用于以下方面：国有资本经营（类）支出0万元,占0%。</w:t>
      </w:r>
    </w:p>
    <w:p>
      <w:pPr>
        <w:spacing w:line="600" w:lineRule="atLeast"/>
        <w:ind w:firstLine="640"/>
        <w:jc w:val="both"/>
      </w:pPr>
      <w:r>
        <w:rPr>
          <w:rStyle w:val="9"/>
          <w:rFonts w:hint="eastAsia" w:ascii="仿宋" w:hAnsi="仿宋" w:eastAsia="仿宋" w:cs="Arial"/>
          <w:sz w:val="32"/>
          <w:szCs w:val="32"/>
        </w:rPr>
        <w:t>3.国有资本经营预算财政拨款支出决算具体情况。</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本部门（单位）2020年度无国有资本经营预算财政拨款收支安排，故无相关数据。</w:t>
      </w:r>
    </w:p>
    <w:p>
      <w:pPr>
        <w:spacing w:line="600" w:lineRule="atLeast"/>
        <w:ind w:firstLine="640"/>
        <w:jc w:val="both"/>
      </w:pPr>
      <w:r>
        <w:rPr>
          <w:rStyle w:val="9"/>
          <w:rFonts w:hint="eastAsia" w:ascii="楷体" w:hAnsi="楷体" w:eastAsia="楷体" w:cs="Arial"/>
          <w:sz w:val="32"/>
          <w:szCs w:val="32"/>
        </w:rPr>
        <w:t>（九）一般公共预算财政拨款“三公”经费支出决算情况说明</w:t>
      </w:r>
    </w:p>
    <w:p>
      <w:pPr>
        <w:spacing w:line="600" w:lineRule="atLeast"/>
        <w:ind w:firstLine="640"/>
        <w:jc w:val="both"/>
      </w:pPr>
      <w:r>
        <w:rPr>
          <w:rStyle w:val="9"/>
          <w:rFonts w:hint="eastAsia" w:ascii="仿宋" w:hAnsi="仿宋" w:eastAsia="仿宋" w:cs="Arial"/>
          <w:sz w:val="32"/>
          <w:szCs w:val="32"/>
        </w:rPr>
        <w:t>1.“三公”经费一般公共预算财政拨款支出决算总体情况说明。</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2020年度“三公”经费一般公共预算财政拨款支出预算为1.35万元，支出决算为1.09万元，完成预算的80.74%,2020年度“三公”经费支出决算数小于预算数的主要原因是主要原因是一是我队严格执行有关规定，厉行节约，从严控制三公经费支出；二是受疫情影响，公务接待减少。</w:t>
      </w:r>
    </w:p>
    <w:p>
      <w:pPr>
        <w:pStyle w:val="11"/>
        <w:rPr>
          <w:rFonts w:hint="default"/>
        </w:rPr>
      </w:pPr>
    </w:p>
    <w:p>
      <w:pPr>
        <w:spacing w:line="600" w:lineRule="atLeast"/>
        <w:ind w:firstLine="640"/>
        <w:jc w:val="both"/>
      </w:pPr>
      <w:r>
        <w:rPr>
          <w:rStyle w:val="9"/>
          <w:rFonts w:hint="eastAsia" w:ascii="仿宋" w:hAnsi="仿宋" w:eastAsia="仿宋" w:cs="Arial"/>
          <w:sz w:val="32"/>
          <w:szCs w:val="32"/>
        </w:rPr>
        <w:t>2.“三公”经费一般公共预算财政拨款支出决算具体情况说明。</w:t>
      </w:r>
    </w:p>
    <w:p>
      <w:pPr>
        <w:spacing w:line="600" w:lineRule="atLeast"/>
        <w:ind w:firstLine="640"/>
        <w:jc w:val="both"/>
      </w:pPr>
      <w:r>
        <w:rPr>
          <w:rFonts w:hint="eastAsia" w:ascii="仿宋" w:hAnsi="仿宋" w:eastAsia="仿宋" w:cs="Arial"/>
          <w:sz w:val="32"/>
          <w:szCs w:val="32"/>
        </w:rPr>
        <w:t>2020年度“三公”经费一般公共预算财政拨款支出决算中，因公出国（境）费用支出决算为0万元，占0%，与2019年度相比，增加0万元，增长0%，主要原因是均无出国境安排；公务用车购置及运行维护费支出决算为0万元，占0%，与2019年度相比，与2019年度持平，主要原因是公务用车改革后我队无公务用车；公务接待费支出决算为1.09万元，占100.00%，与2019年度相比，增加0.20万元，增长21.94%，主要原因是一是我局严格执行有关规定，厉行节约，从严控制三公经费支出；二是受疫情影响，公务接待减少。具体情况如下：</w:t>
      </w:r>
    </w:p>
    <w:p>
      <w:pPr>
        <w:spacing w:line="600" w:lineRule="atLeast"/>
        <w:ind w:firstLine="640"/>
        <w:jc w:val="both"/>
      </w:pPr>
      <w:r>
        <w:rPr>
          <w:rFonts w:hint="eastAsia" w:ascii="仿宋" w:hAnsi="仿宋" w:eastAsia="仿宋" w:cs="Arial"/>
          <w:sz w:val="32"/>
          <w:szCs w:val="32"/>
        </w:rPr>
        <w:t>（1）因公出国（境）费预算数为0万元，支出决算为0万元。完成预算的100%。主要用于机关及下属预算单位人员的公务出国（境）的住宿费、国际旅费、培训费、公杂费等支出。决算数等于预算数的主要原因是无出国境安排。全年使用一般公共预算财政拨款支出涉及因公出国(境)团组0个；累计0人次。开支内容包括：无开支内容。</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（2）公务用车购置及运行维护费预算数为0万元，支出决算为0万元，完成预算的100%。决算数等于预算数的主要原因是公务用车改革后我队无公务用车。</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公务用车购置预算数为0万元，支出决算为0万元（含购置税等附加费用），完成预算的100%。决算数等于预算数的主要原因是严格执行年初预算的计划安排。主要用于经批准购置的0辆公务用车；</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公务用车运行维护费预算数为0万元，支出0万元，完成预算的100%。决算数等于预算数的主要原因是公务用车改革后我队无公务用车。主要用于本单位所需的公务用车燃料费、维修费、过路过桥费、保险费、安全奖励费用等支出；2020年度，本级及所属单位开支一般公共预算财政拨款的公务用车保有量为0辆。</w:t>
      </w:r>
    </w:p>
    <w:p>
      <w:pPr>
        <w:spacing w:line="600" w:lineRule="atLeast"/>
        <w:ind w:firstLine="640"/>
        <w:jc w:val="both"/>
      </w:pPr>
      <w:r>
        <w:rPr>
          <w:rFonts w:hint="eastAsia" w:ascii="仿宋" w:hAnsi="仿宋" w:eastAsia="仿宋" w:cs="Arial"/>
          <w:sz w:val="32"/>
          <w:szCs w:val="32"/>
        </w:rPr>
        <w:t>（3）公务接待费预算数为1.35万元，支出决算为1.09万元，完成预算的80.74%。主要用于接待上级有关部门和兄弟县市工作检查、调研等支出。决算数小于预算数的主要原因是一是我局严格执行有关规定，厉行节约，从严控制三公经费支出；二是受疫情影响，公务接待活动减少。全年使用一般公共预算财政拨款国内公务接待10团组，累计60人次。</w:t>
      </w:r>
    </w:p>
    <w:p>
      <w:pPr>
        <w:spacing w:line="600" w:lineRule="atLeast"/>
        <w:ind w:firstLine="640"/>
        <w:jc w:val="both"/>
      </w:pPr>
      <w:r>
        <w:rPr>
          <w:rFonts w:hint="eastAsia" w:ascii="仿宋" w:hAnsi="仿宋" w:eastAsia="仿宋" w:cs="Arial"/>
          <w:sz w:val="32"/>
          <w:szCs w:val="32"/>
        </w:rPr>
        <w:t>外宾接待支出0万元，主要用于外事接待0团组，0人次。</w:t>
      </w:r>
    </w:p>
    <w:p>
      <w:pPr>
        <w:spacing w:line="600" w:lineRule="atLeast"/>
        <w:ind w:firstLine="640"/>
        <w:jc w:val="both"/>
      </w:pPr>
      <w:r>
        <w:rPr>
          <w:rFonts w:hint="eastAsia" w:ascii="仿宋" w:hAnsi="仿宋" w:eastAsia="仿宋" w:cs="Arial"/>
          <w:sz w:val="32"/>
          <w:szCs w:val="32"/>
        </w:rPr>
        <w:t>其他国内公务接待支出1.09万元，</w:t>
      </w:r>
      <w:bookmarkStart w:id="0" w:name="_GoBack"/>
      <w:bookmarkEnd w:id="0"/>
      <w:r>
        <w:rPr>
          <w:rFonts w:hint="eastAsia" w:ascii="仿宋" w:hAnsi="仿宋" w:eastAsia="仿宋" w:cs="Arial"/>
          <w:sz w:val="32"/>
          <w:szCs w:val="32"/>
        </w:rPr>
        <w:t>主要用于接待上级有关部门和兄弟县市工作检查、调研等接待10团组，60人次。</w:t>
      </w:r>
    </w:p>
    <w:p>
      <w:pPr>
        <w:spacing w:line="600" w:lineRule="atLeast"/>
        <w:ind w:firstLine="640"/>
        <w:jc w:val="both"/>
      </w:pPr>
      <w:r>
        <w:rPr>
          <w:rStyle w:val="9"/>
          <w:rFonts w:hint="eastAsia" w:ascii="楷体" w:hAnsi="楷体" w:eastAsia="楷体" w:cs="Arial"/>
          <w:sz w:val="32"/>
          <w:szCs w:val="32"/>
        </w:rPr>
        <w:t>（十）机关运行经费支出说明</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2020年度机关运行经费年初预算数为0万元，支出决算为0万元，完成年初预算的0%，与2019年度相比，与2019年度持平，主要原因是我队无机关运行经费安排，机关运行经费为0万元。</w:t>
      </w:r>
    </w:p>
    <w:p>
      <w:pPr>
        <w:spacing w:line="600" w:lineRule="atLeast"/>
        <w:ind w:firstLine="640"/>
        <w:jc w:val="both"/>
      </w:pPr>
      <w:r>
        <w:rPr>
          <w:rStyle w:val="9"/>
          <w:rFonts w:hint="eastAsia" w:ascii="楷体" w:hAnsi="楷体" w:eastAsia="楷体" w:cs="Arial"/>
          <w:sz w:val="32"/>
          <w:szCs w:val="32"/>
        </w:rPr>
        <w:t>（十一）政府采购支出说明</w:t>
      </w:r>
    </w:p>
    <w:p>
      <w:pPr>
        <w:spacing w:line="600" w:lineRule="atLeast"/>
        <w:ind w:firstLine="640"/>
        <w:jc w:val="both"/>
      </w:pPr>
      <w:r>
        <w:rPr>
          <w:rFonts w:hint="eastAsia" w:ascii="仿宋" w:hAnsi="仿宋" w:eastAsia="仿宋" w:cs="Arial"/>
          <w:sz w:val="32"/>
          <w:szCs w:val="32"/>
        </w:rPr>
        <w:t>2020年度政府采购支出总额1.00万元，其中：政府采购货物支出1.00万元、政府采购工程支出0万元、政府采购服务支出0万元。授予中小企业合同金额1.00万元，占政府采购支出总额的100.00%。其中，授予小微企业合同金额0万元，占政府采购支出总额的0%。</w:t>
      </w:r>
    </w:p>
    <w:p>
      <w:pPr>
        <w:spacing w:line="600" w:lineRule="atLeast"/>
        <w:ind w:firstLine="640"/>
        <w:jc w:val="both"/>
      </w:pPr>
      <w:r>
        <w:rPr>
          <w:rStyle w:val="9"/>
          <w:rFonts w:hint="eastAsia" w:ascii="楷体" w:hAnsi="楷体" w:eastAsia="楷体" w:cs="Arial"/>
          <w:sz w:val="32"/>
          <w:szCs w:val="32"/>
        </w:rPr>
        <w:t>（十二）国有资产占有情况说明</w:t>
      </w:r>
    </w:p>
    <w:p>
      <w:pPr>
        <w:spacing w:line="600" w:lineRule="atLeast"/>
        <w:ind w:firstLine="640"/>
        <w:jc w:val="both"/>
      </w:pPr>
      <w:r>
        <w:rPr>
          <w:rFonts w:hint="eastAsia" w:ascii="仿宋" w:hAnsi="仿宋" w:eastAsia="仿宋" w:cs="Arial"/>
          <w:sz w:val="32"/>
          <w:szCs w:val="32"/>
        </w:rPr>
        <w:t xml:space="preserve">截至2020年12月31日，国家统计局温岭调查队本级及所属各单位共有车辆0辆，其中，副部（省）级及以上领导用车0辆、主要领导干部用车0辆、机要通信用车0辆、应急保障用车0辆、执法执勤用车0辆、特种专业技术用车0辆、离退休干部用车0辆、其他用车0辆,其他用车0辆；单价50万元以上通用设备0台（套），单价100万元以上专用设备0台（套）。 </w:t>
      </w:r>
    </w:p>
    <w:p>
      <w:pPr>
        <w:spacing w:line="600" w:lineRule="atLeast"/>
        <w:ind w:firstLine="640"/>
        <w:jc w:val="both"/>
      </w:pPr>
      <w:r>
        <w:rPr>
          <w:rStyle w:val="9"/>
          <w:rFonts w:hint="eastAsia" w:ascii="楷体" w:hAnsi="楷体" w:eastAsia="楷体" w:cs="Arial"/>
          <w:sz w:val="32"/>
          <w:szCs w:val="32"/>
        </w:rPr>
        <w:t>（十三）预算绩效情况说明</w:t>
      </w:r>
    </w:p>
    <w:p>
      <w:pPr>
        <w:spacing w:line="600" w:lineRule="atLeast"/>
        <w:ind w:firstLine="640"/>
        <w:jc w:val="both"/>
      </w:pPr>
      <w:r>
        <w:rPr>
          <w:rStyle w:val="9"/>
          <w:rFonts w:hint="eastAsia" w:ascii="仿宋" w:hAnsi="仿宋" w:eastAsia="仿宋" w:cs="Arial"/>
          <w:sz w:val="32"/>
          <w:szCs w:val="32"/>
        </w:rPr>
        <w:t>1.预算绩效管理工作开展情况。</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根据预算绩效管理要求，国家统计局温岭调查队组织对2020年度一般公共预算项目支出全面开展绩效自评，涉及项目7个，共涉及资金233万元，占一般公共预算项目支出总额的100%。</w:t>
      </w:r>
    </w:p>
    <w:p>
      <w:pPr>
        <w:spacing w:line="600" w:lineRule="atLeast"/>
        <w:ind w:firstLine="640"/>
        <w:jc w:val="both"/>
      </w:pPr>
      <w:r>
        <w:rPr>
          <w:rFonts w:hint="eastAsia" w:ascii="仿宋" w:hAnsi="仿宋" w:eastAsia="仿宋" w:cs="Arial"/>
          <w:sz w:val="32"/>
          <w:szCs w:val="32"/>
        </w:rPr>
        <w:t xml:space="preserve">本年无政府性基金预算项目。 </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本年无部门评价。</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本年无部门整体支出绩效评价。</w:t>
      </w:r>
    </w:p>
    <w:p>
      <w:pPr>
        <w:spacing w:line="600" w:lineRule="atLeast"/>
        <w:ind w:firstLine="640"/>
        <w:jc w:val="both"/>
      </w:pPr>
      <w:r>
        <w:rPr>
          <w:rFonts w:hint="eastAsia" w:ascii="仿宋" w:hAnsi="仿宋" w:eastAsia="仿宋" w:cs="Arial"/>
          <w:sz w:val="32"/>
          <w:szCs w:val="32"/>
        </w:rPr>
        <w:t>本年无下属部门或单位整体支出绩效评价。</w:t>
      </w:r>
    </w:p>
    <w:p>
      <w:pPr>
        <w:spacing w:line="600" w:lineRule="atLeast"/>
        <w:ind w:firstLine="640"/>
        <w:jc w:val="both"/>
        <w:rPr>
          <w:rStyle w:val="9"/>
          <w:rFonts w:ascii="仿宋" w:hAnsi="仿宋" w:eastAsia="仿宋" w:cs="Arial"/>
          <w:sz w:val="32"/>
          <w:szCs w:val="32"/>
        </w:rPr>
      </w:pPr>
      <w:r>
        <w:rPr>
          <w:rStyle w:val="9"/>
          <w:rFonts w:hint="eastAsia" w:ascii="仿宋" w:hAnsi="仿宋" w:eastAsia="仿宋" w:cs="Arial"/>
          <w:sz w:val="32"/>
          <w:szCs w:val="32"/>
        </w:rPr>
        <w:t>2.部门（单位）决算中项目绩效自评结果</w:t>
      </w:r>
    </w:p>
    <w:p>
      <w:pPr>
        <w:pStyle w:val="11"/>
        <w:ind w:firstLine="640" w:firstLineChars="200"/>
        <w:rPr>
          <w:rFonts w:hint="default" w:ascii="仿宋" w:hAnsi="仿宋" w:eastAsia="仿宋" w:cs="Arial"/>
          <w:color w:val="auto"/>
          <w:sz w:val="32"/>
          <w:szCs w:val="32"/>
        </w:rPr>
      </w:pPr>
      <w:r>
        <w:rPr>
          <w:rFonts w:ascii="仿宋" w:hAnsi="仿宋" w:eastAsia="仿宋" w:cs="Arial"/>
          <w:color w:val="auto"/>
          <w:sz w:val="32"/>
          <w:szCs w:val="32"/>
        </w:rPr>
        <w:t>无</w:t>
      </w:r>
    </w:p>
    <w:p>
      <w:pPr>
        <w:spacing w:line="600" w:lineRule="atLeast"/>
        <w:ind w:firstLine="640"/>
        <w:jc w:val="both"/>
        <w:rPr>
          <w:rStyle w:val="9"/>
          <w:rFonts w:ascii="仿宋" w:hAnsi="仿宋" w:eastAsia="仿宋" w:cs="Arial"/>
          <w:sz w:val="32"/>
          <w:szCs w:val="32"/>
        </w:rPr>
      </w:pPr>
      <w:r>
        <w:rPr>
          <w:rStyle w:val="9"/>
          <w:rFonts w:hint="eastAsia" w:ascii="仿宋" w:hAnsi="仿宋" w:eastAsia="仿宋" w:cs="Arial"/>
          <w:sz w:val="32"/>
          <w:szCs w:val="32"/>
        </w:rPr>
        <w:t>3.财政评价项目绩效评价结果</w:t>
      </w:r>
    </w:p>
    <w:p>
      <w:pPr>
        <w:pStyle w:val="11"/>
        <w:ind w:firstLine="640" w:firstLineChars="200"/>
        <w:rPr>
          <w:rFonts w:hint="default" w:ascii="仿宋" w:hAnsi="仿宋" w:eastAsia="仿宋" w:cs="Arial"/>
          <w:color w:val="auto"/>
          <w:sz w:val="32"/>
          <w:szCs w:val="32"/>
        </w:rPr>
      </w:pPr>
      <w:r>
        <w:rPr>
          <w:rFonts w:ascii="仿宋" w:hAnsi="仿宋" w:eastAsia="仿宋" w:cs="Arial"/>
          <w:color w:val="auto"/>
          <w:sz w:val="32"/>
          <w:szCs w:val="32"/>
        </w:rPr>
        <w:t>无</w:t>
      </w:r>
    </w:p>
    <w:p>
      <w:pPr>
        <w:spacing w:line="600" w:lineRule="atLeast"/>
        <w:ind w:firstLine="640"/>
        <w:jc w:val="both"/>
        <w:rPr>
          <w:rStyle w:val="9"/>
          <w:rFonts w:ascii="仿宋" w:hAnsi="仿宋" w:eastAsia="仿宋" w:cs="Arial"/>
          <w:sz w:val="32"/>
          <w:szCs w:val="32"/>
        </w:rPr>
      </w:pPr>
      <w:r>
        <w:rPr>
          <w:rStyle w:val="9"/>
          <w:rFonts w:hint="eastAsia" w:ascii="仿宋" w:hAnsi="仿宋" w:eastAsia="仿宋" w:cs="Arial"/>
          <w:sz w:val="32"/>
          <w:szCs w:val="32"/>
        </w:rPr>
        <w:t>4.部门评价项目绩效评价结果</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无</w:t>
      </w:r>
    </w:p>
    <w:p>
      <w:pPr>
        <w:spacing w:line="600" w:lineRule="atLeast"/>
        <w:ind w:firstLine="640"/>
        <w:jc w:val="both"/>
      </w:pPr>
      <w:r>
        <w:rPr>
          <w:rFonts w:hint="eastAsia" w:ascii="黑体" w:hAnsi="宋体" w:eastAsia="黑体" w:cs="Arial"/>
          <w:sz w:val="32"/>
          <w:szCs w:val="32"/>
        </w:rPr>
        <w:t>四、名词解释</w:t>
      </w:r>
    </w:p>
    <w:p>
      <w:pPr>
        <w:spacing w:line="600" w:lineRule="atLeast"/>
        <w:ind w:firstLine="640"/>
        <w:jc w:val="both"/>
      </w:pPr>
      <w:r>
        <w:rPr>
          <w:rFonts w:hint="eastAsia" w:ascii="仿宋" w:hAnsi="仿宋" w:eastAsia="仿宋" w:cs="Arial"/>
          <w:sz w:val="32"/>
          <w:szCs w:val="32"/>
        </w:rPr>
        <w:t>1.财政拨款收入：指本级财政部门当年拨付的财政预算资金，包括一般公共预算财政拨款、政府性基金预算财政拨款和国有资本经预算财政拨款。</w:t>
      </w:r>
    </w:p>
    <w:p>
      <w:pPr>
        <w:spacing w:line="600" w:lineRule="atLeast"/>
        <w:ind w:firstLine="640"/>
        <w:jc w:val="both"/>
      </w:pPr>
      <w:r>
        <w:rPr>
          <w:rFonts w:hint="eastAsia" w:ascii="仿宋" w:hAnsi="仿宋" w:eastAsia="仿宋" w:cs="Arial"/>
          <w:sz w:val="32"/>
          <w:szCs w:val="32"/>
        </w:rPr>
        <w:t>2.事业收入：指事业单位开展专业业务活动及辅助活动所取得的收入。</w:t>
      </w:r>
    </w:p>
    <w:p>
      <w:pPr>
        <w:spacing w:line="600" w:lineRule="atLeast"/>
        <w:ind w:firstLine="640"/>
        <w:jc w:val="both"/>
      </w:pPr>
      <w:r>
        <w:rPr>
          <w:rFonts w:hint="eastAsia" w:ascii="仿宋" w:hAnsi="仿宋" w:eastAsia="仿宋" w:cs="Arial"/>
          <w:sz w:val="32"/>
          <w:szCs w:val="32"/>
        </w:rPr>
        <w:t>3.经营收入：指事业单位在专业业务活动及辅助活动之外开展非独立核算经营活动取得的收入。</w:t>
      </w:r>
    </w:p>
    <w:p>
      <w:pPr>
        <w:spacing w:line="600" w:lineRule="atLeast"/>
        <w:ind w:firstLine="640"/>
        <w:jc w:val="both"/>
      </w:pPr>
      <w:r>
        <w:rPr>
          <w:rFonts w:hint="eastAsia" w:ascii="仿宋" w:hAnsi="仿宋" w:eastAsia="仿宋" w:cs="Arial"/>
          <w:sz w:val="32"/>
          <w:szCs w:val="32"/>
        </w:rPr>
        <w:t>4.上级补助收入：指事业单位从主管部门和上级单位取得的非财政补助收入。</w:t>
      </w:r>
    </w:p>
    <w:p>
      <w:pPr>
        <w:spacing w:line="600" w:lineRule="atLeast"/>
        <w:ind w:firstLine="640"/>
        <w:jc w:val="both"/>
      </w:pPr>
      <w:r>
        <w:rPr>
          <w:rFonts w:hint="eastAsia" w:ascii="仿宋" w:hAnsi="仿宋" w:eastAsia="仿宋" w:cs="Arial"/>
          <w:sz w:val="32"/>
          <w:szCs w:val="32"/>
        </w:rPr>
        <w:t>5.附属单位上缴收入：指事业单位附属独立核算单位按照有关规定上缴的收入。</w:t>
      </w:r>
    </w:p>
    <w:p>
      <w:pPr>
        <w:spacing w:line="600" w:lineRule="atLeast"/>
        <w:ind w:firstLine="640"/>
        <w:jc w:val="both"/>
      </w:pPr>
      <w:r>
        <w:rPr>
          <w:rFonts w:hint="eastAsia" w:ascii="仿宋" w:hAnsi="仿宋" w:eastAsia="仿宋" w:cs="Arial"/>
          <w:sz w:val="32"/>
          <w:szCs w:val="32"/>
        </w:rPr>
        <w:t>6.其他收入：指预算单位在“财政拨款”、“事业收入”、“经营收入”、“上级补助收入”、“附属单位上缴收入”等之外取得的各项收入。</w:t>
      </w:r>
    </w:p>
    <w:p>
      <w:pPr>
        <w:spacing w:line="600" w:lineRule="atLeast"/>
        <w:ind w:firstLine="640"/>
        <w:jc w:val="both"/>
      </w:pPr>
      <w:r>
        <w:rPr>
          <w:rFonts w:hint="eastAsia" w:ascii="仿宋" w:hAnsi="仿宋" w:eastAsia="仿宋" w:cs="Arial"/>
          <w:sz w:val="32"/>
          <w:szCs w:val="32"/>
        </w:rPr>
        <w:t>7.使用非财政拨款结余：指事业单位使用以前年度积累的非财政拨款结余弥补当年收支差额的金额。</w:t>
      </w:r>
    </w:p>
    <w:p>
      <w:pPr>
        <w:spacing w:line="600" w:lineRule="atLeast"/>
        <w:ind w:firstLine="640"/>
        <w:jc w:val="both"/>
      </w:pPr>
      <w:r>
        <w:rPr>
          <w:rFonts w:hint="eastAsia" w:ascii="仿宋" w:hAnsi="仿宋" w:eastAsia="仿宋" w:cs="Arial"/>
          <w:sz w:val="32"/>
          <w:szCs w:val="32"/>
        </w:rPr>
        <w:t>8.年初结转和结余：指预算单位以前年度尚未完成、结转到本年仍按原规定用途继续使用的资金。</w:t>
      </w:r>
    </w:p>
    <w:p>
      <w:pPr>
        <w:spacing w:line="600" w:lineRule="atLeast"/>
        <w:ind w:firstLine="640"/>
        <w:jc w:val="both"/>
      </w:pPr>
      <w:r>
        <w:rPr>
          <w:rFonts w:hint="eastAsia" w:ascii="仿宋" w:hAnsi="仿宋" w:eastAsia="仿宋" w:cs="Arial"/>
          <w:sz w:val="32"/>
          <w:szCs w:val="32"/>
        </w:rPr>
        <w:t>9.年末结转和结余：指单位按有关规定结转到下年或以后年度继续使用的资金。</w:t>
      </w:r>
    </w:p>
    <w:p>
      <w:pPr>
        <w:spacing w:line="600" w:lineRule="atLeast"/>
        <w:ind w:firstLine="640"/>
        <w:jc w:val="both"/>
      </w:pPr>
      <w:r>
        <w:rPr>
          <w:rFonts w:hint="eastAsia" w:ascii="仿宋" w:hAnsi="仿宋" w:eastAsia="仿宋" w:cs="Arial"/>
          <w:sz w:val="32"/>
          <w:szCs w:val="32"/>
        </w:rPr>
        <w:t>10.基本支出：指预算单位为保障其正常运转，完成日常工作任务所发生的支出，包括人员经费支出和日常公用经费支出。</w:t>
      </w:r>
    </w:p>
    <w:p>
      <w:pPr>
        <w:spacing w:line="600" w:lineRule="atLeast"/>
        <w:ind w:firstLine="640"/>
        <w:jc w:val="both"/>
      </w:pPr>
      <w:r>
        <w:rPr>
          <w:rFonts w:hint="eastAsia" w:ascii="仿宋" w:hAnsi="仿宋" w:eastAsia="仿宋" w:cs="Arial"/>
          <w:sz w:val="32"/>
          <w:szCs w:val="32"/>
        </w:rPr>
        <w:t>11.项目支出：指预算单位为完成其特定的行政工作任务或事业发展目标所发生的支出。</w:t>
      </w:r>
    </w:p>
    <w:p>
      <w:pPr>
        <w:spacing w:line="600" w:lineRule="atLeast"/>
        <w:ind w:firstLine="640"/>
        <w:jc w:val="both"/>
      </w:pPr>
      <w:r>
        <w:rPr>
          <w:rFonts w:hint="eastAsia" w:ascii="仿宋" w:hAnsi="仿宋" w:eastAsia="仿宋" w:cs="Arial"/>
          <w:sz w:val="32"/>
          <w:szCs w:val="32"/>
        </w:rPr>
        <w:t>12.上缴上级支出：填列事业单位按照财政部门和主管部门的规定上缴上级单位的支出。</w:t>
      </w:r>
    </w:p>
    <w:p>
      <w:pPr>
        <w:spacing w:line="600" w:lineRule="atLeast"/>
        <w:ind w:firstLine="640"/>
        <w:jc w:val="both"/>
      </w:pPr>
      <w:r>
        <w:rPr>
          <w:rFonts w:hint="eastAsia" w:ascii="仿宋" w:hAnsi="仿宋" w:eastAsia="仿宋" w:cs="Arial"/>
          <w:sz w:val="32"/>
          <w:szCs w:val="32"/>
        </w:rPr>
        <w:t>13.经营支出：指事业单位在专业业务活动及其辅助活动之外开展非独立核算经营活动发生的支出。</w:t>
      </w:r>
    </w:p>
    <w:p>
      <w:pPr>
        <w:spacing w:line="600" w:lineRule="atLeast"/>
        <w:ind w:firstLine="640"/>
        <w:jc w:val="both"/>
      </w:pPr>
      <w:r>
        <w:rPr>
          <w:rFonts w:hint="eastAsia" w:ascii="仿宋" w:hAnsi="仿宋" w:eastAsia="仿宋" w:cs="Arial"/>
          <w:sz w:val="32"/>
          <w:szCs w:val="32"/>
        </w:rPr>
        <w:t>14.附属单位补助支出：填列事业单位用财政补助收入之外的收入对附属单位补助发生的支出。</w:t>
      </w:r>
    </w:p>
    <w:p>
      <w:pPr>
        <w:spacing w:line="600" w:lineRule="atLeast"/>
        <w:ind w:firstLine="640"/>
        <w:jc w:val="both"/>
      </w:pPr>
      <w:r>
        <w:rPr>
          <w:rFonts w:hint="eastAsia" w:ascii="仿宋" w:hAnsi="仿宋" w:eastAsia="仿宋" w:cs="Arial"/>
          <w:sz w:val="32"/>
          <w:szCs w:val="32"/>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600" w:lineRule="atLeast"/>
        <w:ind w:firstLine="640"/>
        <w:jc w:val="both"/>
      </w:pPr>
      <w:r>
        <w:rPr>
          <w:rFonts w:hint="eastAsia" w:ascii="仿宋" w:hAnsi="仿宋" w:eastAsia="仿宋" w:cs="Arial"/>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atLeast"/>
        <w:ind w:firstLine="640"/>
        <w:jc w:val="both"/>
      </w:pPr>
      <w:r>
        <w:rPr>
          <w:rFonts w:hint="eastAsia" w:ascii="仿宋" w:hAnsi="仿宋" w:eastAsia="仿宋" w:cs="Arial"/>
          <w:sz w:val="32"/>
          <w:szCs w:val="32"/>
        </w:rPr>
        <w:t>17.</w:t>
      </w:r>
      <w:r>
        <w:rPr>
          <w:rFonts w:hint="eastAsia" w:ascii="仿宋_GB2312" w:eastAsia="仿宋_GB2312"/>
          <w:bCs/>
          <w:color w:val="000000"/>
          <w:sz w:val="32"/>
          <w:szCs w:val="32"/>
        </w:rPr>
        <w:t>一般公共服务支出（类）统计信息事务（款）专项统计业务（项）：指专项统计业务。</w:t>
      </w:r>
    </w:p>
    <w:p>
      <w:pPr>
        <w:spacing w:line="600" w:lineRule="atLeast"/>
        <w:ind w:firstLine="640"/>
        <w:jc w:val="both"/>
      </w:pPr>
      <w:r>
        <w:rPr>
          <w:rFonts w:hint="eastAsia" w:ascii="仿宋" w:hAnsi="仿宋" w:eastAsia="仿宋" w:cs="Arial"/>
          <w:sz w:val="32"/>
          <w:szCs w:val="32"/>
        </w:rPr>
        <w:t>18.</w:t>
      </w:r>
      <w:r>
        <w:rPr>
          <w:rFonts w:hint="eastAsia" w:ascii="仿宋_GB2312" w:eastAsia="仿宋_GB2312"/>
          <w:bCs/>
          <w:color w:val="000000"/>
          <w:sz w:val="32"/>
          <w:szCs w:val="32"/>
        </w:rPr>
        <w:t>一般公共服务支出（类）统计信息事务（款）其他统计信息事务支出（项）：指其他统计信息事务支出。</w:t>
      </w:r>
    </w:p>
    <w:p/>
    <w:sectPr>
      <w:footerReference r:id="rId3" w:type="default"/>
      <w:pgSz w:w="11915" w:h="16851"/>
      <w:pgMar w:top="1440" w:right="1800" w:bottom="1440" w:left="1800" w:header="851" w:footer="992" w:gutter="0"/>
      <w:pgNumType w:start="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2419638"/>
      <w:docPartObj>
        <w:docPartGallery w:val="AutoText"/>
      </w:docPartObj>
    </w:sdtPr>
    <w:sdtContent>
      <w:p>
        <w:pPr>
          <w:pStyle w:val="3"/>
          <w:jc w:val="center"/>
        </w:pPr>
        <w:r>
          <w:fldChar w:fldCharType="begin"/>
        </w:r>
        <w:r>
          <w:instrText xml:space="preserve"> PAGE   \* MERGEFORMAT </w:instrText>
        </w:r>
        <w:r>
          <w:fldChar w:fldCharType="separate"/>
        </w:r>
        <w:r>
          <w:rPr>
            <w:lang w:val="zh-CN"/>
          </w:rPr>
          <w:t>0</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89670F7"/>
    <w:rsid w:val="0010008B"/>
    <w:rsid w:val="001468B4"/>
    <w:rsid w:val="003E70C3"/>
    <w:rsid w:val="00437FC1"/>
    <w:rsid w:val="00451AF0"/>
    <w:rsid w:val="00626F0F"/>
    <w:rsid w:val="089670F7"/>
    <w:rsid w:val="680A7B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EastAsia" w:hAnsiTheme="minorEastAsia" w:eastAsiaTheme="minorEastAsia"/>
      <w:sz w:val="24"/>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qFormat/>
    <w:uiPriority w:val="0"/>
    <w:pPr>
      <w:snapToGrid w:val="0"/>
    </w:pPr>
    <w:rPr>
      <w:rFonts w:ascii="Calibri" w:hAnsi="Calibri" w:eastAsia="宋体"/>
      <w:sz w:val="18"/>
      <w:szCs w:val="18"/>
    </w:rPr>
  </w:style>
  <w:style w:type="paragraph" w:styleId="3">
    <w:name w:val="footer"/>
    <w:basedOn w:val="1"/>
    <w:link w:val="13"/>
    <w:qFormat/>
    <w:uiPriority w:val="99"/>
    <w:pPr>
      <w:tabs>
        <w:tab w:val="center" w:pos="4153"/>
        <w:tab w:val="right" w:pos="8306"/>
      </w:tabs>
      <w:snapToGrid w:val="0"/>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39"/>
    <w:pPr>
      <w:spacing w:after="100" w:line="276" w:lineRule="auto"/>
    </w:pPr>
    <w:rPr>
      <w:rFonts w:ascii="Calibri" w:hAnsi="Calibri" w:eastAsia="宋体"/>
      <w:sz w:val="22"/>
      <w:szCs w:val="22"/>
    </w:rPr>
  </w:style>
  <w:style w:type="paragraph" w:styleId="6">
    <w:name w:val="Normal (Web)"/>
    <w:basedOn w:val="1"/>
    <w:qFormat/>
    <w:uiPriority w:val="0"/>
    <w:pPr>
      <w:spacing w:beforeAutospacing="1" w:afterAutospacing="1"/>
    </w:p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character" w:customStyle="1" w:styleId="12">
    <w:name w:val="页眉 Char"/>
    <w:basedOn w:val="8"/>
    <w:link w:val="4"/>
    <w:qFormat/>
    <w:uiPriority w:val="0"/>
    <w:rPr>
      <w:rFonts w:cs="Times New Roman" w:asciiTheme="minorEastAsia" w:hAnsiTheme="minorEastAsia"/>
      <w:sz w:val="18"/>
      <w:szCs w:val="18"/>
    </w:rPr>
  </w:style>
  <w:style w:type="character" w:customStyle="1" w:styleId="13">
    <w:name w:val="页脚 Char"/>
    <w:basedOn w:val="8"/>
    <w:link w:val="3"/>
    <w:qFormat/>
    <w:uiPriority w:val="99"/>
    <w:rPr>
      <w:rFonts w:cs="Times New Roman" w:asciiTheme="minorEastAsia" w:hAnsiTheme="minorEastAsi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1025</Words>
  <Characters>5844</Characters>
  <Lines>48</Lines>
  <Paragraphs>13</Paragraphs>
  <TotalTime>10</TotalTime>
  <ScaleCrop>false</ScaleCrop>
  <LinksUpToDate>false</LinksUpToDate>
  <CharactersWithSpaces>6856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2021-09-28T12:53:00Z</dcterms:created>
  <dc:creator>吃饺子蘸醋蘸辣椒酱蘸香油</dc:creator>
  <cp:lastModifiedBy>WPS_248792434</cp:lastModifiedBy>
  <dcterms:modified xsi:type="dcterms:W3CDTF">2022-02-11T03:47:18Z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3D8562DB07794F4B97D713733FB290B8</vt:lpwstr>
  </property>
</Properties>
</file>