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FE" w:rsidRDefault="00B0793E">
      <w:pPr>
        <w:pStyle w:val="a7"/>
        <w:widowControl/>
        <w:snapToGrid w:val="0"/>
        <w:jc w:val="center"/>
        <w:rPr>
          <w:rStyle w:val="15"/>
          <w:rFonts w:ascii="黑体" w:eastAsia="黑体" w:cs="黑体"/>
          <w:sz w:val="44"/>
          <w:szCs w:val="44"/>
        </w:rPr>
      </w:pPr>
      <w:r>
        <w:rPr>
          <w:rStyle w:val="15"/>
          <w:rFonts w:ascii="黑体" w:eastAsia="黑体" w:cs="黑体" w:hint="eastAsia"/>
          <w:sz w:val="44"/>
          <w:szCs w:val="44"/>
        </w:rPr>
        <w:t>温岭市人民政府城北街道办事处</w:t>
      </w:r>
    </w:p>
    <w:p w:rsidR="00E728FE" w:rsidRDefault="00B0793E">
      <w:pPr>
        <w:pStyle w:val="a7"/>
        <w:widowControl/>
        <w:snapToGrid w:val="0"/>
        <w:jc w:val="center"/>
        <w:rPr>
          <w:rFonts w:cs="宋体"/>
        </w:rPr>
      </w:pPr>
      <w:r>
        <w:rPr>
          <w:rStyle w:val="15"/>
          <w:rFonts w:ascii="黑体" w:eastAsia="黑体" w:hAnsi="宋体" w:cs="黑体" w:hint="eastAsia"/>
          <w:sz w:val="44"/>
          <w:szCs w:val="44"/>
        </w:rPr>
        <w:t>2020年度部门决算</w:t>
      </w:r>
    </w:p>
    <w:p w:rsidR="00E728FE" w:rsidRDefault="00B0793E">
      <w:pPr>
        <w:pStyle w:val="a7"/>
        <w:widowControl/>
        <w:snapToGrid w:val="0"/>
        <w:jc w:val="center"/>
        <w:rPr>
          <w:rFonts w:cs="宋体"/>
        </w:rPr>
      </w:pPr>
      <w:r>
        <w:rPr>
          <w:rStyle w:val="15"/>
          <w:rFonts w:ascii="等线" w:eastAsia="等线" w:hAnsi="等线" w:cs="等线"/>
          <w:sz w:val="22"/>
          <w:szCs w:val="22"/>
        </w:rPr>
        <w:t>目录</w:t>
      </w:r>
    </w:p>
    <w:p w:rsidR="00E728FE" w:rsidRDefault="00B0793E">
      <w:pPr>
        <w:widowControl/>
        <w:numPr>
          <w:ilvl w:val="0"/>
          <w:numId w:val="1"/>
        </w:numPr>
        <w:snapToGrid w:val="0"/>
        <w:spacing w:line="600" w:lineRule="atLeast"/>
        <w:ind w:firstLine="640"/>
        <w:rPr>
          <w:rStyle w:val="15"/>
          <w:rFonts w:ascii="等线" w:eastAsia="等线" w:hAnsi="等线" w:cs="Arial"/>
          <w:kern w:val="0"/>
          <w:sz w:val="22"/>
          <w:szCs w:val="22"/>
        </w:rPr>
      </w:pPr>
      <w:r>
        <w:rPr>
          <w:rStyle w:val="15"/>
          <w:rFonts w:ascii="等线" w:eastAsia="等线" w:hAnsi="等线" w:cs="等线"/>
          <w:kern w:val="0"/>
          <w:sz w:val="22"/>
          <w:szCs w:val="22"/>
        </w:rPr>
        <w:t>概况</w:t>
      </w:r>
      <w:r>
        <w:rPr>
          <w:rStyle w:val="15"/>
          <w:rFonts w:ascii="等线" w:eastAsia="等线" w:hAnsi="等线" w:cs="Arial"/>
          <w:kern w:val="0"/>
          <w:sz w:val="22"/>
          <w:szCs w:val="22"/>
        </w:rPr>
        <w:t>............................................................................................(</w:t>
      </w:r>
      <w:r>
        <w:rPr>
          <w:rStyle w:val="15"/>
          <w:rFonts w:ascii="等线" w:eastAsia="等线" w:hAnsi="等线" w:cs="Arial" w:hint="eastAsia"/>
          <w:kern w:val="0"/>
          <w:sz w:val="22"/>
          <w:szCs w:val="22"/>
        </w:rPr>
        <w:t>2</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（一）部门职责</w:t>
      </w:r>
      <w:r>
        <w:rPr>
          <w:rStyle w:val="15"/>
          <w:rFonts w:ascii="等线" w:eastAsia="等线" w:hAnsi="等线" w:cs="Arial"/>
          <w:kern w:val="0"/>
          <w:sz w:val="22"/>
          <w:szCs w:val="22"/>
        </w:rPr>
        <w:t>.................................................................................(</w:t>
      </w:r>
      <w:r>
        <w:rPr>
          <w:rStyle w:val="15"/>
          <w:rFonts w:ascii="等线" w:eastAsia="等线" w:hAnsi="等线" w:cs="Arial" w:hint="eastAsia"/>
          <w:kern w:val="0"/>
          <w:sz w:val="22"/>
          <w:szCs w:val="22"/>
        </w:rPr>
        <w:t>2</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（二）机构设置</w:t>
      </w:r>
      <w:r>
        <w:rPr>
          <w:rStyle w:val="15"/>
          <w:rFonts w:ascii="等线" w:eastAsia="等线" w:hAnsi="等线" w:cs="Arial"/>
          <w:kern w:val="0"/>
          <w:sz w:val="22"/>
          <w:szCs w:val="22"/>
        </w:rPr>
        <w:t xml:space="preserve">..................................................................................( </w:t>
      </w:r>
      <w:r>
        <w:rPr>
          <w:rStyle w:val="15"/>
          <w:rFonts w:ascii="等线" w:eastAsia="等线" w:hAnsi="等线" w:cs="Arial" w:hint="eastAsia"/>
          <w:kern w:val="0"/>
          <w:sz w:val="22"/>
          <w:szCs w:val="22"/>
        </w:rPr>
        <w:t>3</w:t>
      </w:r>
      <w:r>
        <w:rPr>
          <w:rStyle w:val="15"/>
          <w:rFonts w:ascii="等线" w:eastAsia="等线" w:hAnsi="等线" w:cs="Arial"/>
          <w:kern w:val="0"/>
          <w:sz w:val="22"/>
          <w:szCs w:val="22"/>
        </w:rPr>
        <w:t xml:space="preserve">) </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二、</w:t>
      </w:r>
      <w:r>
        <w:rPr>
          <w:rStyle w:val="15"/>
          <w:rFonts w:ascii="等线" w:eastAsia="等线" w:hAnsi="等线" w:cs="Arial"/>
          <w:kern w:val="0"/>
          <w:sz w:val="22"/>
          <w:szCs w:val="22"/>
        </w:rPr>
        <w:t xml:space="preserve">2020年度部门决算公开表.........................................................( </w:t>
      </w:r>
      <w:r>
        <w:rPr>
          <w:rStyle w:val="15"/>
          <w:rFonts w:ascii="等线" w:eastAsia="等线" w:hAnsi="等线" w:cs="Arial" w:hint="eastAsia"/>
          <w:kern w:val="0"/>
          <w:sz w:val="22"/>
          <w:szCs w:val="22"/>
        </w:rPr>
        <w:t>3</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三、</w:t>
      </w:r>
      <w:r>
        <w:rPr>
          <w:rStyle w:val="15"/>
          <w:rFonts w:ascii="等线" w:eastAsia="等线" w:hAnsi="等线" w:cs="Arial"/>
          <w:kern w:val="0"/>
          <w:sz w:val="22"/>
          <w:szCs w:val="22"/>
        </w:rPr>
        <w:t>2020年度部门决算情况说明......................................................(</w:t>
      </w:r>
      <w:r>
        <w:rPr>
          <w:rStyle w:val="15"/>
          <w:rFonts w:ascii="等线" w:eastAsia="等线" w:hAnsi="等线" w:cs="Arial" w:hint="eastAsia"/>
          <w:kern w:val="0"/>
          <w:sz w:val="22"/>
          <w:szCs w:val="22"/>
        </w:rPr>
        <w:t>3-4</w:t>
      </w:r>
      <w:r>
        <w:rPr>
          <w:rStyle w:val="15"/>
          <w:rFonts w:ascii="等线" w:eastAsia="等线" w:hAnsi="等线" w:cs="Arial"/>
          <w:kern w:val="0"/>
          <w:sz w:val="22"/>
          <w:szCs w:val="22"/>
        </w:rPr>
        <w:t xml:space="preserve"> ) </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（一）收入支出决算总体情况说明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4</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（二）收入决算情况说明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4</w:t>
      </w:r>
      <w:r>
        <w:rPr>
          <w:rStyle w:val="15"/>
          <w:rFonts w:ascii="等线" w:eastAsia="等线" w:hAnsi="等线" w:cs="Arial"/>
          <w:kern w:val="0"/>
          <w:sz w:val="22"/>
          <w:szCs w:val="22"/>
        </w:rPr>
        <w:t xml:space="preserve"> )</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（三）支出决算情况说明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4</w:t>
      </w:r>
      <w:r>
        <w:rPr>
          <w:rStyle w:val="15"/>
          <w:rFonts w:ascii="等线" w:eastAsia="等线" w:hAnsi="等线" w:cs="Arial"/>
          <w:kern w:val="0"/>
          <w:sz w:val="22"/>
          <w:szCs w:val="22"/>
        </w:rPr>
        <w:t xml:space="preserve"> )</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（四）财政拨款入支出决算总体情况说明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4-5</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（五）一般公共预算财政拨款支出决算情况说明</w:t>
      </w:r>
      <w:r>
        <w:rPr>
          <w:rStyle w:val="15"/>
          <w:rFonts w:ascii="等线" w:eastAsia="等线" w:hAnsi="等线" w:cs="Arial"/>
          <w:kern w:val="0"/>
          <w:sz w:val="22"/>
          <w:szCs w:val="22"/>
        </w:rPr>
        <w:t xml:space="preserve">..............................................( </w:t>
      </w:r>
      <w:r>
        <w:rPr>
          <w:rStyle w:val="15"/>
          <w:rFonts w:ascii="等线" w:eastAsia="等线" w:hAnsi="等线" w:cs="Arial" w:hint="eastAsia"/>
          <w:kern w:val="0"/>
          <w:sz w:val="22"/>
          <w:szCs w:val="22"/>
        </w:rPr>
        <w:t>5</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（六）一般</w:t>
      </w:r>
      <w:r>
        <w:rPr>
          <w:rStyle w:val="15"/>
          <w:rFonts w:ascii="等线" w:eastAsia="等线" w:hAnsi="等线" w:cs="等线" w:hint="eastAsia"/>
          <w:kern w:val="0"/>
          <w:sz w:val="22"/>
          <w:szCs w:val="22"/>
        </w:rPr>
        <w:t>公共</w:t>
      </w:r>
      <w:r>
        <w:rPr>
          <w:rStyle w:val="15"/>
          <w:rFonts w:ascii="等线" w:eastAsia="等线" w:hAnsi="等线" w:cs="等线"/>
          <w:kern w:val="0"/>
          <w:sz w:val="22"/>
          <w:szCs w:val="22"/>
        </w:rPr>
        <w:t>预算财政拨款基本支出决算情况说明</w:t>
      </w:r>
      <w:r>
        <w:rPr>
          <w:rStyle w:val="15"/>
          <w:rFonts w:ascii="等线" w:eastAsia="等线" w:hAnsi="等线" w:cs="Arial"/>
          <w:kern w:val="0"/>
          <w:sz w:val="22"/>
          <w:szCs w:val="22"/>
        </w:rPr>
        <w:t>...............................(</w:t>
      </w:r>
      <w:r w:rsidR="009830DC">
        <w:rPr>
          <w:rStyle w:val="15"/>
          <w:rFonts w:ascii="等线" w:eastAsia="等线" w:hAnsi="等线" w:cs="Arial" w:hint="eastAsia"/>
          <w:kern w:val="0"/>
          <w:sz w:val="22"/>
          <w:szCs w:val="22"/>
        </w:rPr>
        <w:t xml:space="preserve"> </w:t>
      </w:r>
      <w:r>
        <w:rPr>
          <w:rStyle w:val="15"/>
          <w:rFonts w:ascii="等线" w:eastAsia="等线" w:hAnsi="等线" w:cs="Arial" w:hint="eastAsia"/>
          <w:kern w:val="0"/>
          <w:sz w:val="22"/>
          <w:szCs w:val="22"/>
        </w:rPr>
        <w:t>15</w:t>
      </w:r>
      <w:r>
        <w:rPr>
          <w:rStyle w:val="15"/>
          <w:rFonts w:ascii="等线" w:eastAsia="等线" w:hAnsi="等线" w:cs="Arial"/>
          <w:kern w:val="0"/>
          <w:sz w:val="22"/>
          <w:szCs w:val="22"/>
        </w:rPr>
        <w:t xml:space="preserve"> )</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（七）政府性基金预算财政拨款支出决算总体情况说明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16-18</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（八）国有资本经营预算财政拨款支出决算总体情况说明</w:t>
      </w:r>
      <w:r>
        <w:rPr>
          <w:rStyle w:val="15"/>
          <w:rFonts w:ascii="等线" w:eastAsia="等线" w:hAnsi="等线" w:cs="Arial"/>
          <w:kern w:val="0"/>
          <w:sz w:val="22"/>
          <w:szCs w:val="22"/>
        </w:rPr>
        <w:t xml:space="preserve">.......................( </w:t>
      </w:r>
      <w:r>
        <w:rPr>
          <w:rStyle w:val="15"/>
          <w:rFonts w:ascii="等线" w:eastAsia="等线" w:hAnsi="等线" w:cs="Arial" w:hint="eastAsia"/>
          <w:kern w:val="0"/>
          <w:sz w:val="22"/>
          <w:szCs w:val="22"/>
        </w:rPr>
        <w:t>18</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（九）一般公共预算财政拨款</w:t>
      </w:r>
      <w:r>
        <w:rPr>
          <w:rStyle w:val="15"/>
          <w:rFonts w:ascii="等线" w:eastAsia="等线" w:hAnsi="等线" w:cs="Arial"/>
          <w:kern w:val="0"/>
          <w:sz w:val="22"/>
          <w:szCs w:val="22"/>
        </w:rPr>
        <w:t xml:space="preserve">“三公”经费支出决算情况说明.....................( </w:t>
      </w:r>
      <w:r>
        <w:rPr>
          <w:rStyle w:val="15"/>
          <w:rFonts w:ascii="等线" w:eastAsia="等线" w:hAnsi="等线" w:cs="Arial" w:hint="eastAsia"/>
          <w:kern w:val="0"/>
          <w:sz w:val="22"/>
          <w:szCs w:val="22"/>
        </w:rPr>
        <w:t>18-20</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（十）机关运行经费支出说明</w:t>
      </w:r>
      <w:r>
        <w:rPr>
          <w:rStyle w:val="15"/>
          <w:rFonts w:ascii="等线" w:eastAsia="等线" w:hAnsi="等线" w:cs="Arial"/>
          <w:kern w:val="0"/>
          <w:sz w:val="22"/>
          <w:szCs w:val="22"/>
        </w:rPr>
        <w:t xml:space="preserve">..................................................................( </w:t>
      </w:r>
      <w:r>
        <w:rPr>
          <w:rStyle w:val="15"/>
          <w:rFonts w:ascii="等线" w:eastAsia="等线" w:hAnsi="等线" w:cs="Arial" w:hint="eastAsia"/>
          <w:kern w:val="0"/>
          <w:sz w:val="22"/>
          <w:szCs w:val="22"/>
        </w:rPr>
        <w:t>20</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（十一）政府采购支出说明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20</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（十二）国有资产占有情况说明</w:t>
      </w:r>
      <w:r>
        <w:rPr>
          <w:rStyle w:val="15"/>
          <w:rFonts w:ascii="等线" w:eastAsia="等线" w:hAnsi="等线" w:cs="Arial"/>
          <w:kern w:val="0"/>
          <w:sz w:val="22"/>
          <w:szCs w:val="22"/>
        </w:rPr>
        <w:t>...............................................................(</w:t>
      </w:r>
      <w:r>
        <w:rPr>
          <w:rStyle w:val="15"/>
          <w:rFonts w:ascii="等线" w:eastAsia="等线" w:hAnsi="等线" w:cs="Arial" w:hint="eastAsia"/>
          <w:kern w:val="0"/>
          <w:sz w:val="22"/>
          <w:szCs w:val="22"/>
        </w:rPr>
        <w:t>20</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（十三）预算绩效情况说明</w:t>
      </w:r>
      <w:r>
        <w:rPr>
          <w:rStyle w:val="15"/>
          <w:rFonts w:ascii="等线" w:eastAsia="等线" w:hAnsi="等线" w:cs="Arial"/>
          <w:kern w:val="0"/>
          <w:sz w:val="22"/>
          <w:szCs w:val="22"/>
        </w:rPr>
        <w:t xml:space="preserve">.......................................................................( </w:t>
      </w:r>
      <w:r>
        <w:rPr>
          <w:rStyle w:val="15"/>
          <w:rFonts w:ascii="等线" w:eastAsia="等线" w:hAnsi="等线" w:cs="Arial" w:hint="eastAsia"/>
          <w:kern w:val="0"/>
          <w:sz w:val="22"/>
          <w:szCs w:val="22"/>
        </w:rPr>
        <w:t>20-31</w:t>
      </w:r>
      <w:r>
        <w:rPr>
          <w:rStyle w:val="15"/>
          <w:rFonts w:ascii="等线" w:eastAsia="等线" w:hAnsi="等线" w:cs="Arial"/>
          <w:kern w:val="0"/>
          <w:sz w:val="22"/>
          <w:szCs w:val="22"/>
        </w:rPr>
        <w:t>)</w:t>
      </w:r>
    </w:p>
    <w:p w:rsidR="00E728FE" w:rsidRDefault="00B0793E">
      <w:pPr>
        <w:widowControl/>
        <w:snapToGrid w:val="0"/>
        <w:spacing w:line="600" w:lineRule="atLeast"/>
        <w:ind w:firstLine="640"/>
        <w:rPr>
          <w:rFonts w:ascii="宋体" w:eastAsia="宋体" w:hAnsi="宋体" w:cs="宋体"/>
          <w:kern w:val="0"/>
          <w:sz w:val="24"/>
        </w:rPr>
      </w:pPr>
      <w:r>
        <w:rPr>
          <w:rStyle w:val="15"/>
          <w:rFonts w:ascii="等线" w:eastAsia="等线" w:hAnsi="等线" w:cs="等线"/>
          <w:kern w:val="0"/>
          <w:sz w:val="22"/>
          <w:szCs w:val="22"/>
        </w:rPr>
        <w:t>四、名词解释</w:t>
      </w:r>
      <w:r>
        <w:rPr>
          <w:rStyle w:val="15"/>
          <w:rFonts w:ascii="等线" w:eastAsia="等线" w:hAnsi="等线" w:cs="Arial"/>
          <w:kern w:val="0"/>
          <w:sz w:val="22"/>
          <w:szCs w:val="22"/>
        </w:rPr>
        <w:t>............................................................................................(</w:t>
      </w:r>
      <w:r>
        <w:rPr>
          <w:rStyle w:val="15"/>
          <w:rFonts w:ascii="等线" w:eastAsia="等线" w:hAnsi="等线" w:cs="Arial" w:hint="eastAsia"/>
          <w:kern w:val="0"/>
          <w:sz w:val="22"/>
          <w:szCs w:val="22"/>
        </w:rPr>
        <w:t>32-41)</w:t>
      </w:r>
    </w:p>
    <w:p w:rsidR="00E728FE" w:rsidRDefault="00E728FE">
      <w:pPr>
        <w:widowControl/>
        <w:snapToGrid w:val="0"/>
        <w:spacing w:line="600" w:lineRule="atLeast"/>
        <w:ind w:firstLine="640"/>
        <w:rPr>
          <w:rStyle w:val="15"/>
          <w:rFonts w:ascii="黑体" w:eastAsia="黑体" w:hAnsi="宋体" w:cs="黑体"/>
          <w:kern w:val="0"/>
          <w:sz w:val="32"/>
          <w:szCs w:val="32"/>
        </w:rPr>
      </w:pPr>
    </w:p>
    <w:p w:rsidR="00E728FE" w:rsidRDefault="00B0793E">
      <w:pPr>
        <w:widowControl/>
        <w:snapToGrid w:val="0"/>
        <w:spacing w:line="600" w:lineRule="atLeast"/>
        <w:ind w:firstLine="640"/>
        <w:rPr>
          <w:rFonts w:ascii="宋体" w:eastAsia="宋体" w:hAnsi="宋体" w:cs="宋体"/>
          <w:kern w:val="0"/>
          <w:sz w:val="24"/>
        </w:rPr>
      </w:pPr>
      <w:r>
        <w:rPr>
          <w:rStyle w:val="15"/>
          <w:rFonts w:ascii="黑体" w:eastAsia="黑体" w:hAnsi="宋体" w:cs="黑体" w:hint="eastAsia"/>
          <w:kern w:val="0"/>
          <w:sz w:val="32"/>
          <w:szCs w:val="32"/>
        </w:rPr>
        <w:t>一、概况</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（一）部门职责</w:t>
      </w:r>
    </w:p>
    <w:p w:rsidR="00E728FE" w:rsidRDefault="00B0793E">
      <w:pPr>
        <w:adjustRightInd w:val="0"/>
        <w:spacing w:line="640" w:lineRule="exact"/>
        <w:ind w:firstLineChars="200" w:firstLine="562"/>
        <w:rPr>
          <w:rFonts w:ascii="宋体" w:hAnsi="宋体" w:cs="宋体"/>
          <w:sz w:val="28"/>
          <w:szCs w:val="28"/>
        </w:rPr>
      </w:pPr>
      <w:r>
        <w:rPr>
          <w:rFonts w:ascii="宋体" w:hAnsi="宋体" w:cs="宋体" w:hint="eastAsia"/>
          <w:b/>
          <w:sz w:val="28"/>
          <w:szCs w:val="28"/>
        </w:rPr>
        <w:t>1、加强党的建设。</w:t>
      </w:r>
      <w:r>
        <w:rPr>
          <w:rFonts w:ascii="宋体" w:hAnsi="宋体" w:cs="宋体" w:hint="eastAsia"/>
          <w:sz w:val="28"/>
          <w:szCs w:val="28"/>
        </w:rPr>
        <w:t>落实基层党建工作责任制，严格抓好基层党组织建设各项制度，推进街道社区党建与单位党建、行业党建、区域化党建互联互动，统筹抓好辖区内新领域新业态新群体党建工作。</w:t>
      </w:r>
    </w:p>
    <w:p w:rsidR="00E728FE" w:rsidRDefault="00B0793E">
      <w:pPr>
        <w:adjustRightInd w:val="0"/>
        <w:spacing w:line="640" w:lineRule="exact"/>
        <w:ind w:firstLineChars="200" w:firstLine="562"/>
        <w:rPr>
          <w:rFonts w:ascii="宋体" w:hAnsi="宋体" w:cs="宋体"/>
          <w:sz w:val="28"/>
          <w:szCs w:val="28"/>
        </w:rPr>
      </w:pPr>
      <w:r>
        <w:rPr>
          <w:rFonts w:ascii="宋体" w:hAnsi="宋体" w:cs="宋体" w:hint="eastAsia"/>
          <w:b/>
          <w:sz w:val="28"/>
          <w:szCs w:val="28"/>
        </w:rPr>
        <w:t>2、推进区域发展。</w:t>
      </w:r>
      <w:r>
        <w:rPr>
          <w:rFonts w:ascii="宋体" w:hAnsi="宋体" w:cs="宋体" w:hint="eastAsia"/>
          <w:sz w:val="28"/>
          <w:szCs w:val="28"/>
        </w:rPr>
        <w:t>统筹落实社区发展的重大决策和社区建设规划，参与辖区公共服务设施建设规划，配合做好城市有机更新，推动辖区健康有序可持续发展。</w:t>
      </w:r>
    </w:p>
    <w:p w:rsidR="00E728FE" w:rsidRDefault="00B0793E">
      <w:pPr>
        <w:adjustRightInd w:val="0"/>
        <w:spacing w:line="640" w:lineRule="exact"/>
        <w:ind w:firstLineChars="200" w:firstLine="562"/>
        <w:rPr>
          <w:rFonts w:ascii="宋体" w:hAnsi="宋体" w:cs="宋体"/>
          <w:sz w:val="28"/>
          <w:szCs w:val="28"/>
        </w:rPr>
      </w:pPr>
      <w:r>
        <w:rPr>
          <w:rFonts w:ascii="宋体" w:hAnsi="宋体" w:cs="宋体" w:hint="eastAsia"/>
          <w:b/>
          <w:sz w:val="28"/>
          <w:szCs w:val="28"/>
        </w:rPr>
        <w:t>3、组织公共服务。</w:t>
      </w:r>
      <w:r>
        <w:rPr>
          <w:rFonts w:ascii="宋体" w:hAnsi="宋体" w:cs="宋体" w:hint="eastAsia"/>
          <w:sz w:val="28"/>
          <w:szCs w:val="28"/>
        </w:rPr>
        <w:t>组织实施与居民生活密切相关的各项公共服务，落实人力社保、民政、教育、文化、体育、卫生健康等方面相关政策。</w:t>
      </w:r>
    </w:p>
    <w:p w:rsidR="00E728FE" w:rsidRDefault="00B0793E">
      <w:pPr>
        <w:adjustRightInd w:val="0"/>
        <w:spacing w:line="640" w:lineRule="exact"/>
        <w:ind w:firstLineChars="200" w:firstLine="562"/>
        <w:rPr>
          <w:rFonts w:ascii="宋体" w:hAnsi="宋体" w:cs="宋体"/>
          <w:sz w:val="28"/>
          <w:szCs w:val="28"/>
        </w:rPr>
      </w:pPr>
      <w:r>
        <w:rPr>
          <w:rFonts w:ascii="宋体" w:hAnsi="宋体" w:cs="宋体" w:hint="eastAsia"/>
          <w:b/>
          <w:sz w:val="28"/>
          <w:szCs w:val="28"/>
        </w:rPr>
        <w:t>4、实施综合管理。</w:t>
      </w:r>
      <w:r>
        <w:rPr>
          <w:rFonts w:ascii="宋体" w:hAnsi="宋体" w:cs="宋体" w:hint="eastAsia"/>
          <w:sz w:val="28"/>
          <w:szCs w:val="28"/>
        </w:rPr>
        <w:t>落实辖区内城市管理、人口管理、社会管理等工作，承担组织领导、推动实施、综合协调等职责；落实辖区内相关行政事务常态化管理；统筹协调区域内相关力量，协助做好监督检查等事中事后监管工作；组织开展群众监督和社会监督。</w:t>
      </w:r>
    </w:p>
    <w:p w:rsidR="00E728FE" w:rsidRDefault="00B0793E">
      <w:pPr>
        <w:adjustRightInd w:val="0"/>
        <w:spacing w:line="640" w:lineRule="exact"/>
        <w:ind w:firstLineChars="200" w:firstLine="562"/>
        <w:rPr>
          <w:rFonts w:ascii="宋体" w:hAnsi="宋体" w:cs="宋体"/>
          <w:sz w:val="28"/>
          <w:szCs w:val="28"/>
        </w:rPr>
      </w:pPr>
      <w:r>
        <w:rPr>
          <w:rFonts w:ascii="宋体" w:hAnsi="宋体" w:cs="宋体" w:hint="eastAsia"/>
          <w:b/>
          <w:sz w:val="28"/>
          <w:szCs w:val="28"/>
        </w:rPr>
        <w:t>5、领导基层自治。</w:t>
      </w:r>
      <w:r>
        <w:rPr>
          <w:rFonts w:ascii="宋体" w:hAnsi="宋体" w:cs="宋体" w:hint="eastAsia"/>
          <w:sz w:val="28"/>
          <w:szCs w:val="28"/>
        </w:rPr>
        <w:t>领导社区建设和管理，健全完善自治、法治、德治相结合的城市基层治理体系。</w:t>
      </w:r>
    </w:p>
    <w:p w:rsidR="00E728FE" w:rsidRDefault="00B0793E">
      <w:pPr>
        <w:adjustRightInd w:val="0"/>
        <w:spacing w:line="640" w:lineRule="exact"/>
        <w:ind w:firstLineChars="200" w:firstLine="562"/>
        <w:rPr>
          <w:rFonts w:ascii="宋体" w:hAnsi="宋体" w:cs="宋体"/>
          <w:sz w:val="28"/>
          <w:szCs w:val="28"/>
        </w:rPr>
      </w:pPr>
      <w:r>
        <w:rPr>
          <w:rFonts w:ascii="宋体" w:hAnsi="宋体" w:cs="宋体" w:hint="eastAsia"/>
          <w:b/>
          <w:sz w:val="28"/>
          <w:szCs w:val="28"/>
        </w:rPr>
        <w:t>6、维护安全稳定。</w:t>
      </w:r>
      <w:r>
        <w:rPr>
          <w:rFonts w:ascii="宋体" w:hAnsi="宋体" w:cs="宋体" w:hint="eastAsia"/>
          <w:sz w:val="28"/>
          <w:szCs w:val="28"/>
        </w:rPr>
        <w:t>承担辖区平安建设、社会治安综合治理、公共安全及安全生产监管等相关工作，处理群众来信来访，反映社情民意，化解矛盾纠纷。</w:t>
      </w:r>
    </w:p>
    <w:p w:rsidR="00E728FE" w:rsidRDefault="00B0793E">
      <w:pPr>
        <w:snapToGrid w:val="0"/>
        <w:spacing w:line="640" w:lineRule="exact"/>
        <w:rPr>
          <w:rFonts w:ascii="宋体" w:hAnsi="宋体" w:cs="宋体"/>
          <w:sz w:val="28"/>
          <w:szCs w:val="28"/>
        </w:rPr>
      </w:pPr>
      <w:r>
        <w:rPr>
          <w:rFonts w:ascii="宋体" w:hAnsi="宋体" w:cs="宋体" w:hint="eastAsia"/>
          <w:b/>
          <w:sz w:val="28"/>
          <w:szCs w:val="28"/>
        </w:rPr>
        <w:lastRenderedPageBreak/>
        <w:t>7、动员社会参与。</w:t>
      </w:r>
      <w:r>
        <w:rPr>
          <w:rFonts w:ascii="宋体" w:hAnsi="宋体" w:cs="宋体" w:hint="eastAsia"/>
          <w:sz w:val="28"/>
          <w:szCs w:val="28"/>
        </w:rPr>
        <w:t>动员辖区内各类单位、社会组织和社区居民等社会力量参与社区治理，引导辖区单位履行社会责任，整合区域内各种社会力量为街道社区发展服务。</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（二）机构设置</w:t>
      </w:r>
    </w:p>
    <w:p w:rsidR="00E728FE" w:rsidRDefault="00B0793E">
      <w:pPr>
        <w:spacing w:line="600" w:lineRule="atLeast"/>
        <w:ind w:firstLine="640"/>
        <w:rPr>
          <w:rFonts w:ascii="仿宋_GB2312" w:eastAsia="仿宋_GB2312" w:hAnsi="ˎ̥" w:cs="宋体"/>
          <w:sz w:val="32"/>
          <w:szCs w:val="32"/>
          <w:highlight w:val="yellow"/>
        </w:rPr>
      </w:pPr>
      <w:r>
        <w:rPr>
          <w:rFonts w:ascii="仿宋" w:eastAsia="仿宋" w:hAnsi="仿宋" w:cs="仿宋"/>
          <w:kern w:val="0"/>
          <w:sz w:val="32"/>
          <w:szCs w:val="32"/>
        </w:rPr>
        <w:t>从预算单位构成看，台州市温岭市人民政府</w:t>
      </w:r>
      <w:r>
        <w:rPr>
          <w:rFonts w:ascii="仿宋" w:eastAsia="仿宋" w:hAnsi="仿宋" w:cs="仿宋" w:hint="eastAsia"/>
          <w:kern w:val="0"/>
          <w:sz w:val="32"/>
          <w:szCs w:val="32"/>
        </w:rPr>
        <w:t>城北</w:t>
      </w:r>
      <w:r>
        <w:rPr>
          <w:rFonts w:ascii="仿宋" w:eastAsia="仿宋" w:hAnsi="仿宋" w:cs="仿宋"/>
          <w:kern w:val="0"/>
          <w:sz w:val="32"/>
          <w:szCs w:val="32"/>
        </w:rPr>
        <w:t>街道办事处部门决算包括：街道本级决算、经济建设服务中心、农业综合服务中心、社会事业服务中心。</w:t>
      </w:r>
    </w:p>
    <w:p w:rsidR="00E728FE" w:rsidRDefault="00B0793E">
      <w:pPr>
        <w:spacing w:line="600" w:lineRule="atLeast"/>
        <w:ind w:firstLine="640"/>
        <w:rPr>
          <w:rFonts w:ascii="仿宋" w:eastAsia="仿宋" w:hAnsi="仿宋" w:cs="仿宋"/>
          <w:kern w:val="0"/>
          <w:sz w:val="32"/>
          <w:szCs w:val="32"/>
        </w:rPr>
      </w:pPr>
      <w:r>
        <w:rPr>
          <w:rFonts w:ascii="仿宋" w:eastAsia="仿宋" w:hAnsi="仿宋" w:cs="仿宋" w:hint="eastAsia"/>
          <w:sz w:val="32"/>
          <w:szCs w:val="32"/>
        </w:rPr>
        <w:t>纳入台州市温岭市人民政府城北街道办事处2020年度部门决算编制范围的二级预算单位包括：</w:t>
      </w:r>
      <w:r>
        <w:rPr>
          <w:rFonts w:ascii="仿宋" w:eastAsia="仿宋" w:hAnsi="仿宋" w:cs="仿宋"/>
          <w:kern w:val="0"/>
          <w:sz w:val="32"/>
          <w:szCs w:val="32"/>
        </w:rPr>
        <w:t>二级预算单位并入</w:t>
      </w:r>
      <w:r>
        <w:rPr>
          <w:rFonts w:ascii="仿宋" w:eastAsia="仿宋" w:hAnsi="仿宋" w:cs="仿宋" w:hint="eastAsia"/>
          <w:kern w:val="0"/>
          <w:sz w:val="32"/>
          <w:szCs w:val="32"/>
        </w:rPr>
        <w:t>街道</w:t>
      </w:r>
      <w:r>
        <w:rPr>
          <w:rFonts w:ascii="仿宋" w:eastAsia="仿宋" w:hAnsi="仿宋" w:cs="仿宋"/>
          <w:kern w:val="0"/>
          <w:sz w:val="32"/>
          <w:szCs w:val="32"/>
        </w:rPr>
        <w:t>本级，由</w:t>
      </w:r>
      <w:r>
        <w:rPr>
          <w:rFonts w:ascii="仿宋" w:eastAsia="仿宋" w:hAnsi="仿宋" w:cs="仿宋" w:hint="eastAsia"/>
          <w:kern w:val="0"/>
          <w:sz w:val="32"/>
          <w:szCs w:val="32"/>
        </w:rPr>
        <w:t>街道</w:t>
      </w:r>
      <w:r>
        <w:rPr>
          <w:rFonts w:ascii="仿宋" w:eastAsia="仿宋" w:hAnsi="仿宋" w:cs="仿宋"/>
          <w:kern w:val="0"/>
          <w:sz w:val="32"/>
          <w:szCs w:val="32"/>
        </w:rPr>
        <w:t>本级统一核算并编制决算报表。</w:t>
      </w:r>
    </w:p>
    <w:p w:rsidR="00E728FE" w:rsidRDefault="00B0793E">
      <w:pPr>
        <w:spacing w:line="600" w:lineRule="atLeast"/>
        <w:ind w:firstLine="640"/>
        <w:rPr>
          <w:rFonts w:ascii="仿宋" w:eastAsia="仿宋" w:hAnsi="仿宋" w:cs="Arial"/>
          <w:sz w:val="32"/>
          <w:szCs w:val="32"/>
          <w:highlight w:val="yellow"/>
        </w:rPr>
      </w:pPr>
      <w:r>
        <w:rPr>
          <w:rFonts w:ascii="仿宋" w:eastAsia="仿宋" w:hAnsi="仿宋" w:cs="仿宋" w:hint="eastAsia"/>
          <w:sz w:val="32"/>
          <w:szCs w:val="32"/>
        </w:rPr>
        <w:t>从预算单位构成看，本单位内设：党政综合办公室（挂人大办公室、财政财务管理办公室牌子）、党建工作办公室、社会事务服务管理办公室（挂行政审批办公室牌子）、基层综合治理办公室（挂综合信息指挥室、应急管理办公室牌子）、经济发展办公室、城市管理办公室（挂综合行政执法办公室、生态环境办公室牌子）、</w:t>
      </w:r>
      <w:r>
        <w:rPr>
          <w:rFonts w:ascii="仿宋" w:eastAsia="仿宋" w:hAnsi="仿宋" w:cs="仿宋"/>
          <w:kern w:val="0"/>
          <w:sz w:val="32"/>
          <w:szCs w:val="32"/>
        </w:rPr>
        <w:t>经济建设服务中心（挂企业服务站、劳动保障所、统计中心牌子）、农业综合服务中心、社会事业服务中心（挂便民服务中心、退役军人服务站、民</w:t>
      </w:r>
      <w:r>
        <w:rPr>
          <w:rFonts w:ascii="仿宋" w:eastAsia="仿宋" w:hAnsi="仿宋" w:cs="仿宋" w:hint="eastAsia"/>
          <w:kern w:val="0"/>
          <w:sz w:val="32"/>
          <w:szCs w:val="32"/>
        </w:rPr>
        <w:t>族</w:t>
      </w:r>
      <w:r>
        <w:rPr>
          <w:rFonts w:ascii="仿宋" w:eastAsia="仿宋" w:hAnsi="仿宋" w:cs="仿宋"/>
          <w:kern w:val="0"/>
          <w:sz w:val="32"/>
          <w:szCs w:val="32"/>
        </w:rPr>
        <w:t>宗教事务所、综合文化站、社会救助事务所牌子）。</w:t>
      </w:r>
    </w:p>
    <w:p w:rsidR="00E728FE" w:rsidRDefault="00B0793E">
      <w:pPr>
        <w:widowControl/>
        <w:snapToGrid w:val="0"/>
        <w:spacing w:line="600" w:lineRule="atLeast"/>
        <w:ind w:firstLine="640"/>
        <w:rPr>
          <w:rStyle w:val="15"/>
          <w:rFonts w:ascii="黑体" w:eastAsia="黑体" w:hAnsi="宋体" w:cs="Arial"/>
          <w:kern w:val="0"/>
          <w:sz w:val="32"/>
          <w:szCs w:val="32"/>
        </w:rPr>
      </w:pPr>
      <w:r>
        <w:rPr>
          <w:rStyle w:val="15"/>
          <w:rFonts w:ascii="黑体" w:eastAsia="黑体" w:hAnsi="宋体" w:cs="Arial" w:hint="eastAsia"/>
          <w:kern w:val="0"/>
          <w:sz w:val="32"/>
          <w:szCs w:val="32"/>
        </w:rPr>
        <w:t>二、2020年度部门决算公开表</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详见附表。</w:t>
      </w:r>
    </w:p>
    <w:p w:rsidR="00E728FE" w:rsidRDefault="00B0793E">
      <w:pPr>
        <w:widowControl/>
        <w:snapToGrid w:val="0"/>
        <w:spacing w:line="600" w:lineRule="atLeast"/>
        <w:ind w:firstLine="640"/>
        <w:rPr>
          <w:rStyle w:val="15"/>
          <w:rFonts w:ascii="黑体" w:eastAsia="黑体" w:hAnsi="宋体" w:cs="Arial"/>
          <w:kern w:val="0"/>
          <w:sz w:val="32"/>
          <w:szCs w:val="32"/>
        </w:rPr>
      </w:pPr>
      <w:r>
        <w:rPr>
          <w:rStyle w:val="15"/>
          <w:rFonts w:ascii="黑体" w:eastAsia="黑体" w:hAnsi="宋体" w:cs="黑体" w:hint="eastAsia"/>
          <w:kern w:val="0"/>
          <w:sz w:val="32"/>
          <w:szCs w:val="32"/>
        </w:rPr>
        <w:t>三、</w:t>
      </w:r>
      <w:r>
        <w:rPr>
          <w:rStyle w:val="15"/>
          <w:rFonts w:ascii="黑体" w:eastAsia="黑体" w:hAnsi="宋体" w:cs="Arial" w:hint="eastAsia"/>
          <w:kern w:val="0"/>
          <w:sz w:val="32"/>
          <w:szCs w:val="32"/>
        </w:rPr>
        <w:t>2020年度部门决算情况说明</w:t>
      </w:r>
    </w:p>
    <w:p w:rsidR="00E728FE" w:rsidRDefault="00B0793E" w:rsidP="009830DC">
      <w:pPr>
        <w:pStyle w:val="NormalIndent1"/>
        <w:ind w:firstLine="643"/>
      </w:pPr>
      <w:r>
        <w:rPr>
          <w:rStyle w:val="24"/>
          <w:rFonts w:ascii="楷体" w:eastAsia="楷体" w:hAnsi="楷体" w:cs="楷体" w:hint="eastAsia"/>
          <w:sz w:val="32"/>
          <w:szCs w:val="32"/>
        </w:rPr>
        <w:lastRenderedPageBreak/>
        <w:t>（一）收入支出决算总体情况说明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2020年度收入总计11,874.86万元，支出总计11,874.86万元,与2019年度相比，减少6,341.21万元,下降34.81%。主要原因是：疫情造成上半年企业停工停产、产值下降，直接影响税收下降。</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（二）收入决算情况说明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本年收入合计</w:t>
      </w:r>
      <w:r>
        <w:rPr>
          <w:rFonts w:ascii="仿宋" w:eastAsia="仿宋" w:hAnsi="仿宋" w:cs="Arial" w:hint="eastAsia"/>
          <w:kern w:val="0"/>
          <w:sz w:val="32"/>
          <w:szCs w:val="32"/>
        </w:rPr>
        <w:t>11,874.86万元；包括财政拨款收入10,434.95万元（其中，一般公共预算6,806.09万元，政府性基金预算3,628.86万元,国有资本经营预算0万元），占收入合计87.87%；上级补助收入0万元，占收入合计0%；事业收入0万元，占收入合计0%；经营收入0万元，占收入合计0%；附属单位上缴收入0万元，占收入合计0%；其他收入1,439.91万元，占收入合计12.13%。</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（三）支出决算情况说明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本年支出合计</w:t>
      </w:r>
      <w:r>
        <w:rPr>
          <w:rFonts w:ascii="仿宋" w:eastAsia="仿宋" w:hAnsi="仿宋" w:cs="Arial" w:hint="eastAsia"/>
          <w:kern w:val="0"/>
          <w:sz w:val="32"/>
          <w:szCs w:val="32"/>
        </w:rPr>
        <w:t>11,874.86万元，其中基本支出1,979.78万元，占16.67%；项目支出9,895.07万元，占83.33%；上缴上级支出0万元，占0%；经营支出0万元，占0%；对附属单位补助支出0万元，占0%。</w:t>
      </w:r>
    </w:p>
    <w:p w:rsidR="00E728FE" w:rsidRDefault="00B0793E">
      <w:pPr>
        <w:widowControl/>
        <w:numPr>
          <w:ilvl w:val="0"/>
          <w:numId w:val="2"/>
        </w:numPr>
        <w:snapToGrid w:val="0"/>
        <w:spacing w:line="600" w:lineRule="atLeast"/>
        <w:ind w:firstLine="640"/>
        <w:rPr>
          <w:rStyle w:val="15"/>
          <w:rFonts w:ascii="楷体" w:eastAsia="楷体" w:hAnsi="楷体" w:cs="楷体"/>
          <w:kern w:val="0"/>
          <w:sz w:val="32"/>
          <w:szCs w:val="32"/>
        </w:rPr>
      </w:pPr>
      <w:r>
        <w:rPr>
          <w:rStyle w:val="15"/>
          <w:rFonts w:ascii="楷体" w:eastAsia="楷体" w:hAnsi="楷体" w:cs="楷体" w:hint="eastAsia"/>
          <w:kern w:val="0"/>
          <w:sz w:val="32"/>
          <w:szCs w:val="32"/>
        </w:rPr>
        <w:t>财政拨款收入支出决算总体情况说明</w:t>
      </w:r>
    </w:p>
    <w:p w:rsidR="00E728FE" w:rsidRDefault="00B0793E">
      <w:pPr>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2020年度财政拨款收入总计10,434.95万元，支出总计10,434.95万元，与2019年相比，减少7,781.12万元，减少42.72%。主要原因是2019年无配套费返还等基金预算补助、小城镇环整综合整治等专项资金的拨入；财政拨款支出</w:t>
      </w:r>
      <w:r>
        <w:rPr>
          <w:rFonts w:ascii="仿宋" w:eastAsia="仿宋" w:hAnsi="仿宋" w:cs="仿宋" w:hint="eastAsia"/>
          <w:kern w:val="0"/>
          <w:sz w:val="32"/>
          <w:szCs w:val="32"/>
        </w:rPr>
        <w:lastRenderedPageBreak/>
        <w:t>年初预算数10434.95万元，完成年初预算的100%。财政拨款支出年初预算数11874.86万元，完成年初预算的113.8%，主要原因是</w:t>
      </w:r>
      <w:r>
        <w:rPr>
          <w:rFonts w:ascii="仿宋" w:eastAsia="仿宋" w:hAnsi="仿宋" w:cs="仿宋" w:hint="eastAsia"/>
          <w:sz w:val="32"/>
          <w:szCs w:val="32"/>
        </w:rPr>
        <w:t>年度财政追加考核奖、年休假、公积金等各项经费追加结算资金，追加车辆购置经费，追加离退休人员病故后一次性抚恤及遗属补助，追加民政、残联及退役军人补助，追加镇（街道）三改一拆补助，追加村邮员基本服务运行经费及村级便民服务中心运行经费等。</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（五）一般公共预算财政拨款支出决算情况说明</w:t>
      </w:r>
    </w:p>
    <w:p w:rsidR="00E728FE" w:rsidRDefault="00B0793E">
      <w:pPr>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2020年度一般公共预算财政拨款支出6,806.09万元，占本年支出合计的57.32%。与2019年相比，一般公共预算财政拨款支出增加3,861.70万元，增长131.15%。主要原因是：小城镇环整综合整治等专项资金的拨入。其中包括美</w:t>
      </w:r>
      <w:r>
        <w:rPr>
          <w:rFonts w:ascii="仿宋" w:eastAsia="仿宋" w:hAnsi="仿宋" w:cs="仿宋" w:hint="eastAsia"/>
          <w:sz w:val="32"/>
          <w:szCs w:val="32"/>
        </w:rPr>
        <w:t>丽庭院创建工作经费、公厕管理、社会事业发展基金、街道办公用房装修及办公设备添置经费等。</w:t>
      </w:r>
    </w:p>
    <w:p w:rsidR="00E728FE" w:rsidRDefault="00B0793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2.一般公共预算财政拨款支出决算结构情况。</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一般公共预算财政拨款支出6,806.09万元，主要用于以下方面：一般公共服务（类）支出2,599.19万元，占38.19%；国防（类）支出0万元,占0%；公共安全（类）支出104.70万元,占1.54%；教育（类）支出112.35万元,占1.65%；科学技术（类）支出0万元,占0%；文化旅游体育与传媒（类）支出221.67万元,占3.26%；社会保障和就业（类）支出801.71万元,占11.78%；卫生健康（类）支出</w:t>
      </w:r>
      <w:r>
        <w:rPr>
          <w:rFonts w:ascii="仿宋" w:eastAsia="仿宋" w:hAnsi="仿宋" w:cs="仿宋" w:hint="eastAsia"/>
          <w:kern w:val="0"/>
          <w:sz w:val="32"/>
          <w:szCs w:val="32"/>
        </w:rPr>
        <w:lastRenderedPageBreak/>
        <w:t>271.75万元,占3.99%；节能环保（类）支出5.00万元,占0.07%；城乡社区（类）支出2,072.35万元,占30.45%；农林水（类）支出139.23万元,占2.05%；交通运输（类）支出0万元,占0%；资源勘探工业信息等（类）支出27.00万元,占0.40%；商业服务业等（类）支出0万元,占0%；金融（类）支出0万元,占0%；援助其他地区（类）支出0万元,占0%；自然资源海洋气象等（类）支出0万元,占0%；住房保障（类）支出0万元,占0%；粮油物资储备（类）支出0万元,占0%；灾害防治及应急管理（类）支出451.14万元,占6.63%；其他（类）支出0万元,占0%；债务还本（类）支出0万元,占0%；债务付息（类）支出0万元,占0%。</w:t>
      </w:r>
    </w:p>
    <w:p w:rsidR="00E728FE" w:rsidRDefault="00B0793E">
      <w:pPr>
        <w:widowControl/>
        <w:numPr>
          <w:ilvl w:val="0"/>
          <w:numId w:val="3"/>
        </w:numPr>
        <w:spacing w:line="600" w:lineRule="atLeast"/>
        <w:ind w:firstLine="640"/>
        <w:rPr>
          <w:rStyle w:val="15"/>
          <w:rFonts w:ascii="仿宋" w:eastAsia="仿宋" w:hAnsi="仿宋" w:cs="仿宋"/>
          <w:kern w:val="0"/>
          <w:sz w:val="32"/>
          <w:szCs w:val="32"/>
        </w:rPr>
      </w:pPr>
      <w:r>
        <w:rPr>
          <w:rStyle w:val="15"/>
          <w:rFonts w:ascii="仿宋" w:eastAsia="仿宋" w:hAnsi="仿宋" w:cs="仿宋" w:hint="eastAsia"/>
          <w:kern w:val="0"/>
          <w:sz w:val="32"/>
          <w:szCs w:val="32"/>
        </w:rPr>
        <w:t>一般公共预算财政拨款支出决算具体情况。</w:t>
      </w:r>
    </w:p>
    <w:p w:rsidR="00E728FE" w:rsidRDefault="00B0793E">
      <w:pPr>
        <w:widowControl/>
        <w:spacing w:line="600" w:lineRule="atLeast"/>
        <w:ind w:firstLineChars="200" w:firstLine="640"/>
        <w:rPr>
          <w:rFonts w:ascii="宋体" w:eastAsia="宋体" w:hAnsi="宋体" w:cs="宋体"/>
          <w:kern w:val="0"/>
          <w:sz w:val="24"/>
        </w:rPr>
      </w:pPr>
      <w:r>
        <w:rPr>
          <w:rFonts w:ascii="仿宋" w:eastAsia="仿宋" w:hAnsi="仿宋" w:cs="仿宋" w:hint="eastAsia"/>
          <w:kern w:val="0"/>
          <w:sz w:val="32"/>
          <w:szCs w:val="32"/>
        </w:rPr>
        <w:t>2020年度一般公共预算财政拨款支出年初预算为6,806.09万元，支出决算为6,806.09万元,完成年初预算的100%，主要原因是决算数等于预算数，是因为严格按照预算编制来执行支出。其中：</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一般公共服务支出（类）人大事务（款）行政运行（项）。年初预算为9.57万元，支出决算9.57 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一般公共服务支出（类）政府办公厅（室）及机关相关事务（款）行政运行（项）。年初预算为1876.33 万元，支</w:t>
      </w:r>
      <w:r>
        <w:rPr>
          <w:rFonts w:ascii="仿宋" w:eastAsia="仿宋" w:hAnsi="仿宋" w:cs="仿宋" w:hint="eastAsia"/>
          <w:kern w:val="0"/>
          <w:sz w:val="32"/>
          <w:szCs w:val="32"/>
        </w:rPr>
        <w:lastRenderedPageBreak/>
        <w:t>出决算为 1876.33万元，完成年初预算的100%，决算数等于预算数，是因为严格按照预算编制来执行支出。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一般公共服务支出（类）统计信息事务（款）事业运行（项）。年初预算为39.27万元，支出决算为39.27万元，完成年初预算的100%，决算数等于预算数，是因为严格按照预算编制来执行支出。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一般公共服务支出（类）纪检监察事务（款）行政运行（项）。年初预算为2万元，支出决算为2万元，完成年初预算的100%，决算数等于预算数，是因为严格按照预算编制来执行支出。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一般公共服务支出（类）群众团体事务（款）行政运行（项）。 年初预算为11万元，支出决算为11万元，完成年初预算的100%，决算数等于预算数，是因为严格按照预算编制来执行支出。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一般公共服务支出（类）党委办公室（厅）及相关事务支出（款）行政运行（项）。年初预算为45.87万元，支出决算为45.87万元，完成年初预算的100%，决算数等于预算数，是因为严格按照预算编制来执行支出。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一般公共服务支出（类）其他一般公共服务支出（款）。年初预算为615.15万元，支出决算为615.15万元，完成年初预算的100%，决算数等于预算数，是因为严格按照预算编制来执行支出。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公共安全支出（类）其他公安支出（款）。年初预算为104.7万元，支出决算为104.7万元，完成年初预算的100%，决算数等于预算数，是因为严格按照预算编制来执行支出。</w:t>
      </w:r>
    </w:p>
    <w:p w:rsidR="00E728FE" w:rsidRDefault="00B0793E">
      <w:pPr>
        <w:pStyle w:val="a3"/>
      </w:pPr>
      <w:r>
        <w:rPr>
          <w:rFonts w:ascii="仿宋" w:eastAsia="仿宋" w:hAnsi="仿宋" w:cs="仿宋" w:hint="eastAsia"/>
          <w:kern w:val="0"/>
          <w:sz w:val="32"/>
          <w:szCs w:val="32"/>
        </w:rPr>
        <w:t>教育类支出（类）其他教育支出（款）。年初预算为112.35万元，支出决算为112.35万元，完成年初预算的100%，决算数等于预算数，是因为严格按照预算编制来执行支出。</w:t>
      </w:r>
    </w:p>
    <w:p w:rsidR="00E728FE" w:rsidRDefault="00B0793E">
      <w:pPr>
        <w:widowControl/>
        <w:spacing w:line="600" w:lineRule="atLeast"/>
        <w:ind w:firstLineChars="200" w:firstLine="640"/>
        <w:rPr>
          <w:rFonts w:ascii="仿宋" w:eastAsia="仿宋" w:hAnsi="仿宋" w:cs="仿宋"/>
          <w:kern w:val="0"/>
          <w:sz w:val="32"/>
          <w:szCs w:val="32"/>
        </w:rPr>
      </w:pPr>
      <w:r>
        <w:rPr>
          <w:rFonts w:ascii="仿宋" w:eastAsia="仿宋" w:hAnsi="仿宋" w:cs="仿宋" w:hint="eastAsia"/>
          <w:kern w:val="0"/>
          <w:sz w:val="32"/>
          <w:szCs w:val="32"/>
        </w:rPr>
        <w:t>文化体育与传媒支出（类）文化和旅游（款）其他文化和旅游支出（项）。年初预算为221.67万元，支出决算为221.67万元，完成年初预算的100%，决算数等于预算数，是因为严格按照预算编制来执行支出。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社会保障和就业支出（类）人力资源和社会保障管理事务（款）劳动保障监察（项）。年初预算为3万元，支出决算为3万元，完成年初预算的100%，决算数等于预算数，是因为严格按照预算编制来执行支出。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社会保障和就业支出（类）民政管理事务（款）其他民政管理事务支出（项）。年初预算为41.84万元，支出决算为41.84万元。完成年初预算的100%，决算数等于预算数，是因为严格按照预算编制来执行支出。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行政事业单位养老支出（款）行政事业单位养老及年金支出（项）。年初预算为133.74万元，支出决算为133.74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社会保障和就业支出（类）抚恤（款）死亡抚恤（项）。年初预算为0.51万元，支出决算为0.51万元。完成年初预算的100%，决算数等于预算数，是因为严格按照预算编制来执行支出。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社会保障和就业支出（类）抚恤（款）伤残抚恤（项）。年初预算为41.93万元，支出决算为41.93万元。完成年初预算的100%，决算数等于预算数，是因为严格按照预算编制来执行支出。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社会保障和就业支出（类）抚恤（款）在乡复员、退伍军人生活补助（项）。年初预算为19.70万元，支出决算为19.70万元。完成年初预算的100%，决算数等于预算数，是因为严格按照预算编制来执行支出。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社会保障和就业支出（类）抚恤（款）义务兵优待（项）。年初预算为67.13万元，支出决算为67.13万元，完成年初预算的100%，决算数等于预算数，是因为严格按照预算编制来执行支出。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社会保障和就业支出（类）抚恤（款）农村籍退役士兵老年生活补助（项）。年初预算为42.78万元，支出决算为42.78万元。完成年初预算的100%，决算数等于预算数，是因为严格按照预算编制来执行支出。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社会保障和就业支出（类）抚恤（款）其他优抚支出（项）。年初预算为21.02万元，支出决算为21.02万元。完成年初</w:t>
      </w:r>
      <w:r>
        <w:rPr>
          <w:rFonts w:ascii="仿宋" w:eastAsia="仿宋" w:hAnsi="仿宋" w:cs="仿宋" w:hint="eastAsia"/>
          <w:kern w:val="0"/>
          <w:sz w:val="32"/>
          <w:szCs w:val="32"/>
        </w:rPr>
        <w:lastRenderedPageBreak/>
        <w:t>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社会保障和就业支出（类）退役安置（款）退役士兵安置（项）。年初预算为42.22万元，支出决算为42.22万元。完成年初预算的100%，决算数等于预算数，是因为严格按照预算编制来执行支出。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社会保障和就业支出（类）社会福利（款）儿童福利（项）。年初预算为5.5万元，支出决算为5.5万元。完成年初预算的100%，决算数等于预算数，是因为严格按照预算编制来执行支出。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社会保障和就业支出（类）社会福利（款）老年福利（项）。年初预算为30万元，支出决算为30万元。完成年初预算的100%，决算数等于预算数，是因为严格按照预算编制来执行支出。</w:t>
      </w:r>
    </w:p>
    <w:p w:rsidR="00E728FE" w:rsidRDefault="00B0793E">
      <w:pPr>
        <w:widowControl/>
        <w:spacing w:line="600" w:lineRule="atLeast"/>
        <w:ind w:firstLine="640"/>
      </w:pPr>
      <w:r>
        <w:rPr>
          <w:rFonts w:ascii="仿宋" w:eastAsia="仿宋" w:hAnsi="仿宋" w:cs="仿宋" w:hint="eastAsia"/>
          <w:kern w:val="0"/>
          <w:sz w:val="32"/>
          <w:szCs w:val="32"/>
        </w:rPr>
        <w:t>社会保障和就业支出（类）社会福利（款）养老服务（项）。年初预算为66.41万元，支出决算为66.41万元。完成年初预算的100%，决算数等于预算数，是因为严格按照预算编制来执行支出。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社会保障和就业支出（类）社会福利（款）社会福利事业单位（项）。年初预算为25万元，支出决算为 25万元，完成年初预算的100%，决算数等于预算数，是因为严格按照预算编制来执行支出。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社会保障和就业支出（类）残疾人事业（款）残疾人康复（项）。年初预算为3.45万元，支出决算为3.45万元。完成年初预算的100%，决算数等于预算数，是因为严格按照预算编制来执行支出。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社会保障和就业支出（类）残疾人事业（款）残疾人就业和扶贫（项）。年初预算为5.09万元，支出决算为5.09万元。完成年初预算的100%，决算数等于预算数，是因为严格按照预算编制来执行支出。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社会保障和就业支出（类）残疾人事业（款）残疾人生活和护理补贴（项）。年初预算为78.47万元，支出决算为78.47万元。完成年初预算的100%，决算数等于预算数，是因为严格按照预算编制来执行支出。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社会保障和就业支出（类）残疾人事业（款）其他残疾人事业支出（项）。年初预算为 7.92万元，支出决算为7.92万元。完成年初预算的100%，决算数等于预算数，是因为严格按照预算编制来执行支出。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社会保障和就业支出（类）最低生活保障（款），城市最低生活保障金支出（项）。年初预算为104.88万元，支出决算为104.88万元。完成年初预算的100%，决算数等于预算数，是因为严格按照预算编制来执行支出。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社会保障和就业支出（类）临时救助（款）临时救助支出（项）。年初预算为26.91万元，支出决算为26.91万元。</w:t>
      </w:r>
      <w:r>
        <w:rPr>
          <w:rFonts w:ascii="仿宋" w:eastAsia="仿宋" w:hAnsi="仿宋" w:cs="仿宋" w:hint="eastAsia"/>
          <w:kern w:val="0"/>
          <w:sz w:val="32"/>
          <w:szCs w:val="32"/>
        </w:rPr>
        <w:lastRenderedPageBreak/>
        <w:t>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社会保障和就业支出（类）特困人员救助供养（款）城市特困人员救助供养（项）。年初预算为0.75万元，支出决算为0.75万元。完成年初预算的100%，决算数等于预算数，是因为严格按照预算编制来执行支出。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社会保障和就业支出（类）其他生活救助（款）其他城市生活救助（项）。年初预算为4.56万元，支出决算为4.56万元。完成年初预算的100%，决算数等于预算数，是因为严格按照预算编制来执行支出。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社会保障和就业支出（类）其他生活救助（款）其他农村生活救助（项）。年初预算为9.49万元，支出决算为9.49万元。完成年初预算的100%，决算数等于预算数，是因为严格按照预算编制来执行支出。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社会保障和就业支出（类）退役军人管理事务（款）拥军优属（项）。年初预算为3.24万元，支出决算为3.24万元。完成年初预算的100%，决算数等于预算数，是因为严格按照预算编制来执行支出。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社会保障和就业支出（类）其他社会保障和就业支出（款）其他社会保障和就业支出（项）。年初预算为16.16万元，支出决算为16.16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lastRenderedPageBreak/>
        <w:t>卫生健康支出（类）计划生育事务（款）其他计划生育事务支出（项）。年初预算为29万元，支出决算为29万元。完成年初预算的100%，决算数等于预算数，是因为严格按照预算编制来执行支出。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卫生健康支出（类）优抚对象医疗（款）优抚对象医疗补助（项）。年初预算为3.38万元，支出决算为3.38万元。完成年初预算的100%，决算数等于预算数，是因为严格按照预算编制来执行支出。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卫生健康支出（类）其他卫生健康（款）其他卫生健康（项）。年初预算为239.37万元，支出决算为239.37万元。完成年初预算的100%，决算数等于预算数，是因为严格按照预算编制来执行支出。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节能环保支出（类）环境保护管理事务（款）其他环境保护管理事务支出（项）。年初预算为5万元，支出决算为5万元。完成年初预算的100%，决算数等于预算数，是因为严格按照预算编制来执行支出。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城乡社区支出（类）城乡社区管理事务（款）其他社区管理事务支出（项）。年初预算为237.2万元，支出决算为237.2万元。完成年初预算的100%，决算数等于预算数，是因为严格按照预算编制来执行支出。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城乡社区支出（类）城乡社区公共设施（款）其他社区社区公共设施支出（项）。年初预算为835.3万元，支出决</w:t>
      </w:r>
      <w:r>
        <w:rPr>
          <w:rFonts w:ascii="仿宋" w:eastAsia="仿宋" w:hAnsi="仿宋" w:cs="仿宋" w:hint="eastAsia"/>
          <w:kern w:val="0"/>
          <w:sz w:val="32"/>
          <w:szCs w:val="32"/>
        </w:rPr>
        <w:lastRenderedPageBreak/>
        <w:t>算为835.3万元。完成年初预算的100%，决算数等于预算数，是因为严格按照预算编制来执行支出。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城乡社区支出（类）城乡社区环境卫生（款）其他城乡社区环境卫生支出（项）。年初预算为999.84万元，支出决算为999.84万元。完成年初预算的100%，决算数等于预算数，是因为严格按照预算编制来执行支出。</w:t>
      </w:r>
    </w:p>
    <w:p w:rsidR="00E728FE" w:rsidRDefault="00B0793E">
      <w:pPr>
        <w:widowControl/>
        <w:spacing w:line="600" w:lineRule="atLeast"/>
        <w:ind w:firstLineChars="200" w:firstLine="640"/>
        <w:rPr>
          <w:rFonts w:ascii="仿宋" w:eastAsia="仿宋" w:hAnsi="仿宋" w:cs="仿宋"/>
          <w:kern w:val="0"/>
          <w:sz w:val="32"/>
          <w:szCs w:val="32"/>
        </w:rPr>
      </w:pPr>
      <w:r>
        <w:rPr>
          <w:rFonts w:ascii="仿宋" w:eastAsia="仿宋" w:hAnsi="仿宋" w:cs="仿宋" w:hint="eastAsia"/>
          <w:kern w:val="0"/>
          <w:sz w:val="32"/>
          <w:szCs w:val="32"/>
        </w:rPr>
        <w:t>农林水支出（类）农业农村（款）事业运行（项）。年初预算为24万元，支出决算为24万元，完成年初预算的100%，决算数等于预算数，是因为严格按照预算编制来执行支出。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农林水支出（类）林业和草原（款）事业机构（项）。年初预算为10万元，支出决算为10万元，完成年初预算的100%，决算数等于预算数，是因为严格按照预算编制来执行支出。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农林水支出（类）水利（款）其他水利支出（项）。年初预算为87.6万元，支出决算为 87.6万元，完成年初预算的100%，决算数等于预算数，是因为严格按照预算编制来执行支出。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农林水支出（类）农村综合改革（款）对村级一事一议的补助（项）。年初预算为17.62万元，支出决算为17.62万元，完成年初预算的100%，决算数等于预算数，是因为严格按照预算编制来执行支出。</w:t>
      </w:r>
    </w:p>
    <w:p w:rsidR="00E728FE" w:rsidRDefault="00B0793E">
      <w:pPr>
        <w:widowControl/>
        <w:spacing w:line="600" w:lineRule="atLeast"/>
        <w:ind w:firstLine="640"/>
        <w:rPr>
          <w:rFonts w:ascii="楷体" w:eastAsia="楷体" w:hAnsi="楷体" w:cs="Arial"/>
          <w:b/>
          <w:bCs/>
          <w:kern w:val="0"/>
          <w:sz w:val="32"/>
          <w:szCs w:val="32"/>
        </w:rPr>
      </w:pPr>
      <w:r>
        <w:rPr>
          <w:rFonts w:ascii="仿宋" w:eastAsia="仿宋" w:hAnsi="仿宋" w:cs="仿宋" w:hint="eastAsia"/>
          <w:kern w:val="0"/>
          <w:sz w:val="32"/>
          <w:szCs w:val="32"/>
        </w:rPr>
        <w:lastRenderedPageBreak/>
        <w:t>资源勘探信息等支出（类）支持中小企业发展和管理支出（款）其他支持中小企业发展和管理支出（项）。年初预算为27万元，支出决算为27万元，完成年初预算的100%，决算数等于预算数，是因为严格按照预算编制来执行支出</w:t>
      </w:r>
      <w:r>
        <w:rPr>
          <w:rFonts w:ascii="宋体" w:eastAsia="宋体" w:hAnsi="宋体" w:cs="宋体" w:hint="eastAsia"/>
          <w:kern w:val="0"/>
          <w:sz w:val="24"/>
        </w:rPr>
        <w:t>。</w:t>
      </w:r>
    </w:p>
    <w:p w:rsidR="00E728FE" w:rsidRDefault="00B0793E">
      <w:pPr>
        <w:widowControl/>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灾害防治及应急管理支出（类）应急管理事务（款）安全监管（项）。年初预算为451.14万元，支出决算为451.14万元，完成年初预算的100%，决算数等于预算数，是因为严格按照预算编制来执行支出</w:t>
      </w:r>
      <w:r>
        <w:rPr>
          <w:rFonts w:ascii="宋体" w:eastAsia="宋体" w:hAnsi="宋体" w:cs="宋体" w:hint="eastAsia"/>
          <w:kern w:val="0"/>
          <w:sz w:val="24"/>
        </w:rPr>
        <w:t>。</w:t>
      </w:r>
    </w:p>
    <w:p w:rsidR="00E728FE" w:rsidRDefault="00B0793E">
      <w:pPr>
        <w:widowControl/>
        <w:snapToGrid w:val="0"/>
        <w:spacing w:line="600" w:lineRule="atLeast"/>
        <w:ind w:firstLineChars="200" w:firstLine="643"/>
        <w:rPr>
          <w:rFonts w:ascii="宋体" w:eastAsia="宋体" w:hAnsi="宋体" w:cs="宋体"/>
          <w:kern w:val="0"/>
          <w:sz w:val="24"/>
        </w:rPr>
      </w:pPr>
      <w:r>
        <w:rPr>
          <w:rStyle w:val="15"/>
          <w:rFonts w:ascii="楷体" w:eastAsia="楷体" w:hAnsi="楷体" w:cs="楷体" w:hint="eastAsia"/>
          <w:kern w:val="0"/>
          <w:sz w:val="32"/>
          <w:szCs w:val="32"/>
        </w:rPr>
        <w:t>（六）一般公共预算财政拨款基本支出决算情况说明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2020年度一般公共预算财政拨款基本支出1,979.78万元，其中：</w:t>
      </w:r>
    </w:p>
    <w:p w:rsidR="00E728FE" w:rsidRDefault="00B0793E">
      <w:pPr>
        <w:spacing w:line="600" w:lineRule="atLeast"/>
        <w:ind w:firstLine="640"/>
      </w:pPr>
      <w:r>
        <w:rPr>
          <w:rFonts w:ascii="仿宋" w:eastAsia="仿宋" w:hAnsi="仿宋" w:cs="仿宋" w:hint="eastAsia"/>
          <w:kern w:val="0"/>
          <w:sz w:val="32"/>
          <w:szCs w:val="32"/>
        </w:rPr>
        <w:t>人员经费</w:t>
      </w:r>
      <w:r>
        <w:rPr>
          <w:rFonts w:ascii="仿宋" w:eastAsia="仿宋" w:hAnsi="仿宋" w:cs="Arial" w:hint="eastAsia"/>
          <w:kern w:val="0"/>
          <w:sz w:val="32"/>
          <w:szCs w:val="32"/>
        </w:rPr>
        <w:t>1,748.66万元，</w:t>
      </w:r>
      <w:r>
        <w:rPr>
          <w:rFonts w:ascii="仿宋" w:eastAsia="仿宋" w:hAnsi="仿宋" w:cs="仿宋" w:hint="eastAsia"/>
          <w:sz w:val="32"/>
          <w:szCs w:val="32"/>
        </w:rPr>
        <w:t>主要包括：基本工资、津贴补贴、奖金、其他社会保障费、绩效工资、机关事业单位基本养老保险缴费、职业年金缴费、住房公积金、医疗补助费、离休费、行政退休人员通讯补贴、离休干部护理费、电话费、交通费、遗属补助、精减职工补助等。</w:t>
      </w:r>
    </w:p>
    <w:p w:rsidR="00E728FE" w:rsidRDefault="00B0793E">
      <w:pPr>
        <w:spacing w:line="600" w:lineRule="atLeast"/>
        <w:ind w:firstLine="640"/>
        <w:rPr>
          <w:rFonts w:ascii="仿宋" w:eastAsia="仿宋" w:hAnsi="仿宋" w:cs="Arial"/>
          <w:sz w:val="32"/>
          <w:szCs w:val="32"/>
        </w:rPr>
      </w:pPr>
      <w:r>
        <w:rPr>
          <w:rFonts w:ascii="仿宋" w:eastAsia="仿宋" w:hAnsi="仿宋" w:cs="仿宋" w:hint="eastAsia"/>
          <w:kern w:val="0"/>
          <w:sz w:val="32"/>
          <w:szCs w:val="32"/>
        </w:rPr>
        <w:t>公用经费</w:t>
      </w:r>
      <w:r>
        <w:rPr>
          <w:rFonts w:ascii="仿宋" w:eastAsia="仿宋" w:hAnsi="仿宋" w:cs="Arial" w:hint="eastAsia"/>
          <w:kern w:val="0"/>
          <w:sz w:val="32"/>
          <w:szCs w:val="32"/>
        </w:rPr>
        <w:t>231.13万元，</w:t>
      </w:r>
      <w:r>
        <w:rPr>
          <w:rFonts w:ascii="仿宋" w:eastAsia="仿宋" w:hAnsi="仿宋" w:cs="仿宋" w:hint="eastAsia"/>
          <w:sz w:val="32"/>
          <w:szCs w:val="32"/>
        </w:rPr>
        <w:t>主要包括：办公费、印刷费、咨询费、手续费、水电费、邮电费、差旅费、物业管理费、维修费、租赁费、会议费、培训费、公务接待费、公务用车运行维护费、其他交通费、福利费、工会经费、劳务费、办公设备购置费等。</w:t>
      </w:r>
    </w:p>
    <w:p w:rsidR="00E728FE" w:rsidRDefault="00B0793E">
      <w:pPr>
        <w:widowControl/>
        <w:snapToGrid w:val="0"/>
        <w:spacing w:line="600" w:lineRule="atLeast"/>
        <w:ind w:firstLineChars="200" w:firstLine="643"/>
        <w:rPr>
          <w:rFonts w:ascii="宋体" w:eastAsia="宋体" w:hAnsi="宋体" w:cs="宋体"/>
          <w:kern w:val="0"/>
          <w:sz w:val="24"/>
        </w:rPr>
      </w:pPr>
      <w:r>
        <w:rPr>
          <w:rStyle w:val="15"/>
          <w:rFonts w:ascii="楷体" w:eastAsia="楷体" w:hAnsi="楷体" w:cs="楷体" w:hint="eastAsia"/>
          <w:kern w:val="0"/>
          <w:sz w:val="32"/>
          <w:szCs w:val="32"/>
        </w:rPr>
        <w:t>（七）政府性基金预算财政拨款支出决算总体情况</w:t>
      </w:r>
    </w:p>
    <w:p w:rsidR="00E728FE" w:rsidRDefault="00B0793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lastRenderedPageBreak/>
        <w:t>1.政府性基金预算财政拨款支出决算总体情况。</w:t>
      </w:r>
    </w:p>
    <w:p w:rsidR="00E728FE" w:rsidRDefault="00B0793E">
      <w:pPr>
        <w:spacing w:line="600" w:lineRule="atLeast"/>
        <w:ind w:firstLine="640"/>
        <w:rPr>
          <w:rFonts w:ascii="仿宋" w:eastAsia="仿宋" w:hAnsi="仿宋" w:cs="仿宋"/>
          <w:sz w:val="32"/>
          <w:szCs w:val="32"/>
        </w:rPr>
      </w:pPr>
      <w:r>
        <w:rPr>
          <w:rFonts w:ascii="仿宋" w:eastAsia="仿宋" w:hAnsi="仿宋" w:cs="仿宋" w:hint="eastAsia"/>
          <w:kern w:val="0"/>
          <w:sz w:val="32"/>
          <w:szCs w:val="32"/>
        </w:rPr>
        <w:t>2020年度政府性基金预算财政拨款支出3,628.86万元，占本年支出合计的30.56%。与2019年相比，政府性基金预算财政拨款支出减少10,473.73万元，下降74.27%。主要原因是：</w:t>
      </w:r>
      <w:r>
        <w:rPr>
          <w:rFonts w:ascii="仿宋" w:eastAsia="仿宋" w:hAnsi="仿宋" w:cs="仿宋" w:hint="eastAsia"/>
          <w:sz w:val="32"/>
          <w:szCs w:val="32"/>
        </w:rPr>
        <w:t>主要原因是减少了征地拆迁补偿支出。</w:t>
      </w:r>
    </w:p>
    <w:p w:rsidR="00E728FE" w:rsidRDefault="00B0793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2.政府性基金预算财政拨款支出决算结构情况。</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政府性基金预算财政拨款支出3,628.86万元，主要用于以下方面：科学技术（类）支出0万元,占0%；文化旅游体育与传媒（类）支出0万元,占0%；社会保障和就业（类）支出0万元,占0%；节能环保（类）支出0万元,占0%；城乡社区（类）支出3,553.72万元,占97.93%；农林水（类）支出0万元,占0%；交通运输（类）支出0万元,占0%；资源勘探信息等（类）支出0万元,占0%；金融（类）支出0万元,占0%；其他（类）支出75.14万元,占2.07%；债务付息（类）支出0万元,占0%；抗疫特别国债安排（类）支出0万元,占0%。</w:t>
      </w:r>
    </w:p>
    <w:p w:rsidR="00E728FE" w:rsidRDefault="00B0793E">
      <w:pPr>
        <w:widowControl/>
        <w:numPr>
          <w:ilvl w:val="0"/>
          <w:numId w:val="3"/>
        </w:numPr>
        <w:snapToGrid w:val="0"/>
        <w:spacing w:line="600" w:lineRule="atLeast"/>
        <w:ind w:firstLine="640"/>
        <w:rPr>
          <w:rStyle w:val="15"/>
          <w:rFonts w:ascii="仿宋" w:eastAsia="仿宋" w:hAnsi="仿宋" w:cs="仿宋"/>
          <w:kern w:val="0"/>
          <w:sz w:val="32"/>
          <w:szCs w:val="32"/>
        </w:rPr>
      </w:pPr>
      <w:r>
        <w:rPr>
          <w:rStyle w:val="15"/>
          <w:rFonts w:ascii="仿宋" w:eastAsia="仿宋" w:hAnsi="仿宋" w:cs="仿宋" w:hint="eastAsia"/>
          <w:kern w:val="0"/>
          <w:sz w:val="32"/>
          <w:szCs w:val="32"/>
        </w:rPr>
        <w:t>政府性基金预算财政拨款支出决算具体情况。</w:t>
      </w:r>
    </w:p>
    <w:p w:rsidR="00E728FE" w:rsidRDefault="00B0793E">
      <w:pPr>
        <w:widowControl/>
        <w:snapToGrid w:val="0"/>
        <w:spacing w:line="600" w:lineRule="atLeast"/>
        <w:ind w:firstLineChars="200" w:firstLine="640"/>
        <w:rPr>
          <w:rFonts w:ascii="仿宋" w:eastAsia="仿宋" w:hAnsi="仿宋" w:cs="仿宋"/>
          <w:kern w:val="0"/>
          <w:sz w:val="32"/>
          <w:szCs w:val="32"/>
        </w:rPr>
      </w:pPr>
      <w:r>
        <w:rPr>
          <w:rFonts w:ascii="仿宋" w:eastAsia="仿宋" w:hAnsi="仿宋" w:cs="仿宋" w:hint="eastAsia"/>
          <w:kern w:val="0"/>
          <w:sz w:val="32"/>
          <w:szCs w:val="32"/>
        </w:rPr>
        <w:t>2020年度政府性基金预算财政拨款支出年初预算为640万元，支出决算为3,628.86万元,完成年初预算的567%，主要原因是返还土地出让金成本结算1553.88万元；CB040513地块出让净收益返还975.84万元；偿债准备金384万元；其他政府性基金安排的支出52.44万元；彩票公益金安排的支出22.7万元。主要其中：</w:t>
      </w:r>
    </w:p>
    <w:p w:rsidR="00E728FE" w:rsidRDefault="00B0793E">
      <w:pPr>
        <w:widowControl/>
        <w:snapToGrid w:val="0"/>
        <w:spacing w:line="600" w:lineRule="atLeas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城乡社区支出（类）国有土地使用权出让收入安排的支出（款）农村基础设施建设支出（项）。年初预算为</w:t>
      </w:r>
      <w:r>
        <w:rPr>
          <w:rFonts w:ascii="仿宋" w:eastAsia="仿宋" w:hAnsi="仿宋" w:cs="Arial" w:hint="eastAsia"/>
          <w:kern w:val="0"/>
          <w:sz w:val="32"/>
          <w:szCs w:val="32"/>
        </w:rPr>
        <w:t>1553.88</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1553.88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，决算数等于预算数，是因为严格按照预算编制来执行支出。</w:t>
      </w:r>
    </w:p>
    <w:p w:rsidR="00E728FE" w:rsidRDefault="00B0793E">
      <w:pPr>
        <w:widowControl/>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城乡社区支出（类）国有土地使用权出让收入安排的支出（款）其他国有土地使用权出让收入安排的支出（项）。年初预算为</w:t>
      </w:r>
      <w:r>
        <w:rPr>
          <w:rFonts w:ascii="仿宋" w:eastAsia="仿宋" w:hAnsi="仿宋" w:cs="Arial" w:hint="eastAsia"/>
          <w:kern w:val="0"/>
          <w:sz w:val="32"/>
          <w:szCs w:val="32"/>
        </w:rPr>
        <w:t>1499.84</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1499.84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，决算数等于预算数，是因为严格按照预算编制来执行支出。</w:t>
      </w:r>
    </w:p>
    <w:p w:rsidR="00E728FE" w:rsidRDefault="00B0793E">
      <w:pPr>
        <w:widowControl/>
        <w:spacing w:line="600" w:lineRule="atLeast"/>
        <w:ind w:firstLineChars="200" w:firstLine="640"/>
        <w:rPr>
          <w:rFonts w:ascii="仿宋" w:eastAsia="仿宋" w:hAnsi="仿宋" w:cs="Arial"/>
          <w:kern w:val="0"/>
          <w:sz w:val="32"/>
          <w:szCs w:val="32"/>
        </w:rPr>
      </w:pPr>
      <w:r>
        <w:rPr>
          <w:rFonts w:ascii="仿宋" w:eastAsia="仿宋" w:hAnsi="仿宋" w:cs="仿宋" w:hint="eastAsia"/>
          <w:kern w:val="0"/>
          <w:sz w:val="32"/>
          <w:szCs w:val="32"/>
        </w:rPr>
        <w:t>城乡社区支出（类）城市基础设施配套费安排的支出（款）其他城市基础设施配套费安排的支出（项）。年初预算为</w:t>
      </w:r>
      <w:r>
        <w:rPr>
          <w:rFonts w:ascii="仿宋" w:eastAsia="仿宋" w:hAnsi="仿宋" w:cs="Arial" w:hint="eastAsia"/>
          <w:kern w:val="0"/>
          <w:sz w:val="32"/>
          <w:szCs w:val="32"/>
        </w:rPr>
        <w:t>500</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500</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，决算数等于预算数，是因为严格按照预算编制来执行支出。</w:t>
      </w:r>
    </w:p>
    <w:p w:rsidR="00E728FE" w:rsidRDefault="00B0793E">
      <w:pPr>
        <w:widowControl/>
        <w:spacing w:line="600" w:lineRule="atLeast"/>
        <w:ind w:firstLine="640"/>
        <w:rPr>
          <w:rFonts w:ascii="宋体" w:eastAsia="宋体" w:hAnsi="宋体" w:cs="宋体"/>
          <w:kern w:val="0"/>
          <w:sz w:val="24"/>
        </w:rPr>
      </w:pPr>
      <w:r>
        <w:rPr>
          <w:rFonts w:ascii="仿宋" w:eastAsia="仿宋" w:hAnsi="仿宋" w:cs="仿宋" w:hint="eastAsia"/>
          <w:kern w:val="0"/>
          <w:sz w:val="32"/>
          <w:szCs w:val="32"/>
        </w:rPr>
        <w:t>其他支出（类）其他政府性基金及对应专项债务收入安排的支出（款）其他政府性基金安排的支出（项）。年初预算为</w:t>
      </w:r>
      <w:r>
        <w:rPr>
          <w:rFonts w:ascii="仿宋" w:eastAsia="仿宋" w:hAnsi="仿宋" w:cs="Arial" w:hint="eastAsia"/>
          <w:kern w:val="0"/>
          <w:sz w:val="32"/>
          <w:szCs w:val="32"/>
        </w:rPr>
        <w:t>52.44</w:t>
      </w:r>
      <w:r>
        <w:rPr>
          <w:rFonts w:ascii="仿宋" w:eastAsia="仿宋" w:hAnsi="仿宋" w:cs="仿宋" w:hint="eastAsia"/>
          <w:kern w:val="0"/>
          <w:sz w:val="32"/>
          <w:szCs w:val="32"/>
        </w:rPr>
        <w:t>万元，支出决算为</w:t>
      </w:r>
      <w:r>
        <w:rPr>
          <w:rFonts w:ascii="仿宋" w:eastAsia="仿宋" w:hAnsi="仿宋" w:cs="Arial" w:hint="eastAsia"/>
          <w:kern w:val="0"/>
          <w:sz w:val="32"/>
          <w:szCs w:val="32"/>
        </w:rPr>
        <w:t>52.44</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，决算数等于预算数，是因为严格按照预算编制来执行支出。</w:t>
      </w:r>
    </w:p>
    <w:p w:rsidR="00E728FE" w:rsidRDefault="00B0793E">
      <w:pPr>
        <w:widowControl/>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其他支出（类）彩票公益金安排的支出（款）用于社会福利的彩票公益金支出（项）。年初预算为21.38万元，支出决算为</w:t>
      </w:r>
      <w:r>
        <w:rPr>
          <w:rFonts w:ascii="仿宋" w:eastAsia="仿宋" w:hAnsi="仿宋" w:cs="Arial" w:hint="eastAsia"/>
          <w:kern w:val="0"/>
          <w:sz w:val="32"/>
          <w:szCs w:val="32"/>
        </w:rPr>
        <w:t>21.38</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，决算数等于预算数，是因为严格按照预算编制来执行支出。</w:t>
      </w:r>
    </w:p>
    <w:p w:rsidR="00E728FE" w:rsidRDefault="00B0793E">
      <w:pPr>
        <w:widowControl/>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lastRenderedPageBreak/>
        <w:t>其他支出（类）彩票公益金安排的支出（款）用于其他社会福利的彩票公益金支出（项）。年初预算为1.32万元，支出决算为</w:t>
      </w:r>
      <w:r>
        <w:rPr>
          <w:rFonts w:ascii="仿宋" w:eastAsia="仿宋" w:hAnsi="仿宋" w:cs="Arial" w:hint="eastAsia"/>
          <w:kern w:val="0"/>
          <w:sz w:val="32"/>
          <w:szCs w:val="32"/>
        </w:rPr>
        <w:t>1.32</w:t>
      </w:r>
      <w:r>
        <w:rPr>
          <w:rFonts w:ascii="仿宋" w:eastAsia="仿宋" w:hAnsi="仿宋" w:cs="仿宋" w:hint="eastAsia"/>
          <w:kern w:val="0"/>
          <w:sz w:val="32"/>
          <w:szCs w:val="32"/>
        </w:rPr>
        <w:t>万元，完成年初预算的</w:t>
      </w:r>
      <w:r>
        <w:rPr>
          <w:rFonts w:ascii="仿宋" w:eastAsia="仿宋" w:hAnsi="仿宋" w:cs="Arial" w:hint="eastAsia"/>
          <w:kern w:val="0"/>
          <w:sz w:val="32"/>
          <w:szCs w:val="32"/>
        </w:rPr>
        <w:t>100%</w:t>
      </w:r>
      <w:r>
        <w:rPr>
          <w:rFonts w:ascii="仿宋" w:eastAsia="仿宋" w:hAnsi="仿宋" w:cs="仿宋" w:hint="eastAsia"/>
          <w:kern w:val="0"/>
          <w:sz w:val="32"/>
          <w:szCs w:val="32"/>
        </w:rPr>
        <w:t>，决算数等于预算数，是因为严格按照预算编制来执行支出。</w:t>
      </w:r>
    </w:p>
    <w:p w:rsidR="00E728FE" w:rsidRDefault="00B0793E">
      <w:pPr>
        <w:widowControl/>
        <w:snapToGrid w:val="0"/>
        <w:spacing w:line="600" w:lineRule="atLeast"/>
        <w:ind w:firstLineChars="200" w:firstLine="643"/>
        <w:rPr>
          <w:rFonts w:ascii="宋体" w:eastAsia="宋体" w:hAnsi="宋体" w:cs="宋体"/>
          <w:kern w:val="0"/>
          <w:sz w:val="24"/>
        </w:rPr>
      </w:pPr>
      <w:r>
        <w:rPr>
          <w:rStyle w:val="15"/>
          <w:rFonts w:ascii="楷体" w:eastAsia="楷体" w:hAnsi="楷体" w:cs="楷体" w:hint="eastAsia"/>
          <w:kern w:val="0"/>
          <w:sz w:val="32"/>
          <w:szCs w:val="32"/>
        </w:rPr>
        <w:t>（八）国有资本经营预算财政拨款支出决算总体情况</w:t>
      </w:r>
    </w:p>
    <w:p w:rsidR="00E728FE" w:rsidRDefault="00B0793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1.国有资本经营预算财政拨款支出决算总体情况。</w:t>
      </w:r>
    </w:p>
    <w:p w:rsidR="00E728FE" w:rsidRDefault="00B0793E">
      <w:pPr>
        <w:spacing w:line="600" w:lineRule="atLeast"/>
        <w:ind w:left="637"/>
      </w:pPr>
      <w:r>
        <w:rPr>
          <w:rFonts w:ascii="仿宋" w:eastAsia="仿宋" w:hAnsi="仿宋" w:cs="仿宋" w:hint="eastAsia"/>
          <w:sz w:val="32"/>
          <w:szCs w:val="32"/>
        </w:rPr>
        <w:t>本部门2020年度无国有资本经营预算财政拨款收支安</w:t>
      </w:r>
    </w:p>
    <w:p w:rsidR="00E728FE" w:rsidRDefault="00B0793E">
      <w:pPr>
        <w:spacing w:line="600" w:lineRule="atLeast"/>
        <w:rPr>
          <w:rFonts w:ascii="仿宋" w:eastAsia="仿宋" w:hAnsi="仿宋" w:cs="仿宋"/>
          <w:sz w:val="32"/>
          <w:szCs w:val="32"/>
        </w:rPr>
      </w:pPr>
      <w:r>
        <w:rPr>
          <w:rFonts w:ascii="仿宋" w:eastAsia="仿宋" w:hAnsi="仿宋" w:cs="仿宋" w:hint="eastAsia"/>
          <w:sz w:val="32"/>
          <w:szCs w:val="32"/>
        </w:rPr>
        <w:t>排，故无相关数据。</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（九）一般公共预算财政拨款</w:t>
      </w:r>
      <w:r>
        <w:rPr>
          <w:rStyle w:val="15"/>
          <w:rFonts w:ascii="楷体" w:eastAsia="楷体" w:hAnsi="楷体" w:cs="Arial" w:hint="eastAsia"/>
          <w:kern w:val="0"/>
          <w:sz w:val="32"/>
          <w:szCs w:val="32"/>
        </w:rPr>
        <w:t>“三公”经费支出决算情况说明</w:t>
      </w:r>
    </w:p>
    <w:p w:rsidR="00E728FE" w:rsidRDefault="00B0793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 xml:space="preserve">1.“三公”经费一般公共预算财政拨款支出决算总体情况说明。 </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2020年度“三公”经费一般公共预算财政拨款支出预算为21.74万元，支出决算为26.39万元，完成预算的121.39%,2020年度“三公”经费支出决算数大于预算数的主要原因是2020年度购置一辆新车。</w:t>
      </w:r>
    </w:p>
    <w:p w:rsidR="00E728FE" w:rsidRDefault="00B0793E">
      <w:pPr>
        <w:widowControl/>
        <w:snapToGrid w:val="0"/>
        <w:spacing w:line="600" w:lineRule="atLeast"/>
        <w:ind w:firstLine="640"/>
        <w:rPr>
          <w:rFonts w:ascii="宋体" w:eastAsia="宋体" w:hAnsi="宋体" w:cs="宋体"/>
          <w:kern w:val="0"/>
          <w:sz w:val="24"/>
        </w:rPr>
      </w:pPr>
      <w:r>
        <w:rPr>
          <w:rStyle w:val="15"/>
          <w:rFonts w:ascii="仿宋" w:eastAsia="仿宋" w:hAnsi="仿宋" w:cs="仿宋" w:hint="eastAsia"/>
          <w:kern w:val="0"/>
          <w:sz w:val="32"/>
          <w:szCs w:val="32"/>
        </w:rPr>
        <w:t>2.“三公”经费一般公共预算财政拨款支出决算具体情况说明。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三公”经费一般公共预算财政拨款支出决算中，因公出国（境）费用支出决算为0万元，占0%，与2019年度相比，减少36.50万元，下降57.91%，主要原因是2020年无因公出境费；公务用车购置及运行维护费支出决算为25.32万元，占95.97%，与2019年度相比，增加0.14万元，</w:t>
      </w:r>
      <w:r>
        <w:rPr>
          <w:rFonts w:ascii="仿宋" w:eastAsia="仿宋" w:hAnsi="仿宋" w:cs="仿宋" w:hint="eastAsia"/>
          <w:kern w:val="0"/>
          <w:sz w:val="32"/>
          <w:szCs w:val="32"/>
        </w:rPr>
        <w:lastRenderedPageBreak/>
        <w:t>增长0.54%，主要原因是2020年度购置一辆新车；公务接待费支出决算为1.06万元，占4.03%，与2019年度相比，增加0.05万元，增长5.25%，主要原因是2019年的公务接待费用在2020年支出。具体情况如下：</w:t>
      </w:r>
    </w:p>
    <w:p w:rsidR="00E728FE" w:rsidRDefault="00D1718D">
      <w:pPr>
        <w:widowControl/>
        <w:numPr>
          <w:ilvl w:val="0"/>
          <w:numId w:val="4"/>
        </w:numPr>
        <w:snapToGrid w:val="0"/>
        <w:spacing w:line="600" w:lineRule="atLeast"/>
        <w:ind w:firstLine="640"/>
        <w:rPr>
          <w:rFonts w:ascii="仿宋" w:eastAsia="仿宋" w:hAnsi="仿宋" w:cs="Arial"/>
          <w:kern w:val="0"/>
          <w:sz w:val="32"/>
          <w:szCs w:val="32"/>
        </w:rPr>
      </w:pPr>
      <w:r>
        <w:rPr>
          <w:rFonts w:ascii="仿宋" w:eastAsia="仿宋" w:hAnsi="仿宋" w:cs="Arial" w:hint="eastAsia"/>
          <w:sz w:val="32"/>
          <w:szCs w:val="32"/>
        </w:rPr>
        <w:t>因公出国（境）费预算数为0万元，支出决算为0万元。完成预算的0%。主要用于机关及下属预算单位人员的公务出国（境）的住宿费、国际旅费、培训费、公杂费等支出。决算数等于预算数的主要原因是无出国境计划安排。全年使用一般公共预算财政拨款支出涉及因公出国(境)团组0个；累计0人次。开支内容包括：无</w:t>
      </w:r>
    </w:p>
    <w:p w:rsidR="00E728FE" w:rsidRDefault="00B0793E">
      <w:pPr>
        <w:widowControl/>
        <w:snapToGrid w:val="0"/>
        <w:spacing w:line="600" w:lineRule="atLeast"/>
        <w:ind w:firstLineChars="200" w:firstLine="640"/>
        <w:rPr>
          <w:rFonts w:ascii="宋体" w:eastAsia="宋体" w:hAnsi="宋体" w:cs="宋体"/>
          <w:kern w:val="0"/>
          <w:sz w:val="24"/>
        </w:rPr>
      </w:pPr>
      <w:r>
        <w:rPr>
          <w:rFonts w:ascii="仿宋" w:eastAsia="仿宋" w:hAnsi="仿宋" w:cs="仿宋" w:hint="eastAsia"/>
          <w:kern w:val="0"/>
          <w:sz w:val="32"/>
          <w:szCs w:val="32"/>
        </w:rPr>
        <w:t>（</w:t>
      </w:r>
      <w:r>
        <w:rPr>
          <w:rFonts w:ascii="仿宋" w:eastAsia="仿宋" w:hAnsi="仿宋" w:cs="Arial" w:hint="eastAsia"/>
          <w:kern w:val="0"/>
          <w:sz w:val="32"/>
          <w:szCs w:val="32"/>
        </w:rPr>
        <w:t>2）公务用车购置及运行维护费预算数为13.25万元，支出决算为25.32万元，完成预算的191.09%。决算数大于预算数的主要原因是</w:t>
      </w:r>
      <w:r>
        <w:rPr>
          <w:rFonts w:ascii="仿宋" w:eastAsia="仿宋" w:hAnsi="仿宋" w:cs="仿宋" w:hint="eastAsia"/>
          <w:kern w:val="0"/>
          <w:sz w:val="32"/>
          <w:szCs w:val="32"/>
        </w:rPr>
        <w:t>2020年度购置一辆新车</w:t>
      </w:r>
      <w:r>
        <w:rPr>
          <w:rFonts w:ascii="仿宋" w:eastAsia="仿宋" w:hAnsi="仿宋" w:cs="Arial" w:hint="eastAsia"/>
          <w:kern w:val="0"/>
          <w:sz w:val="32"/>
          <w:szCs w:val="32"/>
        </w:rPr>
        <w:t>。</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公务用车购置预算数为</w:t>
      </w:r>
      <w:r>
        <w:rPr>
          <w:rFonts w:ascii="仿宋" w:eastAsia="仿宋" w:hAnsi="仿宋" w:cs="Arial" w:hint="eastAsia"/>
          <w:kern w:val="0"/>
          <w:sz w:val="32"/>
          <w:szCs w:val="32"/>
        </w:rPr>
        <w:t>0万元，支出决算为19.55万元（含购置税等附加费用），完成预算的100%。决算数大于预算数的主要原因是</w:t>
      </w:r>
      <w:r>
        <w:rPr>
          <w:rFonts w:ascii="仿宋" w:eastAsia="仿宋" w:hAnsi="仿宋" w:cs="仿宋" w:hint="eastAsia"/>
          <w:kern w:val="0"/>
          <w:sz w:val="32"/>
          <w:szCs w:val="32"/>
        </w:rPr>
        <w:t>2020年度购置一辆新车</w:t>
      </w:r>
      <w:r>
        <w:rPr>
          <w:rFonts w:ascii="仿宋" w:eastAsia="仿宋" w:hAnsi="仿宋" w:cs="Arial" w:hint="eastAsia"/>
          <w:kern w:val="0"/>
          <w:sz w:val="32"/>
          <w:szCs w:val="32"/>
        </w:rPr>
        <w:t>。主要用于经批准购置的1辆公务用车；</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公务用车运行维护费预算数为</w:t>
      </w:r>
      <w:r>
        <w:rPr>
          <w:rFonts w:ascii="仿宋" w:eastAsia="仿宋" w:hAnsi="仿宋" w:cs="Arial" w:hint="eastAsia"/>
          <w:kern w:val="0"/>
          <w:sz w:val="32"/>
          <w:szCs w:val="32"/>
        </w:rPr>
        <w:t>13.25万元，支出5.77万元，完成预算的43.55%。决算数小于预算数的主要原因是公务用车次数大大减少。主要用于公务车等所需的公务用车燃料费、维修费、过路过桥费、保险费、安全奖励费用等支出；2020年度，本级及所属单位开支一般公共预算财政拨款的公务用车保有量为5辆。</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lastRenderedPageBreak/>
        <w:t>（</w:t>
      </w:r>
      <w:r>
        <w:rPr>
          <w:rFonts w:ascii="仿宋" w:eastAsia="仿宋" w:hAnsi="仿宋" w:cs="Arial" w:hint="eastAsia"/>
          <w:kern w:val="0"/>
          <w:sz w:val="32"/>
          <w:szCs w:val="32"/>
        </w:rPr>
        <w:t>3）公务接待费预算数为8.49万元，支出决算为1.06万元，完成预算的12.49%。主要用于接待来客等支出。决算数小于预算数的主要原因是接待次数大大减少。全年使用一般公共预算财政拨款国内公务接待6团组，累计95人次。</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其他国内公务接待支出</w:t>
      </w:r>
      <w:r>
        <w:rPr>
          <w:rFonts w:ascii="仿宋" w:eastAsia="仿宋" w:hAnsi="仿宋" w:cs="Arial" w:hint="eastAsia"/>
          <w:kern w:val="0"/>
          <w:sz w:val="32"/>
          <w:szCs w:val="32"/>
        </w:rPr>
        <w:t>1.06万元，</w:t>
      </w:r>
      <w:r>
        <w:rPr>
          <w:rFonts w:ascii="仿宋" w:eastAsia="仿宋" w:hAnsi="仿宋" w:cs="仿宋"/>
          <w:kern w:val="0"/>
          <w:sz w:val="32"/>
          <w:szCs w:val="32"/>
        </w:rPr>
        <w:t>主要用于接待上级验收、交叉检查等支出</w:t>
      </w:r>
      <w:r>
        <w:rPr>
          <w:rFonts w:ascii="仿宋" w:eastAsia="仿宋" w:hAnsi="仿宋" w:cs="仿宋" w:hint="eastAsia"/>
          <w:kern w:val="0"/>
          <w:sz w:val="32"/>
          <w:szCs w:val="32"/>
        </w:rPr>
        <w:t>，</w:t>
      </w:r>
      <w:r>
        <w:rPr>
          <w:rFonts w:ascii="仿宋" w:eastAsia="仿宋" w:hAnsi="仿宋" w:cs="Arial" w:hint="eastAsia"/>
          <w:kern w:val="0"/>
          <w:sz w:val="32"/>
          <w:szCs w:val="32"/>
        </w:rPr>
        <w:t>接待6团组，95人次。</w:t>
      </w:r>
    </w:p>
    <w:p w:rsidR="00E728FE" w:rsidRDefault="00B0793E">
      <w:pPr>
        <w:widowControl/>
        <w:numPr>
          <w:ilvl w:val="0"/>
          <w:numId w:val="5"/>
        </w:numPr>
        <w:snapToGrid w:val="0"/>
        <w:spacing w:line="600" w:lineRule="atLeast"/>
        <w:ind w:firstLine="640"/>
        <w:rPr>
          <w:rStyle w:val="15"/>
          <w:rFonts w:ascii="楷体" w:eastAsia="楷体" w:hAnsi="楷体" w:cs="楷体"/>
          <w:kern w:val="0"/>
          <w:sz w:val="32"/>
          <w:szCs w:val="32"/>
        </w:rPr>
      </w:pPr>
      <w:r>
        <w:rPr>
          <w:rStyle w:val="15"/>
          <w:rFonts w:ascii="楷体" w:eastAsia="楷体" w:hAnsi="楷体" w:cs="楷体" w:hint="eastAsia"/>
          <w:kern w:val="0"/>
          <w:sz w:val="32"/>
          <w:szCs w:val="32"/>
        </w:rPr>
        <w:t xml:space="preserve">机关运行经费支出说明 </w:t>
      </w:r>
    </w:p>
    <w:p w:rsidR="00E728FE" w:rsidRDefault="00B0793E">
      <w:pPr>
        <w:widowControl/>
        <w:spacing w:line="600" w:lineRule="atLeast"/>
        <w:ind w:firstLine="640"/>
        <w:rPr>
          <w:rFonts w:ascii="仿宋" w:eastAsia="仿宋" w:hAnsi="仿宋" w:cs="Arial"/>
          <w:kern w:val="0"/>
          <w:sz w:val="32"/>
          <w:szCs w:val="32"/>
        </w:rPr>
      </w:pPr>
      <w:r>
        <w:rPr>
          <w:rFonts w:ascii="仿宋" w:eastAsia="仿宋" w:hAnsi="仿宋" w:cs="仿宋" w:hint="eastAsia"/>
          <w:kern w:val="0"/>
          <w:sz w:val="32"/>
          <w:szCs w:val="32"/>
        </w:rPr>
        <w:t>2020年度机关运行经费年初预算数为231.13万元，支出决算为231.13万元，完成年初预算的100%，决算数等于预算数，是因为严格按照预算编制来执行支出。</w:t>
      </w:r>
    </w:p>
    <w:p w:rsidR="00E728FE" w:rsidRDefault="00B0793E">
      <w:pPr>
        <w:widowControl/>
        <w:snapToGrid w:val="0"/>
        <w:spacing w:line="600" w:lineRule="atLeast"/>
        <w:ind w:firstLineChars="100" w:firstLine="321"/>
        <w:rPr>
          <w:rFonts w:ascii="宋体" w:eastAsia="宋体" w:hAnsi="宋体" w:cs="宋体"/>
          <w:kern w:val="0"/>
          <w:sz w:val="24"/>
        </w:rPr>
      </w:pPr>
      <w:r>
        <w:rPr>
          <w:rStyle w:val="15"/>
          <w:rFonts w:ascii="楷体" w:eastAsia="楷体" w:hAnsi="楷体" w:cs="楷体" w:hint="eastAsia"/>
          <w:kern w:val="0"/>
          <w:sz w:val="32"/>
          <w:szCs w:val="32"/>
        </w:rPr>
        <w:t>（十一）政府采购支出说明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2020年度政府采购支出总额131.44万元，其中：政府采购货物支出131.44万元、政府采购工程支出0万元、政府采购服务支出0万元。授予中小企业合同金额131.44万元，占政府采购支出总额的100.00%。其中，授予小微企业合同金额0万元，占政府采购支出总额的0%。</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（十二）国有资产占有情况说明</w:t>
      </w:r>
    </w:p>
    <w:p w:rsidR="00E728FE" w:rsidRDefault="00B0793E">
      <w:pPr>
        <w:widowControl/>
        <w:snapToGrid w:val="0"/>
        <w:spacing w:line="600" w:lineRule="atLeast"/>
        <w:ind w:firstLine="640"/>
        <w:rPr>
          <w:rFonts w:ascii="宋体" w:eastAsia="宋体" w:hAnsi="宋体" w:cs="宋体"/>
          <w:kern w:val="0"/>
          <w:sz w:val="24"/>
        </w:rPr>
      </w:pPr>
      <w:r>
        <w:rPr>
          <w:rFonts w:ascii="仿宋" w:eastAsia="仿宋" w:hAnsi="仿宋" w:cs="仿宋" w:hint="eastAsia"/>
          <w:kern w:val="0"/>
          <w:sz w:val="32"/>
          <w:szCs w:val="32"/>
        </w:rPr>
        <w:t>截至</w:t>
      </w:r>
      <w:r>
        <w:rPr>
          <w:rFonts w:ascii="仿宋" w:eastAsia="仿宋" w:hAnsi="仿宋" w:cs="Arial" w:hint="eastAsia"/>
          <w:kern w:val="0"/>
          <w:sz w:val="32"/>
          <w:szCs w:val="32"/>
        </w:rPr>
        <w:t>2020年12月31日，</w:t>
      </w:r>
      <w:r>
        <w:rPr>
          <w:rFonts w:ascii="仿宋" w:eastAsia="仿宋" w:hAnsi="仿宋" w:hint="eastAsia"/>
          <w:sz w:val="32"/>
          <w:szCs w:val="32"/>
        </w:rPr>
        <w:t>温岭市人民政府城北街道办事处</w:t>
      </w:r>
      <w:r>
        <w:rPr>
          <w:rFonts w:ascii="仿宋" w:eastAsia="仿宋" w:hAnsi="仿宋" w:cs="Arial" w:hint="eastAsia"/>
          <w:kern w:val="0"/>
          <w:sz w:val="32"/>
          <w:szCs w:val="32"/>
        </w:rPr>
        <w:t>本级及所属各单位共有车辆5辆，其中，副部（省）级及以上领导用车0辆、主要领导干部用车0辆、机要通信用车0辆、应急保障用车0辆、执法执勤用车0辆、特种专业技术用车0辆、离退休干部用车0辆、其他用车5辆,其他</w:t>
      </w:r>
      <w:r>
        <w:rPr>
          <w:rFonts w:ascii="仿宋" w:eastAsia="仿宋" w:hAnsi="仿宋" w:cs="Arial" w:hint="eastAsia"/>
          <w:kern w:val="0"/>
          <w:sz w:val="32"/>
          <w:szCs w:val="32"/>
        </w:rPr>
        <w:lastRenderedPageBreak/>
        <w:t xml:space="preserve">用车主要是公务用车；单价50万元以上通用设备0台（套），单价100万元以上专用设备0台（套）。 </w:t>
      </w:r>
    </w:p>
    <w:p w:rsidR="00E728FE" w:rsidRDefault="00B0793E">
      <w:pPr>
        <w:widowControl/>
        <w:snapToGrid w:val="0"/>
        <w:spacing w:line="600" w:lineRule="atLeast"/>
        <w:ind w:firstLine="640"/>
        <w:rPr>
          <w:rFonts w:ascii="宋体" w:eastAsia="宋体" w:hAnsi="宋体" w:cs="宋体"/>
          <w:kern w:val="0"/>
          <w:sz w:val="24"/>
        </w:rPr>
      </w:pPr>
      <w:r>
        <w:rPr>
          <w:rStyle w:val="15"/>
          <w:rFonts w:ascii="楷体" w:eastAsia="楷体" w:hAnsi="楷体" w:cs="楷体" w:hint="eastAsia"/>
          <w:kern w:val="0"/>
          <w:sz w:val="32"/>
          <w:szCs w:val="32"/>
        </w:rPr>
        <w:t>（十三）预算绩效情况说明</w:t>
      </w:r>
    </w:p>
    <w:p w:rsidR="00E728FE" w:rsidRDefault="00B0793E">
      <w:pPr>
        <w:widowControl/>
        <w:spacing w:line="600" w:lineRule="atLeast"/>
        <w:ind w:firstLine="640"/>
        <w:rPr>
          <w:rFonts w:ascii="宋体" w:eastAsia="宋体" w:hAnsi="宋体" w:cs="宋体"/>
          <w:kern w:val="0"/>
          <w:sz w:val="24"/>
        </w:rPr>
      </w:pPr>
      <w:r>
        <w:rPr>
          <w:rStyle w:val="15"/>
          <w:rFonts w:ascii="仿宋" w:eastAsia="仿宋" w:hAnsi="仿宋" w:cs="Arial" w:hint="eastAsia"/>
          <w:bCs/>
          <w:kern w:val="0"/>
          <w:sz w:val="32"/>
          <w:szCs w:val="32"/>
        </w:rPr>
        <w:t xml:space="preserve">1.预算绩效管理工作开展情况。 </w:t>
      </w:r>
    </w:p>
    <w:p w:rsidR="00E728FE" w:rsidRDefault="00B0793E">
      <w:pPr>
        <w:widowControl/>
        <w:spacing w:line="600" w:lineRule="atLeast"/>
        <w:ind w:firstLine="640"/>
        <w:rPr>
          <w:rFonts w:ascii="仿宋" w:eastAsia="仿宋" w:hAnsi="仿宋" w:cs="Arial"/>
          <w:color w:val="000000" w:themeColor="text1"/>
          <w:kern w:val="0"/>
          <w:sz w:val="32"/>
          <w:szCs w:val="32"/>
        </w:rPr>
      </w:pPr>
      <w:r>
        <w:rPr>
          <w:rFonts w:ascii="仿宋" w:eastAsia="仿宋" w:hAnsi="仿宋" w:cs="仿宋" w:hint="eastAsia"/>
          <w:color w:val="000000" w:themeColor="text1"/>
          <w:kern w:val="0"/>
          <w:sz w:val="32"/>
          <w:szCs w:val="32"/>
        </w:rPr>
        <w:t>根据预算绩效管理要求，城北街道预算绩效评价小组组织对</w:t>
      </w:r>
      <w:r>
        <w:rPr>
          <w:rFonts w:ascii="仿宋" w:eastAsia="仿宋" w:hAnsi="仿宋" w:cs="Arial" w:hint="eastAsia"/>
          <w:color w:val="000000" w:themeColor="text1"/>
          <w:kern w:val="0"/>
          <w:sz w:val="32"/>
          <w:szCs w:val="32"/>
        </w:rPr>
        <w:t>2020年度一般公共预算项目支出全面开展绩效自评，涉及项目11</w:t>
      </w:r>
      <w:r>
        <w:rPr>
          <w:rFonts w:ascii="仿宋" w:eastAsia="仿宋" w:hAnsi="仿宋" w:cs="仿宋" w:hint="eastAsia"/>
          <w:color w:val="000000" w:themeColor="text1"/>
          <w:kern w:val="0"/>
          <w:sz w:val="32"/>
          <w:szCs w:val="32"/>
        </w:rPr>
        <w:t>个，共涉及资金</w:t>
      </w:r>
      <w:r>
        <w:rPr>
          <w:rFonts w:ascii="仿宋" w:eastAsia="仿宋" w:hAnsi="仿宋" w:cs="Arial" w:hint="eastAsia"/>
          <w:color w:val="000000" w:themeColor="text1"/>
          <w:kern w:val="0"/>
          <w:sz w:val="32"/>
          <w:szCs w:val="32"/>
        </w:rPr>
        <w:t>6806.09</w:t>
      </w:r>
      <w:r>
        <w:rPr>
          <w:rFonts w:ascii="仿宋" w:eastAsia="仿宋" w:hAnsi="仿宋" w:cs="仿宋" w:hint="eastAsia"/>
          <w:color w:val="000000" w:themeColor="text1"/>
          <w:kern w:val="0"/>
          <w:sz w:val="32"/>
          <w:szCs w:val="32"/>
        </w:rPr>
        <w:t>万元，占一般公共预算项目支出总额的</w:t>
      </w:r>
      <w:r>
        <w:rPr>
          <w:rFonts w:ascii="仿宋" w:eastAsia="仿宋" w:hAnsi="仿宋" w:cs="Arial" w:hint="eastAsia"/>
          <w:color w:val="000000" w:themeColor="text1"/>
          <w:kern w:val="0"/>
          <w:sz w:val="32"/>
          <w:szCs w:val="32"/>
        </w:rPr>
        <w:t>100%。组织对2020年度</w:t>
      </w:r>
      <w:r>
        <w:rPr>
          <w:rFonts w:ascii="仿宋" w:eastAsia="仿宋" w:hAnsi="仿宋" w:cs="仿宋" w:hint="eastAsia"/>
          <w:color w:val="000000" w:themeColor="text1"/>
          <w:kern w:val="0"/>
          <w:sz w:val="32"/>
          <w:szCs w:val="32"/>
        </w:rPr>
        <w:t>城乡社区支出、其他支出等</w:t>
      </w:r>
      <w:r>
        <w:rPr>
          <w:rFonts w:ascii="仿宋" w:eastAsia="仿宋" w:hAnsi="仿宋" w:cs="Arial" w:hint="eastAsia"/>
          <w:color w:val="000000" w:themeColor="text1"/>
          <w:kern w:val="0"/>
          <w:sz w:val="32"/>
          <w:szCs w:val="32"/>
        </w:rPr>
        <w:t>2</w:t>
      </w:r>
      <w:r>
        <w:rPr>
          <w:rFonts w:ascii="仿宋" w:eastAsia="仿宋" w:hAnsi="仿宋" w:cs="仿宋" w:hint="eastAsia"/>
          <w:color w:val="000000" w:themeColor="text1"/>
          <w:kern w:val="0"/>
          <w:sz w:val="32"/>
          <w:szCs w:val="32"/>
        </w:rPr>
        <w:t>个政府性基金预算项目支出开展绩效自评，共涉及资金</w:t>
      </w:r>
      <w:r>
        <w:rPr>
          <w:rFonts w:ascii="仿宋" w:eastAsia="仿宋" w:hAnsi="仿宋" w:cs="Arial" w:hint="eastAsia"/>
          <w:color w:val="000000" w:themeColor="text1"/>
          <w:kern w:val="0"/>
          <w:sz w:val="32"/>
          <w:szCs w:val="32"/>
        </w:rPr>
        <w:t>3628.86</w:t>
      </w:r>
      <w:r>
        <w:rPr>
          <w:rFonts w:ascii="仿宋" w:eastAsia="仿宋" w:hAnsi="仿宋" w:cs="仿宋" w:hint="eastAsia"/>
          <w:color w:val="000000" w:themeColor="text1"/>
          <w:kern w:val="0"/>
          <w:sz w:val="32"/>
          <w:szCs w:val="32"/>
        </w:rPr>
        <w:t>万元，占政府性基金预算项目支出总额的</w:t>
      </w:r>
      <w:r>
        <w:rPr>
          <w:rFonts w:ascii="仿宋" w:eastAsia="仿宋" w:hAnsi="仿宋" w:cs="Arial" w:hint="eastAsia"/>
          <w:color w:val="000000" w:themeColor="text1"/>
          <w:kern w:val="0"/>
          <w:sz w:val="32"/>
          <w:szCs w:val="32"/>
        </w:rPr>
        <w:t xml:space="preserve">100%。 </w:t>
      </w:r>
    </w:p>
    <w:p w:rsidR="00E728FE" w:rsidRDefault="00B0793E" w:rsidP="009830DC">
      <w:pPr>
        <w:pStyle w:val="NormalIndent1"/>
        <w:ind w:firstLine="640"/>
        <w:rPr>
          <w:rFonts w:ascii="仿宋" w:eastAsia="仿宋" w:hAnsi="仿宋" w:cs="Arial"/>
          <w:color w:val="000000" w:themeColor="text1"/>
          <w:kern w:val="0"/>
          <w:sz w:val="32"/>
          <w:szCs w:val="32"/>
        </w:rPr>
      </w:pPr>
      <w:r>
        <w:rPr>
          <w:rFonts w:ascii="仿宋" w:eastAsia="仿宋" w:hAnsi="仿宋" w:cs="Arial" w:hint="eastAsia"/>
          <w:color w:val="000000" w:themeColor="text1"/>
          <w:kern w:val="0"/>
          <w:sz w:val="32"/>
          <w:szCs w:val="32"/>
        </w:rPr>
        <w:t>本年无部门评价。</w:t>
      </w:r>
    </w:p>
    <w:p w:rsidR="00E728FE" w:rsidRDefault="00B0793E">
      <w:pPr>
        <w:spacing w:line="600" w:lineRule="atLeast"/>
        <w:ind w:firstLine="640"/>
        <w:rPr>
          <w:rFonts w:ascii="仿宋" w:eastAsia="仿宋" w:hAnsi="仿宋" w:cs="仿宋"/>
          <w:sz w:val="32"/>
          <w:szCs w:val="32"/>
        </w:rPr>
      </w:pPr>
      <w:r>
        <w:rPr>
          <w:rFonts w:ascii="仿宋" w:eastAsia="仿宋" w:hAnsi="仿宋" w:cs="仿宋" w:hint="eastAsia"/>
          <w:sz w:val="32"/>
          <w:szCs w:val="32"/>
        </w:rPr>
        <w:t>组织对本部门开展整体支出绩效评价试点，从评价情况来看，2020年度城北街道整体支出绩效评价得分为91.13分，等次为良好。我们根据</w:t>
      </w:r>
      <w:r>
        <w:rPr>
          <w:rFonts w:ascii="仿宋" w:eastAsia="仿宋" w:hAnsi="仿宋" w:cs="Arial" w:hint="eastAsia"/>
          <w:sz w:val="32"/>
          <w:szCs w:val="32"/>
        </w:rPr>
        <w:t>收集和整理的相关材料，制定本次整体评价项目绩效评价指标体系及评价标准，以预算资金管理为主线，统筹考虑资产和业务活动，从运行成本、管理效率、社会效应等方面，衡量街道整体实施效果。</w:t>
      </w:r>
    </w:p>
    <w:p w:rsidR="00E728FE" w:rsidRDefault="00B0793E">
      <w:pPr>
        <w:spacing w:line="600" w:lineRule="atLeast"/>
        <w:ind w:firstLineChars="200" w:firstLine="640"/>
        <w:rPr>
          <w:rFonts w:ascii="仿宋" w:eastAsia="仿宋" w:hAnsi="仿宋" w:cs="Arial"/>
          <w:color w:val="000000" w:themeColor="text1"/>
          <w:kern w:val="0"/>
          <w:sz w:val="32"/>
          <w:szCs w:val="32"/>
        </w:rPr>
      </w:pPr>
      <w:r>
        <w:rPr>
          <w:rFonts w:ascii="仿宋" w:eastAsia="仿宋" w:hAnsi="仿宋" w:cs="仿宋"/>
          <w:kern w:val="0"/>
          <w:sz w:val="32"/>
          <w:szCs w:val="32"/>
        </w:rPr>
        <w:t>本年无下属部门或单位整体支出绩效评价。</w:t>
      </w:r>
    </w:p>
    <w:p w:rsidR="00E728FE" w:rsidRDefault="00B0793E">
      <w:pPr>
        <w:widowControl/>
        <w:numPr>
          <w:ilvl w:val="0"/>
          <w:numId w:val="6"/>
        </w:numPr>
        <w:spacing w:line="600" w:lineRule="atLeast"/>
        <w:ind w:firstLine="640"/>
        <w:rPr>
          <w:rFonts w:ascii="仿宋" w:eastAsia="仿宋" w:hAnsi="仿宋" w:cs="Arial"/>
          <w:b/>
          <w:bCs/>
          <w:kern w:val="0"/>
          <w:sz w:val="32"/>
          <w:szCs w:val="32"/>
        </w:rPr>
      </w:pPr>
      <w:r>
        <w:rPr>
          <w:rStyle w:val="15"/>
          <w:rFonts w:ascii="仿宋" w:eastAsia="仿宋" w:hAnsi="仿宋" w:cs="仿宋" w:hint="eastAsia"/>
          <w:bCs/>
          <w:kern w:val="0"/>
          <w:sz w:val="32"/>
          <w:szCs w:val="32"/>
        </w:rPr>
        <w:t>部门决算中项目绩效自评结果</w:t>
      </w:r>
    </w:p>
    <w:p w:rsidR="00E728FE" w:rsidRDefault="00B0793E">
      <w:pPr>
        <w:spacing w:line="600" w:lineRule="atLeast"/>
        <w:ind w:firstLine="640"/>
      </w:pPr>
      <w:r>
        <w:rPr>
          <w:rFonts w:ascii="仿宋" w:eastAsia="仿宋" w:hAnsi="仿宋" w:cs="仿宋" w:hint="eastAsia"/>
          <w:sz w:val="32"/>
          <w:szCs w:val="32"/>
        </w:rPr>
        <w:t>温岭市人民政府城北街道办事处在2020年度部门决算中反映</w:t>
      </w:r>
      <w:r>
        <w:rPr>
          <w:rFonts w:ascii="仿宋" w:eastAsia="仿宋" w:hAnsi="仿宋" w:cs="仿宋" w:hint="eastAsia"/>
          <w:spacing w:val="7"/>
          <w:kern w:val="0"/>
          <w:sz w:val="32"/>
          <w:szCs w:val="32"/>
        </w:rPr>
        <w:t>文明城市创建工作经费</w:t>
      </w:r>
      <w:r>
        <w:rPr>
          <w:rFonts w:ascii="仿宋" w:eastAsia="仿宋" w:hAnsi="仿宋" w:cs="仿宋" w:hint="eastAsia"/>
          <w:sz w:val="32"/>
          <w:szCs w:val="32"/>
        </w:rPr>
        <w:t>及信访维稳项目绩效自评结</w:t>
      </w:r>
      <w:r>
        <w:rPr>
          <w:rFonts w:ascii="仿宋" w:eastAsia="仿宋" w:hAnsi="仿宋" w:cs="仿宋" w:hint="eastAsia"/>
          <w:sz w:val="32"/>
          <w:szCs w:val="32"/>
        </w:rPr>
        <w:lastRenderedPageBreak/>
        <w:t>果。</w:t>
      </w:r>
    </w:p>
    <w:p w:rsidR="00E728FE" w:rsidRDefault="00B0793E">
      <w:pPr>
        <w:spacing w:line="600" w:lineRule="atLeast"/>
        <w:ind w:firstLine="640"/>
        <w:rPr>
          <w:rFonts w:ascii="仿宋" w:eastAsia="仿宋" w:hAnsi="仿宋" w:cs="仿宋"/>
          <w:spacing w:val="7"/>
          <w:kern w:val="0"/>
          <w:sz w:val="32"/>
          <w:szCs w:val="32"/>
        </w:rPr>
      </w:pPr>
      <w:r>
        <w:rPr>
          <w:rFonts w:ascii="仿宋" w:eastAsia="仿宋" w:hAnsi="仿宋" w:cs="仿宋" w:hint="eastAsia"/>
          <w:spacing w:val="7"/>
          <w:kern w:val="0"/>
          <w:sz w:val="32"/>
          <w:szCs w:val="32"/>
        </w:rPr>
        <w:t>文明城市创建工作经费</w:t>
      </w:r>
      <w:r>
        <w:rPr>
          <w:rFonts w:ascii="仿宋" w:eastAsia="仿宋" w:hAnsi="仿宋" w:cs="仿宋" w:hint="eastAsia"/>
          <w:sz w:val="32"/>
          <w:szCs w:val="32"/>
        </w:rPr>
        <w:t>项目绩效自评综述：根据年初设定的绩效目标，项目自评得分98分，自评结论为“优”。项目全年预算数为534万元，执行数为534万元，完成预算的100%。项目绩效目标完成情况：</w:t>
      </w:r>
      <w:r>
        <w:rPr>
          <w:rFonts w:ascii="仿宋" w:eastAsia="仿宋" w:hAnsi="仿宋" w:cs="仿宋" w:hint="eastAsia"/>
          <w:spacing w:val="7"/>
          <w:kern w:val="0"/>
          <w:sz w:val="32"/>
          <w:szCs w:val="32"/>
        </w:rPr>
        <w:t>一是对市政道路进行维护保养、绿化养护和红绿灯设施安装，改善城市环境，增强城市基础设施建设；二是对道路及其环境进行整治，加强安全隐患点摸排及整改，减少安全隐患，创建文明城市；三是加强公益广告宣传，营造宣传氛围。</w:t>
      </w:r>
      <w:r>
        <w:rPr>
          <w:rFonts w:ascii="仿宋" w:eastAsia="仿宋" w:hAnsi="仿宋" w:cs="仿宋" w:hint="eastAsia"/>
          <w:kern w:val="0"/>
          <w:sz w:val="32"/>
          <w:szCs w:val="32"/>
        </w:rPr>
        <w:t>下一步改进措施：</w:t>
      </w:r>
      <w:r>
        <w:rPr>
          <w:rFonts w:ascii="仿宋" w:eastAsia="仿宋" w:hAnsi="仿宋" w:cs="仿宋" w:hint="eastAsia"/>
          <w:spacing w:val="7"/>
          <w:kern w:val="0"/>
          <w:sz w:val="32"/>
          <w:szCs w:val="32"/>
        </w:rPr>
        <w:t>街道工作人员加大宣传力度。</w:t>
      </w:r>
    </w:p>
    <w:tbl>
      <w:tblPr>
        <w:tblpPr w:leftFromText="180" w:rightFromText="180" w:vertAnchor="text" w:horzAnchor="page" w:tblpX="1574" w:tblpY="397"/>
        <w:tblOverlap w:val="never"/>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E728FE">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kern w:val="0"/>
                <w:szCs w:val="21"/>
              </w:rPr>
            </w:pPr>
            <w:r>
              <w:rPr>
                <w:rFonts w:ascii="宋体" w:eastAsia="宋体" w:hAnsi="宋体" w:cs="仿宋_GB2312" w:hint="eastAsia"/>
                <w:kern w:val="0"/>
                <w:szCs w:val="21"/>
              </w:rPr>
              <w:t>项目</w:t>
            </w:r>
          </w:p>
          <w:p w:rsidR="00E728FE" w:rsidRDefault="00B0793E">
            <w:pPr>
              <w:widowControl/>
              <w:adjustRightInd w:val="0"/>
              <w:snapToGrid w:val="0"/>
              <w:jc w:val="center"/>
              <w:rPr>
                <w:rFonts w:ascii="宋体" w:eastAsia="宋体" w:hAnsi="宋体" w:cs="仿宋_GB2312"/>
                <w:kern w:val="0"/>
                <w:szCs w:val="21"/>
              </w:rPr>
            </w:pPr>
            <w:r>
              <w:rPr>
                <w:rFonts w:ascii="宋体" w:eastAsia="宋体" w:hAnsi="宋体" w:cs="仿宋_GB2312" w:hint="eastAsia"/>
                <w:kern w:val="0"/>
                <w:szCs w:val="21"/>
              </w:rPr>
              <w:t>名称</w:t>
            </w:r>
          </w:p>
        </w:tc>
        <w:tc>
          <w:tcPr>
            <w:tcW w:w="8015" w:type="dxa"/>
            <w:gridSpan w:val="11"/>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文明城市创建工作经费</w:t>
            </w:r>
          </w:p>
        </w:tc>
      </w:tr>
      <w:tr w:rsidR="00E728FE">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主管</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部门</w:t>
            </w:r>
          </w:p>
        </w:tc>
        <w:tc>
          <w:tcPr>
            <w:tcW w:w="3924"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温岭市人民政府城北街道办事处</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实施单位</w:t>
            </w:r>
          </w:p>
        </w:tc>
        <w:tc>
          <w:tcPr>
            <w:tcW w:w="2615"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温岭市人民政府城北街道办事处</w:t>
            </w:r>
          </w:p>
        </w:tc>
      </w:tr>
      <w:tr w:rsidR="00E728FE">
        <w:trPr>
          <w:trHeight w:hRule="exact" w:val="454"/>
        </w:trPr>
        <w:tc>
          <w:tcPr>
            <w:tcW w:w="95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项目</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资金(万元)</w:t>
            </w: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年初预算数</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全年预算数</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全年执行数</w:t>
            </w: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执行率</w:t>
            </w: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年度资金总额</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534</w:t>
            </w:r>
            <w:r>
              <w:rPr>
                <w:rFonts w:ascii="宋体" w:eastAsia="宋体" w:hAnsi="宋体" w:cs="仿宋_GB2312" w:hint="eastAsia"/>
                <w:spacing w:val="7"/>
                <w:kern w:val="0"/>
                <w:szCs w:val="21"/>
              </w:rPr>
              <w:t>.00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534</w:t>
            </w:r>
            <w:r>
              <w:rPr>
                <w:rFonts w:ascii="宋体" w:eastAsia="宋体" w:hAnsi="宋体" w:cs="仿宋_GB2312" w:hint="eastAsia"/>
                <w:spacing w:val="7"/>
                <w:kern w:val="0"/>
                <w:szCs w:val="21"/>
              </w:rPr>
              <w:t>.00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534</w:t>
            </w:r>
            <w:r>
              <w:rPr>
                <w:rFonts w:ascii="宋体" w:eastAsia="宋体" w:hAnsi="宋体" w:cs="仿宋_GB2312" w:hint="eastAsia"/>
                <w:spacing w:val="7"/>
                <w:kern w:val="0"/>
                <w:szCs w:val="21"/>
              </w:rPr>
              <w:t>.00</w:t>
            </w: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100%</w:t>
            </w: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其中：当年财政拨款</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534</w:t>
            </w:r>
            <w:r>
              <w:rPr>
                <w:rFonts w:ascii="宋体" w:eastAsia="宋体" w:hAnsi="宋体" w:cs="仿宋_GB2312" w:hint="eastAsia"/>
                <w:spacing w:val="7"/>
                <w:kern w:val="0"/>
                <w:szCs w:val="21"/>
              </w:rPr>
              <w:t>.00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534</w:t>
            </w:r>
            <w:r>
              <w:rPr>
                <w:rFonts w:ascii="宋体" w:eastAsia="宋体" w:hAnsi="宋体" w:cs="仿宋_GB2312" w:hint="eastAsia"/>
                <w:spacing w:val="7"/>
                <w:kern w:val="0"/>
                <w:szCs w:val="21"/>
              </w:rPr>
              <w:t>.00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534</w:t>
            </w:r>
            <w:r>
              <w:rPr>
                <w:rFonts w:ascii="宋体" w:eastAsia="宋体" w:hAnsi="宋体" w:cs="仿宋_GB2312" w:hint="eastAsia"/>
                <w:spacing w:val="7"/>
                <w:kern w:val="0"/>
                <w:szCs w:val="21"/>
              </w:rPr>
              <w:t>.00</w:t>
            </w: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100%</w:t>
            </w: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   上年结转资金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其他资金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454"/>
        </w:trPr>
        <w:tc>
          <w:tcPr>
            <w:tcW w:w="95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年度总体目标</w:t>
            </w:r>
          </w:p>
        </w:tc>
        <w:tc>
          <w:tcPr>
            <w:tcW w:w="3924"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预期目标</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实际完成情况</w:t>
            </w:r>
          </w:p>
        </w:tc>
      </w:tr>
      <w:tr w:rsidR="00E728FE">
        <w:trPr>
          <w:trHeight w:val="229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3924"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开展城区绿化养护、市政设施维护、红绿灯安装、护栏等设施修复等文明城市创建。</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资金全部投入到了文明城市创建的多项工作中：①对市政道路进行维护保养、绿化养护和红绿灯设施安装，改善城市环境，增强城市基础设施建设；②对道路及其环境进行整治，加强安全隐患点摸排及整改，减少安全隐患，创建文明城市；③加强公益广告宣传，营造宣传氛围。</w:t>
            </w:r>
          </w:p>
        </w:tc>
      </w:tr>
      <w:tr w:rsidR="00E728FE">
        <w:trPr>
          <w:trHeight w:val="1014"/>
        </w:trPr>
        <w:tc>
          <w:tcPr>
            <w:tcW w:w="458"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lastRenderedPageBreak/>
              <w:t>绩效指标</w:t>
            </w:r>
          </w:p>
        </w:tc>
        <w:tc>
          <w:tcPr>
            <w:tcW w:w="49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一级指标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二级</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三级</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年度</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指标值</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实际</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完成值</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权重</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得分</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偏差原因分析及改进措施</w:t>
            </w:r>
          </w:p>
        </w:tc>
      </w:tr>
      <w:tr w:rsidR="00E728FE">
        <w:trPr>
          <w:trHeight w:hRule="exact" w:val="110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rPr>
                <w:rFonts w:ascii="Calibri" w:hAnsi="Calibri" w:cs="Calibri"/>
                <w:sz w:val="20"/>
                <w:szCs w:val="20"/>
              </w:rPr>
            </w:pPr>
            <w:r>
              <w:rPr>
                <w:rFonts w:ascii="Calibri" w:hAnsi="Calibri" w:cs="Calibri" w:hint="eastAsia"/>
                <w:sz w:val="20"/>
                <w:szCs w:val="20"/>
              </w:rPr>
              <w:t>产出指标</w:t>
            </w:r>
          </w:p>
        </w:tc>
        <w:tc>
          <w:tcPr>
            <w:tcW w:w="993" w:type="dxa"/>
            <w:gridSpan w:val="2"/>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质量</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项目完成质量</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项目的实施全部达到预期目标</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项目全部达标</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15%</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01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时效</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及时性</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每月及时审核并支付各项费用，得5分；延期一个月，得3分；延期一个月以上，不得分。</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 xml:space="preserve">及时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5%</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24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成本</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项目成本控制率</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成本控制率=（预算数-实际支出）/预算数*100%，成本控制率为0时，得满分；每超过</w:t>
            </w:r>
            <w:r>
              <w:rPr>
                <w:rFonts w:ascii="宋体" w:eastAsia="宋体" w:hAnsi="宋体" w:cs="仿宋_GB2312" w:hint="eastAsia"/>
                <w:spacing w:val="7"/>
                <w:kern w:val="0"/>
                <w:szCs w:val="21"/>
                <w:u w:val="single"/>
              </w:rPr>
              <w:t>+</w:t>
            </w:r>
            <w:r>
              <w:rPr>
                <w:rFonts w:ascii="宋体" w:eastAsia="宋体" w:hAnsi="宋体" w:cs="仿宋_GB2312" w:hint="eastAsia"/>
                <w:spacing w:val="7"/>
                <w:kern w:val="0"/>
                <w:szCs w:val="21"/>
              </w:rPr>
              <w:t>10%扣1分，扣完为止。</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0</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03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效益指标</w:t>
            </w:r>
          </w:p>
        </w:tc>
        <w:tc>
          <w:tcPr>
            <w:tcW w:w="993" w:type="dxa"/>
            <w:gridSpan w:val="2"/>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社会效益指标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为基层提供优质计生服务提倡优生育，提高人口质量的成效</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88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adjustRightInd w:val="0"/>
              <w:snapToGrid w:val="0"/>
              <w:jc w:val="center"/>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加大宣传，居民素质明显提高</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街道工作人员加大宣传力度</w:t>
            </w:r>
          </w:p>
        </w:tc>
      </w:tr>
      <w:tr w:rsidR="00E728FE">
        <w:trPr>
          <w:trHeight w:hRule="exact" w:val="2029"/>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满意度</w:t>
            </w:r>
          </w:p>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服务对象满意度指标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街道工作人员对文明城市创建工作的满意度</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满意</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非常满意</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30%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30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总分</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100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98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优</w:t>
            </w:r>
          </w:p>
        </w:tc>
      </w:tr>
      <w:tr w:rsidR="00E728FE">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lastRenderedPageBreak/>
              <w:t>自评结论</w:t>
            </w:r>
          </w:p>
        </w:tc>
        <w:tc>
          <w:tcPr>
            <w:tcW w:w="4263"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kern w:val="0"/>
                <w:szCs w:val="21"/>
              </w:rPr>
              <w:t>优</w:t>
            </w:r>
            <w:r>
              <w:rPr>
                <w:rFonts w:ascii="宋体" w:eastAsia="宋体" w:hAnsi="宋体" w:cs="仿宋_GB2312" w:hint="eastAsia"/>
                <w:kern w:val="0"/>
                <w:szCs w:val="21"/>
              </w:rPr>
              <w:sym w:font="Wingdings 2" w:char="0052"/>
            </w:r>
            <w:r>
              <w:rPr>
                <w:rFonts w:ascii="宋体" w:eastAsia="宋体" w:hAnsi="宋体" w:cs="仿宋_GB2312" w:hint="eastAsia"/>
                <w:kern w:val="0"/>
                <w:szCs w:val="21"/>
              </w:rPr>
              <w:t xml:space="preserve">      良□      中□    差□</w:t>
            </w:r>
          </w:p>
        </w:tc>
        <w:tc>
          <w:tcPr>
            <w:tcW w:w="2867"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kern w:val="0"/>
                <w:szCs w:val="21"/>
              </w:rPr>
              <w:t>总分高于90分（含）的结论为“优”，90～80分（含）为“良”，80～60分（含）为“中”，低于60分为“差”。</w:t>
            </w:r>
          </w:p>
        </w:tc>
      </w:tr>
    </w:tbl>
    <w:p w:rsidR="00E728FE" w:rsidRDefault="00E728FE" w:rsidP="009830DC">
      <w:pPr>
        <w:pStyle w:val="NormalIndent1"/>
        <w:ind w:firstLine="420"/>
      </w:pPr>
    </w:p>
    <w:p w:rsidR="00E728FE" w:rsidRDefault="00E728FE">
      <w:pPr>
        <w:spacing w:line="600" w:lineRule="atLeast"/>
        <w:ind w:firstLine="640"/>
        <w:rPr>
          <w:rFonts w:ascii="仿宋" w:eastAsia="仿宋" w:hAnsi="仿宋" w:cs="仿宋"/>
          <w:spacing w:val="7"/>
          <w:kern w:val="0"/>
          <w:sz w:val="32"/>
          <w:szCs w:val="32"/>
        </w:rPr>
      </w:pPr>
    </w:p>
    <w:p w:rsidR="00E728FE" w:rsidRDefault="00B0793E">
      <w:pPr>
        <w:spacing w:line="600" w:lineRule="atLeast"/>
        <w:ind w:firstLine="640"/>
        <w:rPr>
          <w:rFonts w:ascii="仿宋" w:eastAsia="仿宋" w:hAnsi="仿宋" w:cs="仿宋"/>
          <w:spacing w:val="7"/>
          <w:kern w:val="0"/>
          <w:sz w:val="32"/>
          <w:szCs w:val="32"/>
        </w:rPr>
      </w:pPr>
      <w:r>
        <w:rPr>
          <w:rFonts w:ascii="仿宋" w:eastAsia="仿宋" w:hAnsi="仿宋" w:cs="仿宋" w:hint="eastAsia"/>
          <w:sz w:val="32"/>
          <w:szCs w:val="32"/>
        </w:rPr>
        <w:t>信访维稳项目绩效自评综述：根据年初设定的绩效目标，项目自评得分98分，自评结论为“优”。项目全年预算数为11.6万元，执行数为11.6万元，完成预算的100%。项目绩效目标完成情况：</w:t>
      </w:r>
      <w:r>
        <w:rPr>
          <w:rFonts w:ascii="仿宋" w:eastAsia="仿宋" w:hAnsi="仿宋" w:cs="仿宋" w:hint="eastAsia"/>
          <w:spacing w:val="7"/>
          <w:kern w:val="0"/>
          <w:sz w:val="32"/>
          <w:szCs w:val="32"/>
        </w:rPr>
        <w:t>一是利用大型活动进行信访宣传，提高群众法律意识；二是化解陈年积案，确保社会面稳定；三是实行信访信息员奖励，维护社会稳定。</w:t>
      </w:r>
      <w:r>
        <w:rPr>
          <w:rFonts w:ascii="仿宋" w:eastAsia="仿宋" w:hAnsi="仿宋" w:cs="仿宋" w:hint="eastAsia"/>
          <w:kern w:val="0"/>
          <w:sz w:val="32"/>
          <w:szCs w:val="32"/>
        </w:rPr>
        <w:t>下一步改进措施：加大宣传力度。</w:t>
      </w:r>
    </w:p>
    <w:tbl>
      <w:tblPr>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E728FE">
        <w:trPr>
          <w:trHeight w:val="607"/>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kern w:val="0"/>
                <w:szCs w:val="21"/>
              </w:rPr>
            </w:pPr>
            <w:r>
              <w:rPr>
                <w:rFonts w:ascii="宋体" w:eastAsia="宋体" w:hAnsi="宋体" w:cs="仿宋_GB2312" w:hint="eastAsia"/>
                <w:kern w:val="0"/>
                <w:szCs w:val="21"/>
              </w:rPr>
              <w:t>项目</w:t>
            </w:r>
          </w:p>
          <w:p w:rsidR="00E728FE" w:rsidRDefault="00B0793E">
            <w:pPr>
              <w:widowControl/>
              <w:adjustRightInd w:val="0"/>
              <w:snapToGrid w:val="0"/>
              <w:jc w:val="center"/>
              <w:rPr>
                <w:rFonts w:ascii="宋体" w:eastAsia="宋体" w:hAnsi="宋体" w:cs="仿宋_GB2312"/>
                <w:kern w:val="0"/>
                <w:szCs w:val="21"/>
              </w:rPr>
            </w:pPr>
            <w:r>
              <w:rPr>
                <w:rFonts w:ascii="宋体" w:eastAsia="宋体" w:hAnsi="宋体" w:cs="仿宋_GB2312" w:hint="eastAsia"/>
                <w:kern w:val="0"/>
                <w:szCs w:val="21"/>
              </w:rPr>
              <w:t>名称</w:t>
            </w:r>
          </w:p>
        </w:tc>
        <w:tc>
          <w:tcPr>
            <w:tcW w:w="8015" w:type="dxa"/>
            <w:gridSpan w:val="11"/>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信访维稳工作经费</w:t>
            </w:r>
          </w:p>
        </w:tc>
      </w:tr>
      <w:tr w:rsidR="00E728FE">
        <w:trPr>
          <w:trHeight w:val="672"/>
        </w:trPr>
        <w:tc>
          <w:tcPr>
            <w:tcW w:w="950"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主管</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部门</w:t>
            </w:r>
          </w:p>
        </w:tc>
        <w:tc>
          <w:tcPr>
            <w:tcW w:w="3924"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温岭市人民政府城北街道办事处</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实施单位</w:t>
            </w:r>
          </w:p>
        </w:tc>
        <w:tc>
          <w:tcPr>
            <w:tcW w:w="2615"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温岭市人民政府城北街道办事处</w:t>
            </w:r>
          </w:p>
        </w:tc>
      </w:tr>
      <w:tr w:rsidR="00E728FE">
        <w:trPr>
          <w:trHeight w:hRule="exact" w:val="454"/>
        </w:trPr>
        <w:tc>
          <w:tcPr>
            <w:tcW w:w="95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项目</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资金(万元)</w:t>
            </w: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年初预算数</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全年预算数</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全年执行数</w:t>
            </w: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执行率</w:t>
            </w: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年度资金总额</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11.60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11.60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11.60</w:t>
            </w: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100%</w:t>
            </w: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其中：当年财政拨款</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11.60</w:t>
            </w: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11.60</w:t>
            </w: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right"/>
              <w:rPr>
                <w:rFonts w:ascii="宋体" w:eastAsia="宋体" w:hAnsi="宋体" w:cs="仿宋_GB2312"/>
                <w:spacing w:val="7"/>
                <w:kern w:val="0"/>
                <w:szCs w:val="21"/>
              </w:rPr>
            </w:pPr>
            <w:r>
              <w:rPr>
                <w:rFonts w:ascii="宋体" w:eastAsia="宋体" w:hAnsi="宋体" w:cs="仿宋_GB2312"/>
                <w:spacing w:val="7"/>
                <w:kern w:val="0"/>
                <w:szCs w:val="21"/>
              </w:rPr>
              <w:t>11.60</w:t>
            </w: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100%</w:t>
            </w: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   上年结转资金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45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2463" w:type="dxa"/>
            <w:gridSpan w:val="4"/>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其他资金</w:t>
            </w:r>
          </w:p>
        </w:tc>
        <w:tc>
          <w:tcPr>
            <w:tcW w:w="146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47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608"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00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454"/>
        </w:trPr>
        <w:tc>
          <w:tcPr>
            <w:tcW w:w="95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年度总体目标</w:t>
            </w:r>
          </w:p>
        </w:tc>
        <w:tc>
          <w:tcPr>
            <w:tcW w:w="3924"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预期目标</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实际完成情况</w:t>
            </w:r>
          </w:p>
        </w:tc>
      </w:tr>
      <w:tr w:rsidR="00E728FE">
        <w:trPr>
          <w:trHeight w:val="2294"/>
        </w:trPr>
        <w:tc>
          <w:tcPr>
            <w:tcW w:w="950" w:type="dxa"/>
            <w:gridSpan w:val="2"/>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3924"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加大信访、维稳等宣传力度；化解陈年积案，实行奖励制度。</w:t>
            </w:r>
          </w:p>
        </w:tc>
        <w:tc>
          <w:tcPr>
            <w:tcW w:w="4091" w:type="dxa"/>
            <w:gridSpan w:val="6"/>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项目资金全部投入到了信访、维稳的多项工作中：①利用大型活动进行信访宣传，提高群众法律意识；②化解陈年积案，确保社会面稳定；③实行信访信息员奖励，维护社会稳定。</w:t>
            </w:r>
          </w:p>
        </w:tc>
      </w:tr>
      <w:tr w:rsidR="00E728FE">
        <w:trPr>
          <w:trHeight w:val="1014"/>
        </w:trPr>
        <w:tc>
          <w:tcPr>
            <w:tcW w:w="458"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lastRenderedPageBreak/>
              <w:t>绩效指标</w:t>
            </w:r>
          </w:p>
        </w:tc>
        <w:tc>
          <w:tcPr>
            <w:tcW w:w="49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一级指标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二级</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三级</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年度</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指标值</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实际</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完成值</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权重</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得分</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偏差原因分析及改进措施</w:t>
            </w:r>
          </w:p>
        </w:tc>
      </w:tr>
      <w:tr w:rsidR="00E728FE">
        <w:trPr>
          <w:trHeight w:hRule="exact" w:val="117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val="restart"/>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产出指标</w:t>
            </w:r>
          </w:p>
        </w:tc>
        <w:tc>
          <w:tcPr>
            <w:tcW w:w="993" w:type="dxa"/>
            <w:gridSpan w:val="2"/>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数量</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宣传资料发放册数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spacing w:val="7"/>
                <w:kern w:val="0"/>
                <w:szCs w:val="21"/>
              </w:rPr>
              <w:t>1000</w:t>
            </w:r>
            <w:r>
              <w:rPr>
                <w:rFonts w:ascii="宋体" w:eastAsia="宋体" w:hAnsi="宋体" w:cs="仿宋_GB2312" w:hint="eastAsia"/>
                <w:spacing w:val="7"/>
                <w:kern w:val="0"/>
                <w:szCs w:val="21"/>
              </w:rPr>
              <w:t>册</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spacing w:val="7"/>
                <w:kern w:val="0"/>
                <w:szCs w:val="21"/>
              </w:rPr>
              <w:t>1000</w:t>
            </w:r>
            <w:r>
              <w:rPr>
                <w:rFonts w:ascii="宋体" w:eastAsia="宋体" w:hAnsi="宋体" w:cs="仿宋_GB2312" w:hint="eastAsia"/>
                <w:spacing w:val="7"/>
                <w:kern w:val="0"/>
                <w:szCs w:val="21"/>
              </w:rPr>
              <w:t>册</w:t>
            </w:r>
          </w:p>
        </w:tc>
        <w:tc>
          <w:tcPr>
            <w:tcW w:w="795" w:type="dxa"/>
            <w:gridSpan w:val="2"/>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20%</w:t>
            </w:r>
          </w:p>
        </w:tc>
        <w:tc>
          <w:tcPr>
            <w:tcW w:w="765" w:type="dxa"/>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20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575"/>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宣传月横幅制作条数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spacing w:val="7"/>
                <w:kern w:val="0"/>
                <w:szCs w:val="21"/>
              </w:rPr>
              <w:t>10</w:t>
            </w:r>
            <w:r>
              <w:rPr>
                <w:rFonts w:ascii="宋体" w:eastAsia="宋体" w:hAnsi="宋体" w:cs="仿宋_GB2312" w:hint="eastAsia"/>
                <w:spacing w:val="7"/>
                <w:kern w:val="0"/>
                <w:szCs w:val="21"/>
              </w:rPr>
              <w:t>条</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spacing w:val="7"/>
                <w:kern w:val="0"/>
                <w:szCs w:val="21"/>
              </w:rPr>
              <w:t>10</w:t>
            </w:r>
            <w:r>
              <w:rPr>
                <w:rFonts w:ascii="宋体" w:eastAsia="宋体" w:hAnsi="宋体" w:cs="仿宋_GB2312" w:hint="eastAsia"/>
                <w:spacing w:val="7"/>
                <w:kern w:val="0"/>
                <w:szCs w:val="21"/>
              </w:rPr>
              <w:t>条</w:t>
            </w:r>
          </w:p>
        </w:tc>
        <w:tc>
          <w:tcPr>
            <w:tcW w:w="795"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765"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26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印发六部门联合打击公告份数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spacing w:val="7"/>
                <w:kern w:val="0"/>
                <w:szCs w:val="21"/>
              </w:rPr>
              <w:t>100</w:t>
            </w:r>
            <w:r>
              <w:rPr>
                <w:rFonts w:ascii="宋体" w:eastAsia="宋体" w:hAnsi="宋体" w:cs="仿宋_GB2312" w:hint="eastAsia"/>
                <w:spacing w:val="7"/>
                <w:kern w:val="0"/>
                <w:szCs w:val="21"/>
              </w:rPr>
              <w:t>份</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spacing w:val="7"/>
                <w:kern w:val="0"/>
                <w:szCs w:val="21"/>
              </w:rPr>
              <w:t>100</w:t>
            </w:r>
            <w:r>
              <w:rPr>
                <w:rFonts w:ascii="宋体" w:eastAsia="宋体" w:hAnsi="宋体" w:cs="仿宋_GB2312" w:hint="eastAsia"/>
                <w:spacing w:val="7"/>
                <w:kern w:val="0"/>
                <w:szCs w:val="21"/>
              </w:rPr>
              <w:t>份</w:t>
            </w:r>
          </w:p>
        </w:tc>
        <w:tc>
          <w:tcPr>
            <w:tcW w:w="795"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765"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26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993" w:type="dxa"/>
            <w:gridSpan w:val="2"/>
            <w:vMerge w:val="restart"/>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村级信访宣传画报份数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spacing w:val="7"/>
                <w:kern w:val="0"/>
                <w:szCs w:val="21"/>
              </w:rPr>
              <w:t>50</w:t>
            </w:r>
            <w:r>
              <w:rPr>
                <w:rFonts w:ascii="宋体" w:eastAsia="宋体" w:hAnsi="宋体" w:cs="仿宋_GB2312" w:hint="eastAsia"/>
                <w:spacing w:val="7"/>
                <w:kern w:val="0"/>
                <w:szCs w:val="21"/>
              </w:rPr>
              <w:t>份</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spacing w:val="7"/>
                <w:kern w:val="0"/>
                <w:szCs w:val="21"/>
              </w:rPr>
              <w:t>50</w:t>
            </w:r>
            <w:r>
              <w:rPr>
                <w:rFonts w:ascii="宋体" w:eastAsia="宋体" w:hAnsi="宋体" w:cs="仿宋_GB2312" w:hint="eastAsia"/>
                <w:spacing w:val="7"/>
                <w:kern w:val="0"/>
                <w:szCs w:val="21"/>
              </w:rPr>
              <w:t>份</w:t>
            </w:r>
          </w:p>
        </w:tc>
        <w:tc>
          <w:tcPr>
            <w:tcW w:w="795"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765"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26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化解信访积案数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2起</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2起</w:t>
            </w:r>
          </w:p>
        </w:tc>
        <w:tc>
          <w:tcPr>
            <w:tcW w:w="795"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765"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26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信访奖励件数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5件</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5件</w:t>
            </w:r>
          </w:p>
        </w:tc>
        <w:tc>
          <w:tcPr>
            <w:tcW w:w="795"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765"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26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信访经费件数</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1件</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1件</w:t>
            </w:r>
          </w:p>
        </w:tc>
        <w:tc>
          <w:tcPr>
            <w:tcW w:w="795"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765"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10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993" w:type="dxa"/>
            <w:gridSpan w:val="2"/>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质量</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项目完成质量</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项目的实施全部达到预期目标</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项目全部达标</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15%</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010"/>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时效</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及时性</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每月及时审核并支付各项费用，得5分；延期一个月，得3分；延期一个月以上，不得分。</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 xml:space="preserve">及时                                                                  </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5%</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5</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24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成本</w:t>
            </w:r>
          </w:p>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项目成本控制率</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成本控制率=（预算数-实际支出）/预算数*100%，成本控制率为0时，得满分；每超过</w:t>
            </w:r>
            <w:r>
              <w:rPr>
                <w:rFonts w:ascii="宋体" w:eastAsia="宋体" w:hAnsi="宋体" w:cs="仿宋_GB2312" w:hint="eastAsia"/>
                <w:spacing w:val="7"/>
                <w:kern w:val="0"/>
                <w:szCs w:val="21"/>
                <w:u w:val="single"/>
              </w:rPr>
              <w:t>+</w:t>
            </w:r>
            <w:r>
              <w:rPr>
                <w:rFonts w:ascii="宋体" w:eastAsia="宋体" w:hAnsi="宋体" w:cs="仿宋_GB2312" w:hint="eastAsia"/>
                <w:spacing w:val="7"/>
                <w:kern w:val="0"/>
                <w:szCs w:val="21"/>
              </w:rPr>
              <w:t>10%扣1分，扣完为止。</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0</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03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效益指标</w:t>
            </w:r>
          </w:p>
        </w:tc>
        <w:tc>
          <w:tcPr>
            <w:tcW w:w="993" w:type="dxa"/>
            <w:gridSpan w:val="2"/>
            <w:vMerge w:val="restart"/>
            <w:tcBorders>
              <w:top w:val="single" w:sz="6" w:space="0" w:color="auto"/>
              <w:left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社会效益指标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使群众能正确认识信访的方式方法，更加合理合法的剔除诉求</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1882"/>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adjustRightInd w:val="0"/>
              <w:snapToGrid w:val="0"/>
              <w:jc w:val="center"/>
              <w:rPr>
                <w:rFonts w:ascii="宋体" w:eastAsia="宋体" w:hAnsi="宋体" w:cs="仿宋_GB2312"/>
                <w:spacing w:val="7"/>
                <w:kern w:val="0"/>
                <w:szCs w:val="21"/>
              </w:rPr>
            </w:pPr>
          </w:p>
        </w:tc>
        <w:tc>
          <w:tcPr>
            <w:tcW w:w="993" w:type="dxa"/>
            <w:gridSpan w:val="2"/>
            <w:vMerge/>
            <w:tcBorders>
              <w:left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jc w:val="center"/>
              <w:rPr>
                <w:rFonts w:ascii="宋体" w:eastAsia="宋体" w:hAnsi="宋体" w:cs="仿宋_GB2312"/>
                <w:spacing w:val="7"/>
                <w:kern w:val="0"/>
                <w:szCs w:val="21"/>
              </w:rPr>
            </w:pP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化解陈年积案，就新增案件遏制在萌芽状态，确保社会面稳定</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显著</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10</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widowControl/>
              <w:adjustRightInd w:val="0"/>
              <w:snapToGrid w:val="0"/>
              <w:rPr>
                <w:rFonts w:ascii="宋体" w:eastAsia="宋体" w:hAnsi="宋体" w:cs="仿宋_GB2312"/>
                <w:spacing w:val="7"/>
                <w:kern w:val="0"/>
                <w:szCs w:val="21"/>
              </w:rPr>
            </w:pPr>
          </w:p>
        </w:tc>
      </w:tr>
      <w:tr w:rsidR="00E728FE">
        <w:trPr>
          <w:trHeight w:hRule="exact" w:val="2029"/>
        </w:trPr>
        <w:tc>
          <w:tcPr>
            <w:tcW w:w="458" w:type="dxa"/>
            <w:vMerge/>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E728FE">
            <w:pPr>
              <w:rPr>
                <w:rFonts w:ascii="Calibri" w:hAnsi="Calibri" w:cs="Calibri"/>
                <w:sz w:val="20"/>
                <w:szCs w:val="20"/>
              </w:rPr>
            </w:pPr>
          </w:p>
        </w:tc>
        <w:tc>
          <w:tcPr>
            <w:tcW w:w="49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满意度</w:t>
            </w:r>
          </w:p>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指标</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服务对象满意度指标</w:t>
            </w:r>
          </w:p>
        </w:tc>
        <w:tc>
          <w:tcPr>
            <w:tcW w:w="112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街道工作人员对信访维稳工作的满意度</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满意</w:t>
            </w:r>
          </w:p>
        </w:tc>
        <w:tc>
          <w:tcPr>
            <w:tcW w:w="1224"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非常满意</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30%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28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加大宣传力度</w:t>
            </w:r>
          </w:p>
        </w:tc>
      </w:tr>
      <w:tr w:rsidR="00E728FE">
        <w:trPr>
          <w:trHeight w:val="465"/>
        </w:trPr>
        <w:tc>
          <w:tcPr>
            <w:tcW w:w="6098" w:type="dxa"/>
            <w:gridSpan w:val="8"/>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总分</w:t>
            </w:r>
          </w:p>
        </w:tc>
        <w:tc>
          <w:tcPr>
            <w:tcW w:w="795"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100</w:t>
            </w:r>
          </w:p>
        </w:tc>
        <w:tc>
          <w:tcPr>
            <w:tcW w:w="765"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98</w:t>
            </w:r>
          </w:p>
        </w:tc>
        <w:tc>
          <w:tcPr>
            <w:tcW w:w="1307" w:type="dxa"/>
            <w:gridSpan w:val="2"/>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spacing w:val="7"/>
                <w:kern w:val="0"/>
                <w:szCs w:val="21"/>
              </w:rPr>
              <w:t>优</w:t>
            </w:r>
          </w:p>
        </w:tc>
      </w:tr>
      <w:tr w:rsidR="00E728FE">
        <w:trPr>
          <w:trHeight w:val="1428"/>
        </w:trPr>
        <w:tc>
          <w:tcPr>
            <w:tcW w:w="1835" w:type="dxa"/>
            <w:gridSpan w:val="3"/>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spacing w:val="7"/>
                <w:kern w:val="0"/>
                <w:szCs w:val="21"/>
              </w:rPr>
              <w:t>自评结论</w:t>
            </w:r>
          </w:p>
        </w:tc>
        <w:tc>
          <w:tcPr>
            <w:tcW w:w="4263"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jc w:val="center"/>
              <w:rPr>
                <w:rFonts w:ascii="宋体" w:eastAsia="宋体" w:hAnsi="宋体" w:cs="仿宋_GB2312"/>
                <w:spacing w:val="7"/>
                <w:kern w:val="0"/>
                <w:szCs w:val="21"/>
              </w:rPr>
            </w:pPr>
            <w:r>
              <w:rPr>
                <w:rFonts w:ascii="宋体" w:eastAsia="宋体" w:hAnsi="宋体" w:cs="仿宋_GB2312" w:hint="eastAsia"/>
                <w:kern w:val="0"/>
                <w:szCs w:val="21"/>
              </w:rPr>
              <w:t>优</w:t>
            </w:r>
            <w:r>
              <w:rPr>
                <w:rFonts w:ascii="宋体" w:eastAsia="宋体" w:hAnsi="宋体" w:cs="仿宋_GB2312" w:hint="eastAsia"/>
                <w:kern w:val="0"/>
                <w:szCs w:val="21"/>
              </w:rPr>
              <w:sym w:font="Wingdings 2" w:char="0052"/>
            </w:r>
            <w:r>
              <w:rPr>
                <w:rFonts w:ascii="宋体" w:eastAsia="宋体" w:hAnsi="宋体" w:cs="仿宋_GB2312" w:hint="eastAsia"/>
                <w:kern w:val="0"/>
                <w:szCs w:val="21"/>
              </w:rPr>
              <w:t xml:space="preserve">      良□      中□    差□</w:t>
            </w:r>
          </w:p>
        </w:tc>
        <w:tc>
          <w:tcPr>
            <w:tcW w:w="2867" w:type="dxa"/>
            <w:gridSpan w:val="5"/>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E728FE" w:rsidRDefault="00B0793E">
            <w:pPr>
              <w:widowControl/>
              <w:adjustRightInd w:val="0"/>
              <w:snapToGrid w:val="0"/>
              <w:rPr>
                <w:rFonts w:ascii="宋体" w:eastAsia="宋体" w:hAnsi="宋体" w:cs="仿宋_GB2312"/>
                <w:spacing w:val="7"/>
                <w:kern w:val="0"/>
                <w:szCs w:val="21"/>
              </w:rPr>
            </w:pPr>
            <w:r>
              <w:rPr>
                <w:rFonts w:ascii="宋体" w:eastAsia="宋体" w:hAnsi="宋体" w:cs="仿宋_GB2312" w:hint="eastAsia"/>
                <w:kern w:val="0"/>
                <w:szCs w:val="21"/>
              </w:rPr>
              <w:t>总分高于90分（含）的结论为“优”，90～80分（含）为“良”，80～60分（含）为“中”，低于60分为“差”。</w:t>
            </w:r>
          </w:p>
        </w:tc>
      </w:tr>
    </w:tbl>
    <w:p w:rsidR="00E728FE" w:rsidRDefault="00E728FE">
      <w:pPr>
        <w:widowControl/>
        <w:jc w:val="left"/>
      </w:pPr>
    </w:p>
    <w:p w:rsidR="00E728FE" w:rsidRDefault="00E728FE" w:rsidP="009830DC">
      <w:pPr>
        <w:pStyle w:val="NormalIndent1"/>
        <w:ind w:firstLine="420"/>
      </w:pPr>
    </w:p>
    <w:p w:rsidR="00E728FE" w:rsidRDefault="00B0793E">
      <w:pPr>
        <w:spacing w:line="600" w:lineRule="atLeast"/>
        <w:ind w:firstLine="640"/>
        <w:rPr>
          <w:rFonts w:ascii="仿宋" w:eastAsia="仿宋" w:hAnsi="仿宋" w:cs="仿宋"/>
          <w:sz w:val="32"/>
          <w:szCs w:val="32"/>
        </w:rPr>
      </w:pPr>
      <w:r>
        <w:rPr>
          <w:rStyle w:val="24"/>
          <w:rFonts w:ascii="仿宋" w:eastAsia="仿宋" w:hAnsi="仿宋" w:cs="仿宋" w:hint="eastAsia"/>
          <w:sz w:val="32"/>
          <w:szCs w:val="32"/>
        </w:rPr>
        <w:t>3.财政评价项目绩效评价结果</w:t>
      </w:r>
      <w:r>
        <w:rPr>
          <w:rFonts w:ascii="仿宋" w:eastAsia="仿宋" w:hAnsi="仿宋" w:cs="仿宋" w:hint="eastAsia"/>
          <w:sz w:val="32"/>
          <w:szCs w:val="32"/>
        </w:rPr>
        <w:t>。</w:t>
      </w:r>
    </w:p>
    <w:p w:rsidR="00E728FE" w:rsidRDefault="00B0793E">
      <w:pPr>
        <w:spacing w:line="600" w:lineRule="atLeast"/>
        <w:ind w:firstLine="640"/>
      </w:pPr>
      <w:r>
        <w:rPr>
          <w:rFonts w:ascii="仿宋" w:eastAsia="仿宋" w:hAnsi="仿宋" w:cs="仿宋" w:hint="eastAsia"/>
          <w:sz w:val="32"/>
          <w:szCs w:val="32"/>
        </w:rPr>
        <w:t>无</w:t>
      </w:r>
    </w:p>
    <w:p w:rsidR="00E728FE" w:rsidRDefault="00B0793E">
      <w:pPr>
        <w:spacing w:line="600" w:lineRule="atLeast"/>
        <w:ind w:left="640"/>
        <w:rPr>
          <w:rFonts w:ascii="仿宋" w:eastAsia="仿宋" w:hAnsi="仿宋" w:cs="仿宋"/>
          <w:sz w:val="32"/>
          <w:szCs w:val="32"/>
        </w:rPr>
      </w:pPr>
      <w:r>
        <w:rPr>
          <w:rStyle w:val="24"/>
          <w:rFonts w:ascii="仿宋" w:eastAsia="仿宋" w:hAnsi="仿宋" w:cs="仿宋" w:hint="eastAsia"/>
          <w:sz w:val="32"/>
          <w:szCs w:val="32"/>
        </w:rPr>
        <w:t>4.部门评价项目绩效评价结果</w:t>
      </w:r>
      <w:r>
        <w:rPr>
          <w:rFonts w:ascii="仿宋" w:eastAsia="仿宋" w:hAnsi="仿宋" w:cs="仿宋" w:hint="eastAsia"/>
          <w:sz w:val="32"/>
          <w:szCs w:val="32"/>
        </w:rPr>
        <w:t>。</w:t>
      </w:r>
    </w:p>
    <w:p w:rsidR="00E728FE" w:rsidRDefault="00B0793E">
      <w:pPr>
        <w:spacing w:line="600" w:lineRule="atLeast"/>
        <w:ind w:firstLine="640"/>
        <w:rPr>
          <w:rFonts w:ascii="仿宋" w:eastAsia="仿宋" w:hAnsi="仿宋" w:cs="仿宋"/>
          <w:kern w:val="0"/>
          <w:sz w:val="32"/>
          <w:szCs w:val="32"/>
        </w:rPr>
      </w:pPr>
      <w:r>
        <w:rPr>
          <w:rFonts w:ascii="仿宋" w:eastAsia="仿宋" w:hAnsi="仿宋" w:cs="仿宋" w:hint="eastAsia"/>
          <w:kern w:val="0"/>
          <w:sz w:val="32"/>
          <w:szCs w:val="32"/>
        </w:rPr>
        <w:t>组织对本部门开展整体支出绩效评价试点，从评价情况来看，等次为优。</w:t>
      </w:r>
    </w:p>
    <w:tbl>
      <w:tblPr>
        <w:tblpPr w:leftFromText="180" w:rightFromText="180" w:vertAnchor="text" w:horzAnchor="page" w:tblpX="314" w:tblpY="167"/>
        <w:tblOverlap w:val="never"/>
        <w:tblW w:w="11591" w:type="dxa"/>
        <w:tblLayout w:type="fixed"/>
        <w:tblLook w:val="04A0"/>
      </w:tblPr>
      <w:tblGrid>
        <w:gridCol w:w="695"/>
        <w:gridCol w:w="1009"/>
        <w:gridCol w:w="1228"/>
        <w:gridCol w:w="545"/>
        <w:gridCol w:w="236"/>
        <w:gridCol w:w="2464"/>
        <w:gridCol w:w="2346"/>
        <w:gridCol w:w="150"/>
        <w:gridCol w:w="791"/>
        <w:gridCol w:w="150"/>
        <w:gridCol w:w="1827"/>
        <w:gridCol w:w="150"/>
      </w:tblGrid>
      <w:tr w:rsidR="00E728FE">
        <w:trPr>
          <w:gridAfter w:val="1"/>
          <w:wAfter w:w="150" w:type="dxa"/>
          <w:trHeight w:val="936"/>
        </w:trPr>
        <w:tc>
          <w:tcPr>
            <w:tcW w:w="11441" w:type="dxa"/>
            <w:gridSpan w:val="11"/>
            <w:vMerge w:val="restart"/>
            <w:tcBorders>
              <w:top w:val="nil"/>
              <w:left w:val="nil"/>
              <w:bottom w:val="nil"/>
              <w:right w:val="nil"/>
            </w:tcBorders>
            <w:shd w:val="clear" w:color="auto" w:fill="auto"/>
            <w:noWrap/>
            <w:vAlign w:val="center"/>
          </w:tcPr>
          <w:p w:rsidR="00E728FE" w:rsidRDefault="00B0793E">
            <w:pPr>
              <w:widowControl/>
              <w:jc w:val="center"/>
              <w:textAlignment w:val="center"/>
              <w:rPr>
                <w:rFonts w:ascii="方正小标宋简体" w:eastAsia="方正小标宋简体" w:hAnsi="方正小标宋简体" w:cs="方正小标宋简体"/>
                <w:color w:val="000000"/>
                <w:sz w:val="42"/>
                <w:szCs w:val="42"/>
              </w:rPr>
            </w:pPr>
            <w:r>
              <w:rPr>
                <w:rFonts w:ascii="方正小标宋简体" w:eastAsia="方正小标宋简体" w:hAnsi="方正小标宋简体" w:cs="方正小标宋简体"/>
                <w:color w:val="000000"/>
                <w:kern w:val="0"/>
                <w:sz w:val="42"/>
                <w:szCs w:val="42"/>
              </w:rPr>
              <w:lastRenderedPageBreak/>
              <w:t>温岭市城北街道整体支出绩效评价指标与标准</w:t>
            </w:r>
          </w:p>
        </w:tc>
      </w:tr>
      <w:tr w:rsidR="00E728FE">
        <w:trPr>
          <w:gridAfter w:val="1"/>
          <w:wAfter w:w="150" w:type="dxa"/>
          <w:trHeight w:val="936"/>
        </w:trPr>
        <w:tc>
          <w:tcPr>
            <w:tcW w:w="11441" w:type="dxa"/>
            <w:gridSpan w:val="11"/>
            <w:vMerge/>
            <w:tcBorders>
              <w:top w:val="nil"/>
              <w:left w:val="nil"/>
              <w:bottom w:val="nil"/>
              <w:right w:val="nil"/>
            </w:tcBorders>
            <w:shd w:val="clear" w:color="auto" w:fill="auto"/>
            <w:noWrap/>
            <w:vAlign w:val="center"/>
          </w:tcPr>
          <w:p w:rsidR="00E728FE" w:rsidRDefault="00E728FE">
            <w:pPr>
              <w:jc w:val="center"/>
              <w:rPr>
                <w:rFonts w:ascii="方正小标宋简体" w:eastAsia="方正小标宋简体" w:hAnsi="方正小标宋简体" w:cs="方正小标宋简体"/>
                <w:color w:val="000000"/>
                <w:sz w:val="42"/>
                <w:szCs w:val="42"/>
              </w:rPr>
            </w:pPr>
          </w:p>
        </w:tc>
      </w:tr>
      <w:tr w:rsidR="00E728FE">
        <w:trPr>
          <w:gridAfter w:val="1"/>
          <w:wAfter w:w="150" w:type="dxa"/>
          <w:trHeight w:val="312"/>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  指标</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分值</w:t>
            </w:r>
          </w:p>
        </w:tc>
        <w:tc>
          <w:tcPr>
            <w:tcW w:w="2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指标内容</w:t>
            </w:r>
          </w:p>
        </w:tc>
        <w:tc>
          <w:tcPr>
            <w:tcW w:w="2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指标评价标准及对应分值</w:t>
            </w: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得分</w:t>
            </w:r>
          </w:p>
        </w:tc>
        <w:tc>
          <w:tcPr>
            <w:tcW w:w="1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得分原因</w:t>
            </w:r>
          </w:p>
        </w:tc>
      </w:tr>
      <w:tr w:rsidR="00E728FE">
        <w:trPr>
          <w:gridAfter w:val="1"/>
          <w:wAfter w:w="150" w:type="dxa"/>
          <w:trHeight w:val="312"/>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270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23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r>
      <w:tr w:rsidR="00E728FE">
        <w:trPr>
          <w:gridAfter w:val="1"/>
          <w:wAfter w:w="150" w:type="dxa"/>
          <w:trHeight w:val="1835"/>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投   入</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预算编制</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整体绩效目标 设定</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部门（含所属二级预算单位，下同）是否制定了年度预算整体绩效目标；整体绩效目标制定依据是否充分，是否与部门履职、年度工作任务相符；整体绩效目标是否清晰、细化、可衡量。</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设有整体绩效目标2分；目标设定依据充分符合客观实际1分；目标清晰、细化1分；目标可衡量1分；未设有整体绩效目标得0分。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根据2020年整体绩效目标表，目标设定依据充分、细化、可衡量，得5分</w:t>
            </w:r>
          </w:p>
        </w:tc>
      </w:tr>
      <w:tr w:rsidR="00E728FE">
        <w:trPr>
          <w:gridAfter w:val="1"/>
          <w:wAfter w:w="150" w:type="dxa"/>
          <w:trHeight w:val="675"/>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项目绩效目标 设定</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是否科学、合理设立了项目绩效目标；目标明确；目标细化；目标量化。</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项目均设有绩效目标得1分，发现一项未设置绩效目标得0分；目标科学合理0.5分；目标明确0.5分；目标细化0.5</w:t>
            </w:r>
            <w:bookmarkStart w:id="0" w:name="_GoBack"/>
            <w:bookmarkEnd w:id="0"/>
            <w:r>
              <w:rPr>
                <w:rFonts w:ascii="宋体" w:eastAsia="宋体" w:hAnsi="宋体" w:cs="宋体" w:hint="eastAsia"/>
                <w:color w:val="000000"/>
                <w:kern w:val="0"/>
                <w:sz w:val="18"/>
                <w:szCs w:val="18"/>
              </w:rPr>
              <w:t>分；目标量化0.5分。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项目均设有绩效目标，得1分；目标科学合理，得0.5分；目标明确，得0.5分，目标细化，得0.5分，目标量化，得0.5分。</w:t>
            </w:r>
          </w:p>
        </w:tc>
      </w:tr>
      <w:tr w:rsidR="00E728FE">
        <w:trPr>
          <w:gridAfter w:val="1"/>
          <w:wAfter w:w="150" w:type="dxa"/>
          <w:trHeight w:val="4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预算配置</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在职人员控制率</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在职人员控制率=[在职人员数/编制数]×100%</w:t>
            </w:r>
            <w:r>
              <w:rPr>
                <w:rFonts w:ascii="宋体" w:eastAsia="宋体" w:hAnsi="宋体" w:cs="宋体" w:hint="eastAsia"/>
                <w:color w:val="000000"/>
                <w:kern w:val="0"/>
                <w:sz w:val="18"/>
                <w:szCs w:val="18"/>
              </w:rPr>
              <w:br/>
              <w:t>在职人员数：部门实际在职人数，以财政确定的部门上年决算编制口径为准。编制数：机构编制部门核定批复的部门的人员编制数(含临时人员)。</w:t>
            </w:r>
          </w:p>
        </w:tc>
        <w:tc>
          <w:tcPr>
            <w:tcW w:w="2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结果≤100%，得3分；结果＞100%，得0分。</w:t>
            </w:r>
          </w:p>
        </w:tc>
        <w:tc>
          <w:tcPr>
            <w:tcW w:w="9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在职人员控制率=57/57=100%</w:t>
            </w:r>
          </w:p>
        </w:tc>
      </w:tr>
      <w:tr w:rsidR="00E728FE">
        <w:trPr>
          <w:gridAfter w:val="1"/>
          <w:wAfter w:w="150" w:type="dxa"/>
          <w:trHeight w:val="1119"/>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270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rPr>
                <w:rFonts w:ascii="宋体" w:eastAsia="宋体" w:hAnsi="宋体" w:cs="宋体"/>
                <w:color w:val="000000"/>
                <w:sz w:val="18"/>
                <w:szCs w:val="18"/>
              </w:rPr>
            </w:pPr>
          </w:p>
        </w:tc>
        <w:tc>
          <w:tcPr>
            <w:tcW w:w="23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left"/>
              <w:rPr>
                <w:rFonts w:ascii="宋体" w:eastAsia="宋体" w:hAnsi="宋体" w:cs="宋体"/>
                <w:color w:val="000000"/>
                <w:sz w:val="18"/>
                <w:szCs w:val="18"/>
              </w:rPr>
            </w:pPr>
          </w:p>
        </w:tc>
        <w:tc>
          <w:tcPr>
            <w:tcW w:w="94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97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r>
      <w:tr w:rsidR="00E728FE">
        <w:trPr>
          <w:gridAfter w:val="1"/>
          <w:wAfter w:w="150" w:type="dxa"/>
          <w:trHeight w:val="1401"/>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重点项目预算保障率</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2700" w:type="dxa"/>
            <w:gridSpan w:val="2"/>
            <w:tcBorders>
              <w:top w:val="single" w:sz="4" w:space="0" w:color="000000"/>
              <w:left w:val="single" w:sz="4" w:space="0" w:color="000000"/>
              <w:bottom w:val="nil"/>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重点项目预算保障率=（重点项目预算/项目总预算）×100%。</w:t>
            </w:r>
            <w:r>
              <w:rPr>
                <w:rFonts w:ascii="宋体" w:eastAsia="宋体" w:hAnsi="宋体" w:cs="宋体" w:hint="eastAsia"/>
                <w:color w:val="000000"/>
                <w:kern w:val="0"/>
                <w:sz w:val="18"/>
                <w:szCs w:val="18"/>
              </w:rPr>
              <w:br/>
              <w:t>重点项目预算：部门年度预算安排的，与本部门履职和发展密切相关、具有明显社会和经济影响的改革发展项目的预算总额。</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结果≥60%，得4分；400%＞结果≥80%，得2分；结果＜40%，得0分。（重点项目确认应与附件7相对应）</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重点项目预算保障率=（重点项目预算/项目总预算）×100%=3134.14/9675.21*100%=32.93%</w:t>
            </w:r>
          </w:p>
        </w:tc>
      </w:tr>
      <w:tr w:rsidR="00E728FE">
        <w:trPr>
          <w:gridAfter w:val="1"/>
          <w:wAfter w:w="150" w:type="dxa"/>
          <w:trHeight w:val="861"/>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过程</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管理制度</w:t>
            </w:r>
            <w:r>
              <w:rPr>
                <w:rFonts w:ascii="宋体" w:eastAsia="宋体" w:hAnsi="宋体" w:cs="宋体" w:hint="eastAsia"/>
                <w:color w:val="000000"/>
                <w:kern w:val="0"/>
                <w:sz w:val="18"/>
                <w:szCs w:val="18"/>
              </w:rPr>
              <w:br/>
              <w:t>健全有效</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预算资金管理办法、内部控制管理制度、全面实施预算绩效管理相关制度、会计核算制度等管理制度健全，且得到有效执行。</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每发现一项问题，扣1分，扣完为止。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制度健全，且得到有效执行。</w:t>
            </w:r>
          </w:p>
        </w:tc>
      </w:tr>
      <w:tr w:rsidR="00E728FE">
        <w:trPr>
          <w:gridAfter w:val="1"/>
          <w:wAfter w:w="150" w:type="dxa"/>
          <w:trHeight w:val="1341"/>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过程</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合规相符性</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支出合规</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部门预算资金使用是否符合国家财经法规和财务管理制度规定以及有关预算管理制度办法的规定；资金的拨付是否有完整的审批程序和手续；是否存在截留、挤占、挪用、虚列支出等情</w:t>
            </w:r>
            <w:r>
              <w:rPr>
                <w:rFonts w:ascii="宋体" w:eastAsia="宋体" w:hAnsi="宋体" w:cs="宋体" w:hint="eastAsia"/>
                <w:color w:val="000000"/>
                <w:kern w:val="0"/>
                <w:sz w:val="18"/>
                <w:szCs w:val="18"/>
              </w:rPr>
              <w:lastRenderedPageBreak/>
              <w:t>况。</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合规率100%得3分；每下降0.5%，扣0.5分，扣完为止。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支出100%合规</w:t>
            </w:r>
          </w:p>
        </w:tc>
      </w:tr>
      <w:tr w:rsidR="00E728FE">
        <w:trPr>
          <w:gridAfter w:val="1"/>
          <w:wAfter w:w="150" w:type="dxa"/>
          <w:trHeight w:val="68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合规相符性</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支出相符性</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部门预算资金使用是否与批准的预算及其预算内容相符合。</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相符率100%得3分；每发现1项不相符的，扣0.5分，扣完为止。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部门预算资金使用与批准的预算及其预算内容相符合。</w:t>
            </w:r>
          </w:p>
        </w:tc>
      </w:tr>
      <w:tr w:rsidR="00E728FE">
        <w:trPr>
          <w:gridAfter w:val="1"/>
          <w:wAfter w:w="150" w:type="dxa"/>
          <w:trHeight w:val="108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管理效率</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预算执行率</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2700" w:type="dxa"/>
            <w:gridSpan w:val="2"/>
            <w:tcBorders>
              <w:top w:val="single" w:sz="4" w:space="0" w:color="000000"/>
              <w:left w:val="single" w:sz="4" w:space="0" w:color="000000"/>
              <w:bottom w:val="nil"/>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预算执行率=[预算执行数/预算数]×100%。</w:t>
            </w:r>
            <w:r>
              <w:rPr>
                <w:rFonts w:ascii="宋体" w:eastAsia="宋体" w:hAnsi="宋体" w:cs="宋体" w:hint="eastAsia"/>
                <w:color w:val="000000"/>
                <w:kern w:val="0"/>
                <w:sz w:val="18"/>
                <w:szCs w:val="18"/>
              </w:rPr>
              <w:br/>
              <w:t>预算执行数：部门本年度实际执行的预算数。</w:t>
            </w:r>
            <w:r>
              <w:rPr>
                <w:rFonts w:ascii="宋体" w:eastAsia="宋体" w:hAnsi="宋体" w:cs="宋体" w:hint="eastAsia"/>
                <w:color w:val="000000"/>
                <w:kern w:val="0"/>
                <w:sz w:val="18"/>
                <w:szCs w:val="18"/>
              </w:rPr>
              <w:br/>
              <w:t>预算数：财政部门批复的本年度部门预算数。</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90%≤结果≤100%，得4分；每下降0.5%，扣0.5分，扣完为止。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预算执行率=[预算执行数/预算数]×100%=11874.16/12809.35=92.70%</w:t>
            </w:r>
          </w:p>
        </w:tc>
      </w:tr>
      <w:tr w:rsidR="00E728FE">
        <w:trPr>
          <w:gridAfter w:val="1"/>
          <w:wAfter w:w="150" w:type="dxa"/>
          <w:trHeight w:val="150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预算调整率</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nil"/>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预算调整率=[预算调整数/预算数]×100%</w:t>
            </w:r>
            <w:r>
              <w:rPr>
                <w:rFonts w:ascii="宋体" w:eastAsia="宋体" w:hAnsi="宋体" w:cs="宋体" w:hint="eastAsia"/>
                <w:color w:val="000000"/>
                <w:kern w:val="0"/>
                <w:sz w:val="18"/>
                <w:szCs w:val="18"/>
              </w:rPr>
              <w:br/>
              <w:t>预算调整数：部门在本年度内涉及预算的追加、追减或结构调整的资金总和（因落实国家政策、发生不可抗力、上级部门或党委政府临时交办、人员类经费而产生的调整除外）。</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结果≤5%，得3分；每提高1%，扣0.5分，扣完为止。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0</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预算调整率=[预算调整数/预算数]×100%=4868.58/12809.35=38.01%</w:t>
            </w:r>
          </w:p>
        </w:tc>
      </w:tr>
      <w:tr w:rsidR="00E728FE">
        <w:trPr>
          <w:gridAfter w:val="1"/>
          <w:wAfter w:w="150" w:type="dxa"/>
          <w:trHeight w:val="66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公用经费控制率</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公用经费控制率=[公用经费实际支出总额/公用经费预算安排总额]×100%</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结果≤100%，得2分；结果＞100%，得0分。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公用经费控制较好</w:t>
            </w:r>
          </w:p>
        </w:tc>
      </w:tr>
      <w:tr w:rsidR="00E728FE">
        <w:trPr>
          <w:gridAfter w:val="1"/>
          <w:wAfter w:w="150" w:type="dxa"/>
          <w:trHeight w:val="699"/>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“三公”经费控制率</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“三公”经费控制率=当年“三公”经费实际支出数/上年“三公”经费实际支出数）×100%。</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结果≤100%，得3分，每超过1%扣0.5分，扣完为止。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“三公”经费控制率=23.58/26.2=90.00%</w:t>
            </w:r>
          </w:p>
        </w:tc>
      </w:tr>
      <w:tr w:rsidR="00E728FE">
        <w:trPr>
          <w:gridAfter w:val="1"/>
          <w:wAfter w:w="150" w:type="dxa"/>
          <w:trHeight w:val="741"/>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政府采购执行率</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政府采购执行率=（实际政府采购项目个数/应政府采购项目个数）×100%。</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结果100%得2分，100%%-90%(含)得1分,小于90%得0分。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政府采购全部完成</w:t>
            </w:r>
          </w:p>
        </w:tc>
      </w:tr>
      <w:tr w:rsidR="00E728FE">
        <w:trPr>
          <w:gridAfter w:val="1"/>
          <w:wAfter w:w="150" w:type="dxa"/>
          <w:trHeight w:val="78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资产管理</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部门的资产是否配置合理合规、保存完整、使用有效、处置规范、收入及时足额上缴。</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每发现一项问题，扣0.5分，扣完为止。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部门的资产配置合理合规、保存完整、使用有效、处置规范、收入及时足额上缴。</w:t>
            </w:r>
          </w:p>
        </w:tc>
      </w:tr>
      <w:tr w:rsidR="00E728FE">
        <w:trPr>
          <w:gridAfter w:val="1"/>
          <w:wAfter w:w="150" w:type="dxa"/>
          <w:trHeight w:val="1620"/>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过程</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管理效率</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整改落实</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是否对近三年内审计、财政等部门各项检查、绩效评价等发现的问题进行有效整改。</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没发现问题或发现问题已积极制定措施全部整改的，得2分；部分整改的，视整改情况得分；未整改的，得0分。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近3年抽取经财政检查发现的问题已全部整改</w:t>
            </w:r>
          </w:p>
        </w:tc>
      </w:tr>
      <w:tr w:rsidR="00E728FE">
        <w:trPr>
          <w:gridAfter w:val="1"/>
          <w:wAfter w:w="150" w:type="dxa"/>
          <w:trHeight w:val="48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预决算公开</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按规定内容和时限公开预决算信息。</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每发现一项问题，扣0.5分，扣完为止。</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部门预算已按规定在市政府网站及时规范公开。</w:t>
            </w:r>
          </w:p>
        </w:tc>
      </w:tr>
      <w:tr w:rsidR="00E728FE">
        <w:trPr>
          <w:gridAfter w:val="1"/>
          <w:wAfter w:w="150" w:type="dxa"/>
          <w:trHeight w:val="1161"/>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产出与效益</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产出管理</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重点工作目标完成率</w:t>
            </w:r>
          </w:p>
        </w:tc>
        <w:tc>
          <w:tcPr>
            <w:tcW w:w="545" w:type="dxa"/>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提高重点工作目标完成率</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年度重点工作目标完成率100%的得4分，90%(含)-100%的得3.2分，80%（含）-90%的得2.4分，80%-70%（含）得1.8分,70%-60%（含）得1.2分,60%以下不得分。</w:t>
            </w:r>
          </w:p>
        </w:tc>
        <w:tc>
          <w:tcPr>
            <w:tcW w:w="941" w:type="dxa"/>
            <w:gridSpan w:val="2"/>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年度重点工基本完成</w:t>
            </w:r>
          </w:p>
        </w:tc>
      </w:tr>
      <w:tr w:rsidR="00E728FE">
        <w:trPr>
          <w:gridAfter w:val="1"/>
          <w:wAfter w:w="150" w:type="dxa"/>
          <w:trHeight w:val="1101"/>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项目完成率</w:t>
            </w:r>
          </w:p>
        </w:tc>
        <w:tc>
          <w:tcPr>
            <w:tcW w:w="545" w:type="dxa"/>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提高各项目支出完成率</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年度预算项目完成率100%的得4分，90%(含)-100%的得3.2分，80%（含）-90%的得2.4分，80%-70%（含）得1.8分,70%-60%（含）得1.2分,60%以下不得分。</w:t>
            </w:r>
          </w:p>
        </w:tc>
        <w:tc>
          <w:tcPr>
            <w:tcW w:w="941" w:type="dxa"/>
            <w:gridSpan w:val="2"/>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年度项目支出执行率91.8%，基本完成。</w:t>
            </w:r>
          </w:p>
        </w:tc>
      </w:tr>
      <w:tr w:rsidR="00E728FE">
        <w:trPr>
          <w:gridAfter w:val="1"/>
          <w:wAfter w:w="150" w:type="dxa"/>
          <w:trHeight w:val="8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项目绩效管理有效性</w:t>
            </w:r>
          </w:p>
        </w:tc>
        <w:tc>
          <w:tcPr>
            <w:tcW w:w="545" w:type="dxa"/>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强化项目绩效管理有效性</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所有项目均按要求开展绩效管理工作的得4分,部分项目按要求开展绩效管理工作的得3.2分,一般得2.4分,否则不得分。</w:t>
            </w:r>
          </w:p>
        </w:tc>
        <w:tc>
          <w:tcPr>
            <w:tcW w:w="941" w:type="dxa"/>
            <w:gridSpan w:val="2"/>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4</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所有项目均按要求开展绩效管理工作</w:t>
            </w:r>
          </w:p>
        </w:tc>
      </w:tr>
      <w:tr w:rsidR="00E728FE">
        <w:trPr>
          <w:gridAfter w:val="1"/>
          <w:wAfter w:w="150" w:type="dxa"/>
          <w:trHeight w:val="11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经济效益</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经济发展</w:t>
            </w:r>
          </w:p>
        </w:tc>
        <w:tc>
          <w:tcPr>
            <w:tcW w:w="545" w:type="dxa"/>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提高街道经济增长水平</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街道经济增长率超过全市平均水平，实现年度大幅增长目标的得3分，增长幅度较大的得2.4分，持平的得1.5分，低于市平均水平，没有实现增长目标的不得分。</w:t>
            </w:r>
          </w:p>
        </w:tc>
        <w:tc>
          <w:tcPr>
            <w:tcW w:w="941" w:type="dxa"/>
            <w:gridSpan w:val="2"/>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街道经济增长率超过全市平均水平，实现年度大幅增长目标</w:t>
            </w:r>
          </w:p>
        </w:tc>
      </w:tr>
      <w:tr w:rsidR="00E728FE">
        <w:trPr>
          <w:gridAfter w:val="1"/>
          <w:wAfter w:w="150" w:type="dxa"/>
          <w:trHeight w:val="1032"/>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提高街道农业、工业和服务业增长水平</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农业、工业和服务业实现年度大幅增长目标的得3分，增长幅度较大的得2.4分，持平的得1.5分，低于市平均水平，没有实现增长目标的不得分。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农业、工业和服务业实现年度大幅增长目标</w:t>
            </w:r>
          </w:p>
        </w:tc>
      </w:tr>
      <w:tr w:rsidR="00E728FE">
        <w:trPr>
          <w:gridAfter w:val="1"/>
          <w:wAfter w:w="150" w:type="dxa"/>
          <w:trHeight w:val="648"/>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提高生态化、科技化和集聚化程度</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生态化、科技化和集聚化的程度高的得3分，较高的得2.4分，一般的得1.5分，质量差的不得分。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生态化、科技化和集聚化的程度高</w:t>
            </w:r>
          </w:p>
        </w:tc>
      </w:tr>
      <w:tr w:rsidR="00E728FE">
        <w:trPr>
          <w:gridAfter w:val="1"/>
          <w:wAfter w:w="150" w:type="dxa"/>
          <w:trHeight w:val="684"/>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财政收入</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年度财政预算收入任务完成情况</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完成预算任务的得2分，每超出一个百分点，加0.1分，累计得分不超过3分；未完成得1分。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完成预算任务100%</w:t>
            </w:r>
          </w:p>
        </w:tc>
      </w:tr>
      <w:tr w:rsidR="00E728FE">
        <w:trPr>
          <w:gridAfter w:val="1"/>
          <w:wAfter w:w="150" w:type="dxa"/>
          <w:trHeight w:val="10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社会效益</w:t>
            </w: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社会稳定</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年度就业增长情况</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年度新增就业数情况好的得2分，较好的得1.6分，一般的得1.2分，不好的不得分。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1.60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就业增长情况较好</w:t>
            </w:r>
          </w:p>
        </w:tc>
      </w:tr>
      <w:tr w:rsidR="00E728FE">
        <w:trPr>
          <w:gridAfter w:val="1"/>
          <w:wAfter w:w="150" w:type="dxa"/>
          <w:trHeight w:val="7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提升生产、生活安全水平</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生产、生活安全水平高的得2分，较高的得1.6分，一般的得1.2分，不安全的不得分。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1.82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根据问卷，生产、生活和生态安全水平，得2分(认为安全人数68×2+较安全人数22×1.6+一般人数12×1.2)/问卷有效总数100×100%=1.82分</w:t>
            </w:r>
          </w:p>
        </w:tc>
      </w:tr>
      <w:tr w:rsidR="00E728FE">
        <w:trPr>
          <w:gridAfter w:val="1"/>
          <w:wAfter w:w="150" w:type="dxa"/>
          <w:trHeight w:val="96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民生事业促进</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加强教育文化发展水平</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教育文化发展水平高的得2分，较高的得1.6分，一般的得1.2分，不高的不得分。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1.85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通过问卷调查，测定镇（街道）公众对镇（街道）基础教育发展水平的评价，本指标得分=(满意份数76×2+比较满意份数14×1.6+一般份数12×1.2)/有效问卷总份数100×100%=1.85分。</w:t>
            </w:r>
          </w:p>
        </w:tc>
      </w:tr>
      <w:tr w:rsidR="00E728FE">
        <w:trPr>
          <w:gridAfter w:val="1"/>
          <w:wAfter w:w="150" w:type="dxa"/>
          <w:trHeight w:val="11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提高社会保障水平</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社会保障水平高的得2分，较高的得1.6分，一般的得1.2分，不高的不得分。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1.80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通过问卷调查，测定镇（街道）公众对镇（街道）社会保障水平的评价，本指标得分=(满意份数68×2+比较满意份数17×1.6+一般份数17×1.2)/有效问卷总份数100×100%=1.80分。</w:t>
            </w:r>
          </w:p>
        </w:tc>
      </w:tr>
      <w:tr w:rsidR="00E728FE">
        <w:trPr>
          <w:gridAfter w:val="1"/>
          <w:wAfter w:w="150" w:type="dxa"/>
          <w:trHeight w:val="96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提高医疗卫生水平</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医疗卫生水平高的得2分，较高的得1.6分，一般的得1.2分，不高的不得分。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1.80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通过问卷调查，测定镇（街道）公众对镇（街道）医疗卫生水平的评价，本指标得分=(满意份数67×2+比较满意份数28×1.6+一般份数4×1.2)/有效问卷总份数100×100%=1.80分。</w:t>
            </w:r>
          </w:p>
        </w:tc>
      </w:tr>
      <w:tr w:rsidR="00E728FE">
        <w:trPr>
          <w:gridAfter w:val="1"/>
          <w:wAfter w:w="150" w:type="dxa"/>
          <w:trHeight w:val="8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城镇化建设</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增加街道居民人口</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本年街道居民人口与上年人口相比集聚程度较大幅度增加的得2分，小幅增加的得1.6分，持平的得1.2分，减少的不得分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本年街道居民人口与上年人口相比集聚程度较大幅度增加</w:t>
            </w:r>
          </w:p>
        </w:tc>
      </w:tr>
      <w:tr w:rsidR="00E728FE">
        <w:trPr>
          <w:gridAfter w:val="1"/>
          <w:wAfter w:w="150" w:type="dxa"/>
          <w:trHeight w:val="7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提升基本公共服务</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基本公共服务均等合理的得2分，较为均等合理的得1.6分，一般的得1.2分，不均等的不得分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基本公共服务较为均等合理</w:t>
            </w:r>
          </w:p>
        </w:tc>
      </w:tr>
      <w:tr w:rsidR="00E728FE">
        <w:trPr>
          <w:gridAfter w:val="1"/>
          <w:wAfter w:w="150" w:type="dxa"/>
          <w:trHeight w:val="7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提升城镇品位</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城镇品位得到提升大幅提升的得1分，提升幅度较大的得0.8分，差不多的得0.6分，倒退的不得分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城镇品位提升幅度较大</w:t>
            </w:r>
          </w:p>
        </w:tc>
      </w:tr>
      <w:tr w:rsidR="00E728FE">
        <w:trPr>
          <w:gridAfter w:val="1"/>
          <w:wAfter w:w="150" w:type="dxa"/>
          <w:trHeight w:val="106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提高城镇居民人均可支配收入</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本年城镇居民人均可支配收入与上年城镇居民人均可支配收入的相比增长的得1分，持平的得0.6分，负增长的不得分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本年城镇居民人均可支配收入与上年城镇居民人均可支配收入的相比增长</w:t>
            </w:r>
          </w:p>
        </w:tc>
      </w:tr>
      <w:tr w:rsidR="00E728FE">
        <w:trPr>
          <w:gridAfter w:val="1"/>
          <w:wAfter w:w="150" w:type="dxa"/>
          <w:trHeight w:val="8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空气质量</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提升空气质量</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当年空气质量与上年空气质量相比达到优级的得2分，空气质量下降的不得分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当年空气质量与上年空气质量相比达到优级</w:t>
            </w:r>
          </w:p>
        </w:tc>
      </w:tr>
      <w:tr w:rsidR="00E728FE">
        <w:trPr>
          <w:gridAfter w:val="1"/>
          <w:wAfter w:w="150" w:type="dxa"/>
          <w:trHeight w:val="6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水质</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水质改善或提升</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水质达到五类标准的得2分，劣五类水质减少的得1.5分，水质无改善的1分，水质下降的不得分。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水质达到五类标准</w:t>
            </w:r>
          </w:p>
        </w:tc>
      </w:tr>
      <w:tr w:rsidR="00E728FE">
        <w:trPr>
          <w:gridAfter w:val="1"/>
          <w:wAfter w:w="150" w:type="dxa"/>
          <w:trHeight w:val="72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人均公共绿地面积</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增加人均公共绿地面积</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当地居民拥有的平均绿地面积比上年大幅增长的得1分，略有增长的得0.8分，持平的得0.6分，负增长的不得分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当地居民拥有的平均绿地面积比上年大幅增长</w:t>
            </w:r>
          </w:p>
        </w:tc>
      </w:tr>
      <w:tr w:rsidR="00E728FE">
        <w:trPr>
          <w:gridAfter w:val="1"/>
          <w:wAfter w:w="150" w:type="dxa"/>
          <w:trHeight w:val="96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居住环境</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提高群众对居住环境的满意度</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群众对居住环境的满意度=(很满意人数﹡2+比较满意人数﹡1.6+基本满意人数﹡1.2)/问卷有效总数﹡100%</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1.82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通过问卷调查，测定镇（街道）公众对镇（街道）医疗卫生水平的评价，本指标得分=(满意份数64×2+比较满意份数32×1.6+一般份数5×1.2)/有效问卷总份数100×100%=1.82分。</w:t>
            </w:r>
          </w:p>
        </w:tc>
      </w:tr>
      <w:tr w:rsidR="00E728FE">
        <w:trPr>
          <w:gridAfter w:val="1"/>
          <w:wAfter w:w="150" w:type="dxa"/>
          <w:trHeight w:val="78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可持续发展</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现有的可持续发展因素支持</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加大可持续发展因素如政策、资金、技术等能完全支持</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现有的可持续发展因素如政策、资金、技术等能完全支持可持续发展的得2分，较能支持的得1.6分，一般的得1.2分，不能支持的不得分。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1.6</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现有的可持续发展因素如政策、资金、技术等较能支持可持续发展</w:t>
            </w:r>
          </w:p>
        </w:tc>
      </w:tr>
      <w:tr w:rsidR="00E728FE">
        <w:trPr>
          <w:gridAfter w:val="1"/>
          <w:wAfter w:w="150" w:type="dxa"/>
          <w:trHeight w:val="8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中长期规划的支持</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制定中长期规划如政策、资金、技术等能完全支持可持续发展</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中长期规划制定如政策、资金、技术等能完全支持可持续发展的得1分，较能支持</w:t>
            </w:r>
            <w:r>
              <w:rPr>
                <w:rFonts w:ascii="宋体" w:eastAsia="宋体" w:hAnsi="宋体" w:cs="宋体" w:hint="eastAsia"/>
                <w:color w:val="000000"/>
                <w:kern w:val="0"/>
                <w:sz w:val="18"/>
                <w:szCs w:val="18"/>
              </w:rPr>
              <w:lastRenderedPageBreak/>
              <w:t>的得0.8分，一般的得0.6分，不能支持的不得分。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lastRenderedPageBreak/>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中长期规划制定如政策、资金、技术等较能支持可持续发展</w:t>
            </w:r>
          </w:p>
        </w:tc>
      </w:tr>
      <w:tr w:rsidR="00E728FE">
        <w:trPr>
          <w:gridAfter w:val="1"/>
          <w:wAfter w:w="150" w:type="dxa"/>
          <w:trHeight w:val="64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社会公众满意度</w:t>
            </w:r>
          </w:p>
        </w:tc>
        <w:tc>
          <w:tcPr>
            <w:tcW w:w="1228" w:type="dxa"/>
            <w:tcBorders>
              <w:top w:val="single" w:sz="4" w:space="0" w:color="000000"/>
              <w:left w:val="single" w:sz="4" w:space="0" w:color="000000"/>
              <w:bottom w:val="single" w:sz="4" w:space="0" w:color="000000"/>
              <w:right w:val="nil"/>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政府考核</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反映部门在全市目标责任制考核情况。</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全市部门考核优秀为2分，良好为1.6分，合格为1.2分，不合格得0分。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全市部门考核优秀</w:t>
            </w:r>
          </w:p>
        </w:tc>
      </w:tr>
      <w:tr w:rsidR="00E728FE">
        <w:trPr>
          <w:gridAfter w:val="1"/>
          <w:wAfter w:w="150" w:type="dxa"/>
          <w:trHeight w:val="1480"/>
        </w:trPr>
        <w:tc>
          <w:tcPr>
            <w:tcW w:w="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E728FE">
            <w:pPr>
              <w:jc w:val="center"/>
              <w:rPr>
                <w:rFonts w:ascii="宋体" w:eastAsia="宋体" w:hAnsi="宋体" w:cs="宋体"/>
                <w:color w:val="000000"/>
                <w:sz w:val="18"/>
                <w:szCs w:val="18"/>
              </w:rPr>
            </w:pPr>
          </w:p>
        </w:tc>
        <w:tc>
          <w:tcPr>
            <w:tcW w:w="1228" w:type="dxa"/>
            <w:tcBorders>
              <w:top w:val="single" w:sz="4" w:space="0" w:color="000000"/>
              <w:left w:val="single" w:sz="4" w:space="0" w:color="000000"/>
              <w:bottom w:val="single" w:sz="4" w:space="0" w:color="000000"/>
              <w:right w:val="nil"/>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公众对政府工作的满意程度</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社会公众对部门履职的满意度。</w:t>
            </w:r>
          </w:p>
        </w:tc>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按收集到的满意度情况得分。根据问卷结果加权计算得分</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1.84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通过问卷调查，测定镇（街道）公众对镇（街道）医疗卫生水平的评价，本指标得分=(满意份数74×2+比较满意份数15×1.6+一般份数13×1.2)/有效问卷总份数100×100%=1.82分。</w:t>
            </w:r>
          </w:p>
        </w:tc>
      </w:tr>
      <w:tr w:rsidR="00E728FE">
        <w:trPr>
          <w:trHeight w:val="720"/>
        </w:trPr>
        <w:tc>
          <w:tcPr>
            <w:tcW w:w="29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总分合计</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c>
          <w:tcPr>
            <w:tcW w:w="236" w:type="dxa"/>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评价等级</w:t>
            </w:r>
          </w:p>
        </w:tc>
        <w:tc>
          <w:tcPr>
            <w:tcW w:w="4960" w:type="dxa"/>
            <w:gridSpan w:val="3"/>
            <w:tcBorders>
              <w:top w:val="nil"/>
              <w:left w:val="single" w:sz="4" w:space="0" w:color="000000"/>
              <w:bottom w:val="single" w:sz="4" w:space="0" w:color="000000"/>
              <w:right w:val="single" w:sz="4" w:space="0" w:color="000000"/>
            </w:tcBorders>
            <w:shd w:val="clear" w:color="auto" w:fill="auto"/>
            <w:vAlign w:val="center"/>
          </w:tcPr>
          <w:p w:rsidR="00E728FE" w:rsidRDefault="00B0793E">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90分（含）以上为优、80（含）-90分为良、60（含）-80分为中、60分以下为差。</w:t>
            </w:r>
          </w:p>
        </w:tc>
        <w:tc>
          <w:tcPr>
            <w:tcW w:w="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 xml:space="preserve">91.13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8FE" w:rsidRDefault="00B0793E">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优</w:t>
            </w:r>
          </w:p>
        </w:tc>
      </w:tr>
    </w:tbl>
    <w:p w:rsidR="00E728FE" w:rsidRDefault="00E728FE">
      <w:pPr>
        <w:pStyle w:val="NormalIndent1"/>
        <w:ind w:left="640" w:firstLineChars="0" w:firstLine="0"/>
      </w:pPr>
    </w:p>
    <w:p w:rsidR="00E728FE" w:rsidRDefault="00E728FE">
      <w:pPr>
        <w:spacing w:line="600" w:lineRule="atLeast"/>
        <w:ind w:firstLine="640"/>
        <w:rPr>
          <w:rFonts w:ascii="仿宋" w:eastAsia="仿宋" w:hAnsi="仿宋" w:cs="仿宋"/>
          <w:sz w:val="32"/>
          <w:szCs w:val="32"/>
        </w:rPr>
      </w:pPr>
    </w:p>
    <w:p w:rsidR="00E728FE" w:rsidRDefault="00E728FE" w:rsidP="009830DC">
      <w:pPr>
        <w:pStyle w:val="NormalIndent1"/>
        <w:ind w:firstLine="640"/>
        <w:rPr>
          <w:rFonts w:ascii="仿宋" w:eastAsia="仿宋" w:hAnsi="仿宋" w:cs="仿宋"/>
          <w:sz w:val="32"/>
          <w:szCs w:val="32"/>
        </w:rPr>
      </w:pPr>
    </w:p>
    <w:p w:rsidR="00E728FE" w:rsidRDefault="00E728FE" w:rsidP="009830DC">
      <w:pPr>
        <w:pStyle w:val="NormalIndent1"/>
        <w:ind w:firstLine="640"/>
        <w:rPr>
          <w:rFonts w:ascii="仿宋" w:eastAsia="仿宋" w:hAnsi="仿宋" w:cs="仿宋"/>
          <w:sz w:val="32"/>
          <w:szCs w:val="32"/>
        </w:rPr>
      </w:pPr>
    </w:p>
    <w:p w:rsidR="00E728FE" w:rsidRDefault="00E728FE" w:rsidP="009830DC">
      <w:pPr>
        <w:pStyle w:val="NormalIndent1"/>
        <w:ind w:firstLine="640"/>
        <w:rPr>
          <w:rFonts w:ascii="仿宋" w:eastAsia="仿宋" w:hAnsi="仿宋" w:cs="仿宋"/>
          <w:sz w:val="32"/>
          <w:szCs w:val="32"/>
        </w:rPr>
      </w:pPr>
    </w:p>
    <w:p w:rsidR="00E728FE" w:rsidRDefault="00E728FE" w:rsidP="009830DC">
      <w:pPr>
        <w:pStyle w:val="NormalIndent1"/>
        <w:ind w:firstLine="420"/>
      </w:pPr>
    </w:p>
    <w:p w:rsidR="00E728FE" w:rsidRDefault="00B0793E">
      <w:pPr>
        <w:widowControl/>
        <w:snapToGrid w:val="0"/>
        <w:spacing w:line="600" w:lineRule="atLeast"/>
        <w:ind w:firstLine="640"/>
        <w:rPr>
          <w:rFonts w:ascii="宋体" w:eastAsia="宋体" w:hAnsi="宋体" w:cs="宋体"/>
          <w:kern w:val="0"/>
          <w:sz w:val="24"/>
        </w:rPr>
      </w:pPr>
      <w:r>
        <w:rPr>
          <w:rFonts w:ascii="黑体" w:eastAsia="黑体" w:hAnsi="宋体" w:cs="黑体" w:hint="eastAsia"/>
          <w:kern w:val="0"/>
          <w:sz w:val="32"/>
          <w:szCs w:val="32"/>
        </w:rPr>
        <w:t>四、名词解释</w:t>
      </w:r>
    </w:p>
    <w:p w:rsidR="00E728FE" w:rsidRDefault="00B0793E">
      <w:pPr>
        <w:spacing w:line="600" w:lineRule="atLeast"/>
        <w:ind w:firstLine="640"/>
      </w:pPr>
      <w:r>
        <w:rPr>
          <w:rFonts w:ascii="仿宋" w:eastAsia="仿宋" w:hAnsi="仿宋" w:cs="仿宋" w:hint="eastAsia"/>
          <w:sz w:val="32"/>
          <w:szCs w:val="32"/>
        </w:rPr>
        <w:t>1.财政拨款收入：指本级财政部门当年拨付的财政预算资金，包括一般公共预算财政拨款、政府性基金预算财政拨款和国有资本经预算财政拨款。</w:t>
      </w:r>
    </w:p>
    <w:p w:rsidR="00E728FE" w:rsidRDefault="00B0793E">
      <w:pPr>
        <w:spacing w:line="600" w:lineRule="atLeast"/>
        <w:ind w:firstLine="640"/>
      </w:pPr>
      <w:r>
        <w:rPr>
          <w:rFonts w:ascii="仿宋" w:eastAsia="仿宋" w:hAnsi="仿宋" w:cs="仿宋" w:hint="eastAsia"/>
          <w:sz w:val="32"/>
          <w:szCs w:val="32"/>
        </w:rPr>
        <w:t>2.事业收入：指事业单位开展专业业务活动及辅助活动所取得的收入。</w:t>
      </w:r>
    </w:p>
    <w:p w:rsidR="00E728FE" w:rsidRDefault="00B0793E">
      <w:pPr>
        <w:spacing w:line="600" w:lineRule="atLeast"/>
        <w:ind w:firstLine="640"/>
      </w:pPr>
      <w:r>
        <w:rPr>
          <w:rFonts w:ascii="仿宋" w:eastAsia="仿宋" w:hAnsi="仿宋" w:cs="仿宋" w:hint="eastAsia"/>
          <w:sz w:val="32"/>
          <w:szCs w:val="32"/>
        </w:rPr>
        <w:t>3.经营收入：指事业单位在专业业务活动及辅助活动之</w:t>
      </w:r>
      <w:r>
        <w:rPr>
          <w:rFonts w:ascii="仿宋" w:eastAsia="仿宋" w:hAnsi="仿宋" w:cs="仿宋" w:hint="eastAsia"/>
          <w:sz w:val="32"/>
          <w:szCs w:val="32"/>
        </w:rPr>
        <w:lastRenderedPageBreak/>
        <w:t>外开展非独立核算经营活动取得的收入。</w:t>
      </w:r>
    </w:p>
    <w:p w:rsidR="00E728FE" w:rsidRDefault="00B0793E">
      <w:pPr>
        <w:spacing w:line="600" w:lineRule="atLeast"/>
        <w:ind w:firstLine="640"/>
      </w:pPr>
      <w:r>
        <w:rPr>
          <w:rFonts w:ascii="仿宋" w:eastAsia="仿宋" w:hAnsi="仿宋" w:cs="仿宋" w:hint="eastAsia"/>
          <w:sz w:val="32"/>
          <w:szCs w:val="32"/>
        </w:rPr>
        <w:t>4.上级补助收入：指事业单位从主管部门和上级单位取得的非财政补助收入。</w:t>
      </w:r>
    </w:p>
    <w:p w:rsidR="00E728FE" w:rsidRDefault="00B0793E">
      <w:pPr>
        <w:spacing w:line="600" w:lineRule="atLeast"/>
        <w:ind w:firstLine="640"/>
      </w:pPr>
      <w:r>
        <w:rPr>
          <w:rFonts w:ascii="仿宋" w:eastAsia="仿宋" w:hAnsi="仿宋" w:cs="仿宋" w:hint="eastAsia"/>
          <w:sz w:val="32"/>
          <w:szCs w:val="32"/>
        </w:rPr>
        <w:t>5.附属单位上缴收入：指事业单位附属独立核算单位按照有关规定上缴的收入。</w:t>
      </w:r>
    </w:p>
    <w:p w:rsidR="00E728FE" w:rsidRDefault="00B0793E">
      <w:pPr>
        <w:spacing w:line="600" w:lineRule="atLeast"/>
        <w:ind w:firstLine="640"/>
      </w:pPr>
      <w:r>
        <w:rPr>
          <w:rFonts w:ascii="仿宋" w:eastAsia="仿宋" w:hAnsi="仿宋" w:cs="仿宋" w:hint="eastAsia"/>
          <w:sz w:val="32"/>
          <w:szCs w:val="32"/>
        </w:rPr>
        <w:t>6.其他收入：指预算单位在“财政拨款”、“事业收入”、“经营收入”、“上级补助收入”、“附属单位上缴收入”等之外取得的各项收入。</w:t>
      </w:r>
    </w:p>
    <w:p w:rsidR="00E728FE" w:rsidRDefault="00B0793E">
      <w:pPr>
        <w:spacing w:line="600" w:lineRule="atLeast"/>
        <w:ind w:firstLine="640"/>
      </w:pPr>
      <w:r>
        <w:rPr>
          <w:rFonts w:ascii="仿宋" w:eastAsia="仿宋" w:hAnsi="仿宋" w:cs="仿宋" w:hint="eastAsia"/>
          <w:sz w:val="32"/>
          <w:szCs w:val="32"/>
        </w:rPr>
        <w:t>7.使用非财政拨款结余：指事业单位使用以前年度积累的非财政拨款结余弥补当年收支差额的金额。</w:t>
      </w:r>
    </w:p>
    <w:p w:rsidR="00E728FE" w:rsidRDefault="00B0793E">
      <w:pPr>
        <w:spacing w:line="600" w:lineRule="atLeast"/>
        <w:ind w:firstLine="640"/>
      </w:pPr>
      <w:r>
        <w:rPr>
          <w:rFonts w:ascii="仿宋" w:eastAsia="仿宋" w:hAnsi="仿宋" w:cs="仿宋" w:hint="eastAsia"/>
          <w:sz w:val="32"/>
          <w:szCs w:val="32"/>
        </w:rPr>
        <w:t>8.年初结转和结余：指预算单位以前年度尚未完成、结转到本年仍按原规定用途继续使用的资金。</w:t>
      </w:r>
    </w:p>
    <w:p w:rsidR="00E728FE" w:rsidRDefault="00B0793E">
      <w:pPr>
        <w:spacing w:line="600" w:lineRule="atLeast"/>
        <w:ind w:firstLine="640"/>
      </w:pPr>
      <w:r>
        <w:rPr>
          <w:rFonts w:ascii="仿宋" w:eastAsia="仿宋" w:hAnsi="仿宋" w:cs="仿宋" w:hint="eastAsia"/>
          <w:sz w:val="32"/>
          <w:szCs w:val="32"/>
        </w:rPr>
        <w:t>9.年末结转和结余：指单位按有关规定结转到下年或以后年度继续使用的资金。</w:t>
      </w:r>
    </w:p>
    <w:p w:rsidR="00E728FE" w:rsidRDefault="00B0793E">
      <w:pPr>
        <w:spacing w:line="600" w:lineRule="atLeast"/>
        <w:ind w:firstLine="640"/>
      </w:pPr>
      <w:r>
        <w:rPr>
          <w:rFonts w:ascii="仿宋" w:eastAsia="仿宋" w:hAnsi="仿宋" w:cs="仿宋" w:hint="eastAsia"/>
          <w:sz w:val="32"/>
          <w:szCs w:val="32"/>
        </w:rPr>
        <w:t>10.基本支出：指预算单位为保障其正常运转，完成日常工作任务所发生的支出，包括人员经费支出和日常公用经费支出。</w:t>
      </w:r>
    </w:p>
    <w:p w:rsidR="00E728FE" w:rsidRDefault="00B0793E">
      <w:pPr>
        <w:spacing w:line="600" w:lineRule="atLeast"/>
        <w:ind w:firstLine="640"/>
      </w:pPr>
      <w:r>
        <w:rPr>
          <w:rFonts w:ascii="仿宋" w:eastAsia="仿宋" w:hAnsi="仿宋" w:cs="仿宋" w:hint="eastAsia"/>
          <w:sz w:val="32"/>
          <w:szCs w:val="32"/>
        </w:rPr>
        <w:t>11.项目支出：指预算单位为完成其特定的行政工作任务或事业发展目标所发生的支出。</w:t>
      </w:r>
    </w:p>
    <w:p w:rsidR="00E728FE" w:rsidRDefault="00B0793E">
      <w:pPr>
        <w:spacing w:line="600" w:lineRule="atLeast"/>
        <w:ind w:firstLine="640"/>
      </w:pPr>
      <w:r>
        <w:rPr>
          <w:rFonts w:ascii="仿宋" w:eastAsia="仿宋" w:hAnsi="仿宋" w:cs="仿宋" w:hint="eastAsia"/>
          <w:sz w:val="32"/>
          <w:szCs w:val="32"/>
        </w:rPr>
        <w:t>12.上缴上级支出：填列事业单位按照财政部门和主管部门的规定上缴上级单位的支出。</w:t>
      </w:r>
    </w:p>
    <w:p w:rsidR="00E728FE" w:rsidRDefault="00B0793E">
      <w:pPr>
        <w:spacing w:line="600" w:lineRule="atLeast"/>
        <w:ind w:firstLine="640"/>
      </w:pPr>
      <w:r>
        <w:rPr>
          <w:rFonts w:ascii="仿宋" w:eastAsia="仿宋" w:hAnsi="仿宋" w:cs="仿宋" w:hint="eastAsia"/>
          <w:sz w:val="32"/>
          <w:szCs w:val="32"/>
        </w:rPr>
        <w:t>13.经营支出：指事业单位在专业业务活动及其辅助活</w:t>
      </w:r>
      <w:r>
        <w:rPr>
          <w:rFonts w:ascii="仿宋" w:eastAsia="仿宋" w:hAnsi="仿宋" w:cs="仿宋" w:hint="eastAsia"/>
          <w:sz w:val="32"/>
          <w:szCs w:val="32"/>
        </w:rPr>
        <w:lastRenderedPageBreak/>
        <w:t>动之外开展非独立核算经营活动发生的支出。</w:t>
      </w:r>
    </w:p>
    <w:p w:rsidR="00E728FE" w:rsidRDefault="00B0793E">
      <w:pPr>
        <w:spacing w:line="600" w:lineRule="atLeast"/>
        <w:ind w:firstLine="640"/>
      </w:pPr>
      <w:r>
        <w:rPr>
          <w:rFonts w:ascii="仿宋" w:eastAsia="仿宋" w:hAnsi="仿宋" w:cs="仿宋" w:hint="eastAsia"/>
          <w:sz w:val="32"/>
          <w:szCs w:val="32"/>
        </w:rPr>
        <w:t>14.附属单位补助支出：填列事业单位用财政补助收入之外的收入对附属单位补助发生的支出。</w:t>
      </w:r>
    </w:p>
    <w:p w:rsidR="00E728FE" w:rsidRDefault="00B0793E">
      <w:pPr>
        <w:spacing w:line="600" w:lineRule="atLeast"/>
        <w:ind w:firstLine="640"/>
      </w:pPr>
      <w:r>
        <w:rPr>
          <w:rFonts w:ascii="仿宋" w:eastAsia="仿宋" w:hAnsi="仿宋" w:cs="仿宋" w:hint="eastAsia"/>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E728FE" w:rsidRDefault="00B0793E">
      <w:pPr>
        <w:spacing w:line="600" w:lineRule="atLeast"/>
        <w:ind w:firstLine="640"/>
      </w:pPr>
      <w:r>
        <w:rPr>
          <w:rFonts w:ascii="仿宋" w:eastAsia="仿宋" w:hAnsi="仿宋" w:cs="仿宋"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17.一般公共服务支出（类）人大事务（款）其他人大事务支出（项）：指其他人大事务支出。</w:t>
      </w:r>
    </w:p>
    <w:p w:rsidR="00E728FE" w:rsidRDefault="00B0793E">
      <w:pPr>
        <w:spacing w:line="600" w:lineRule="atLeast"/>
        <w:ind w:firstLine="640"/>
      </w:pPr>
      <w:r>
        <w:rPr>
          <w:rFonts w:ascii="仿宋" w:eastAsia="仿宋" w:hAnsi="仿宋" w:cs="Arial" w:hint="eastAsia"/>
          <w:sz w:val="32"/>
          <w:szCs w:val="32"/>
        </w:rPr>
        <w:t>18.一般公共服务支出（类）政府办公厅（室）及相关机构事务（款）行政运行（项）：指行政单位（包括实行公</w:t>
      </w:r>
      <w:r>
        <w:rPr>
          <w:rFonts w:ascii="仿宋" w:eastAsia="仿宋" w:hAnsi="仿宋" w:cs="Arial" w:hint="eastAsia"/>
          <w:sz w:val="32"/>
          <w:szCs w:val="32"/>
        </w:rPr>
        <w:lastRenderedPageBreak/>
        <w:t>务员管理的事业单位）的基本支出。</w:t>
      </w:r>
    </w:p>
    <w:p w:rsidR="00E728FE" w:rsidRDefault="00B0793E">
      <w:pPr>
        <w:spacing w:line="600" w:lineRule="atLeast"/>
        <w:ind w:firstLine="640"/>
      </w:pPr>
      <w:r>
        <w:rPr>
          <w:rFonts w:ascii="仿宋" w:eastAsia="仿宋" w:hAnsi="仿宋" w:cs="Arial" w:hint="eastAsia"/>
          <w:sz w:val="32"/>
          <w:szCs w:val="32"/>
        </w:rPr>
        <w:t>19.一般公共服务支出（类）政府办公厅（室）及相关机构事务（款）事业运行（项）：指事业单位的基本支出，不包括行政单位（包括实行公务员管理的事业单位）。</w:t>
      </w:r>
    </w:p>
    <w:p w:rsidR="00E728FE" w:rsidRDefault="00B0793E">
      <w:pPr>
        <w:spacing w:line="600" w:lineRule="atLeast"/>
        <w:ind w:firstLine="640"/>
      </w:pPr>
      <w:r>
        <w:rPr>
          <w:rFonts w:ascii="仿宋" w:eastAsia="仿宋" w:hAnsi="仿宋" w:cs="Arial" w:hint="eastAsia"/>
          <w:sz w:val="32"/>
          <w:szCs w:val="32"/>
        </w:rPr>
        <w:t>20.一般公共服务支出（类）政府办公厅（室）及相关机构事务（款）其他政府办公厅（室）及相关机构事务支出（项）：指其他政府办公厅（室）及相关机构事务支出。</w:t>
      </w:r>
    </w:p>
    <w:p w:rsidR="00E728FE" w:rsidRDefault="00B0793E">
      <w:pPr>
        <w:spacing w:line="600" w:lineRule="atLeast"/>
        <w:ind w:firstLine="640"/>
      </w:pPr>
      <w:r>
        <w:rPr>
          <w:rFonts w:ascii="仿宋" w:eastAsia="仿宋" w:hAnsi="仿宋" w:cs="Arial" w:hint="eastAsia"/>
          <w:sz w:val="32"/>
          <w:szCs w:val="32"/>
        </w:rPr>
        <w:t>21.一般公共服务支出（类）统计信息事务（款）其他统计管理（项）：指统计管理事务支出。</w:t>
      </w:r>
    </w:p>
    <w:p w:rsidR="00E728FE" w:rsidRDefault="00B0793E">
      <w:pPr>
        <w:spacing w:line="600" w:lineRule="atLeast"/>
        <w:ind w:firstLine="640"/>
      </w:pPr>
      <w:r>
        <w:rPr>
          <w:rFonts w:ascii="仿宋" w:eastAsia="仿宋" w:hAnsi="仿宋" w:cs="Arial" w:hint="eastAsia"/>
          <w:sz w:val="32"/>
          <w:szCs w:val="32"/>
        </w:rPr>
        <w:t>22.一般公共服务支出（类）纪检监察事务（款）其他纪检监察事务支出（项）：指其他纪检监察事务方面的支出。</w:t>
      </w:r>
    </w:p>
    <w:p w:rsidR="00E728FE" w:rsidRDefault="00B0793E">
      <w:pPr>
        <w:spacing w:line="600" w:lineRule="atLeast"/>
        <w:ind w:firstLine="640"/>
      </w:pPr>
      <w:r>
        <w:rPr>
          <w:rFonts w:ascii="仿宋" w:eastAsia="仿宋" w:hAnsi="仿宋" w:cs="Arial" w:hint="eastAsia"/>
          <w:sz w:val="32"/>
          <w:szCs w:val="32"/>
        </w:rPr>
        <w:t>23.一般公共服务支出（类）群众团体事务（款）其他群众团体事务支出（项）：指其他用于群众团体事务方面的支出。</w:t>
      </w:r>
    </w:p>
    <w:p w:rsidR="00E728FE" w:rsidRDefault="00B0793E">
      <w:pPr>
        <w:spacing w:line="600" w:lineRule="atLeast"/>
        <w:ind w:firstLine="640"/>
      </w:pPr>
      <w:r>
        <w:rPr>
          <w:rFonts w:ascii="仿宋" w:eastAsia="仿宋" w:hAnsi="仿宋" w:cs="Arial" w:hint="eastAsia"/>
          <w:sz w:val="32"/>
          <w:szCs w:val="32"/>
        </w:rPr>
        <w:t>24.一般公共服务支出（类）其他共产党事务支出（款）其他共产党事务支出（项）：指其他用于中国共产党事务的支出。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25.一般公共服务支出（类）其他一般公共服务支出（款）其他一般公共服务支出（项）：指其他一般公共服务支出。</w:t>
      </w:r>
    </w:p>
    <w:p w:rsidR="00E728FE" w:rsidRDefault="00B0793E">
      <w:pPr>
        <w:spacing w:line="600" w:lineRule="atLeast"/>
        <w:ind w:firstLine="640"/>
      </w:pPr>
      <w:r>
        <w:rPr>
          <w:rFonts w:ascii="仿宋" w:eastAsia="仿宋" w:hAnsi="仿宋" w:cs="Arial" w:hint="eastAsia"/>
          <w:sz w:val="32"/>
          <w:szCs w:val="32"/>
        </w:rPr>
        <w:t>26.公共安全支出（类）公安（款）其他公安支出（项）：指其他用于公安方面的支出。</w:t>
      </w:r>
    </w:p>
    <w:p w:rsidR="00E728FE" w:rsidRDefault="00B0793E">
      <w:pPr>
        <w:spacing w:line="600" w:lineRule="atLeast"/>
        <w:ind w:firstLine="640"/>
      </w:pPr>
      <w:r>
        <w:rPr>
          <w:rFonts w:ascii="仿宋" w:eastAsia="仿宋" w:hAnsi="仿宋" w:cs="Arial" w:hint="eastAsia"/>
          <w:sz w:val="32"/>
          <w:szCs w:val="32"/>
        </w:rPr>
        <w:t>27.教育支出（类）其他教育支出（款）其他教育支出</w:t>
      </w:r>
      <w:r>
        <w:rPr>
          <w:rFonts w:ascii="仿宋" w:eastAsia="仿宋" w:hAnsi="仿宋" w:cs="Arial" w:hint="eastAsia"/>
          <w:sz w:val="32"/>
          <w:szCs w:val="32"/>
        </w:rPr>
        <w:lastRenderedPageBreak/>
        <w:t>（项）：指其他用于教育方面的支出。</w:t>
      </w:r>
    </w:p>
    <w:p w:rsidR="00E728FE" w:rsidRDefault="00B0793E">
      <w:pPr>
        <w:spacing w:line="600" w:lineRule="atLeast"/>
        <w:ind w:firstLine="640"/>
      </w:pPr>
      <w:r>
        <w:rPr>
          <w:rFonts w:ascii="仿宋" w:eastAsia="仿宋" w:hAnsi="仿宋" w:cs="Arial" w:hint="eastAsia"/>
          <w:sz w:val="32"/>
          <w:szCs w:val="32"/>
        </w:rPr>
        <w:t>28.科学技术支出（类）其他科学技术支出（款）其他科学技术支出（项）：指其他科学技术支出。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29.文化旅游体育与传媒支出（类）文化和旅游（款）群众文化（项）：指群众文化方面的支出。</w:t>
      </w:r>
    </w:p>
    <w:p w:rsidR="00E728FE" w:rsidRDefault="00B0793E">
      <w:pPr>
        <w:spacing w:line="600" w:lineRule="atLeast"/>
        <w:ind w:firstLine="640"/>
      </w:pPr>
      <w:r>
        <w:rPr>
          <w:rFonts w:ascii="仿宋" w:eastAsia="仿宋" w:hAnsi="仿宋" w:cs="Arial" w:hint="eastAsia"/>
          <w:sz w:val="32"/>
          <w:szCs w:val="32"/>
        </w:rPr>
        <w:t>30.文化旅游体育与传媒支出（类）文化和旅游（款）其他文化和旅游支出（项）：指其他用于文化和旅游方面的支出。</w:t>
      </w:r>
    </w:p>
    <w:p w:rsidR="00E728FE" w:rsidRDefault="00B0793E">
      <w:pPr>
        <w:spacing w:line="600" w:lineRule="atLeast"/>
        <w:ind w:firstLine="640"/>
      </w:pPr>
      <w:r>
        <w:rPr>
          <w:rFonts w:ascii="仿宋" w:eastAsia="仿宋" w:hAnsi="仿宋" w:cs="Arial" w:hint="eastAsia"/>
          <w:sz w:val="32"/>
          <w:szCs w:val="32"/>
        </w:rPr>
        <w:t>31.文化旅游体育与传媒支出（类）体育（款）群众体育（项）：指业余体校和全民健身等群众体育活动方面的支出。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32.社会保障和就业支出（类）人力资源和社会保障管理事务（款）劳动保障监察（项）：指劳动保障监察事务支出。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33.社会保障和就业支出（类）民政管理事务（款）基层政权和社区建设（项）：指开展村民自治、村务公开等基层政权和社区建设工作的支出。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34. 社会保障和就业支出（类）民政管理事务（款）其他民政管理事务支出（项）：指民政部门接待来访、法制建设、政策宣传方面的支出，以及开展优抚安置、救灾减灾、社会救助、社会福利、婚姻登记、社会事务、信息化建设等专项业务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lastRenderedPageBreak/>
        <w:t>35.社会保障和就业支出（类）行政事业单位养老支出（款）行政单位离退休（项）：指未实行归口管理的行政单位（包括实行公务员管理的事业单位）开支的离退休支出。</w:t>
      </w:r>
    </w:p>
    <w:p w:rsidR="00E728FE" w:rsidRDefault="00B0793E">
      <w:pPr>
        <w:spacing w:line="600" w:lineRule="atLeast"/>
        <w:ind w:firstLine="640"/>
      </w:pPr>
      <w:r>
        <w:rPr>
          <w:rFonts w:ascii="仿宋" w:eastAsia="仿宋" w:hAnsi="仿宋" w:cs="Arial" w:hint="eastAsia"/>
          <w:sz w:val="32"/>
          <w:szCs w:val="32"/>
        </w:rPr>
        <w:t>36.社会保障和就业支出（类）行政事业单位养老支出（款）机关事业单位基本养老保险缴费支出（项）：指机关事业单位实施养老保险制度由单位缴纳的基本养老保险支出。</w:t>
      </w:r>
    </w:p>
    <w:p w:rsidR="00E728FE" w:rsidRDefault="00B0793E">
      <w:pPr>
        <w:spacing w:line="600" w:lineRule="atLeast"/>
        <w:ind w:firstLine="640"/>
      </w:pPr>
      <w:r>
        <w:rPr>
          <w:rFonts w:ascii="仿宋" w:eastAsia="仿宋" w:hAnsi="仿宋" w:cs="Arial" w:hint="eastAsia"/>
          <w:sz w:val="32"/>
          <w:szCs w:val="32"/>
        </w:rPr>
        <w:t>37.社会保障和就业支出（类）行政事业单位养老支出（款）机关事业单位职业年金缴费支出（项）：指机关事业单位实施养老保险制度由单位实际缴纳的职业年金支出。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38.社会保障和就业支出（类）抚恤（款）死亡抚恤（项）：指按规定用于烈士和牺牲、病故人员家属的一次性和定期抚恤金以及丧葬补助费。</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39.社会保障和就业支出（类）抚恤（款）伤残抚恤（项）：指按规定用于伤残人员的抚恤金和按规定开支的各种伤残补助费。</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40.社会保障和就业支出（类）抚恤（款）在乡复员、退伍军人生活补助（项）：指在乡退伍红军老战士、1954年10月31日前入伍的在乡复员军人、按规定办理带病回乡手续的退伍军人生活补助。</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41.社会保障和就业支出（类）抚恤（款）义务兵优待（项）：指用于义务兵优待方面的支出。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lastRenderedPageBreak/>
        <w:t>42.社会保障和就业支出（类）抚恤（款）农村籍退役士兵老年生活补助（项）：指1954年11月1日试行义务兵役制后至《退役士兵安置条例》实施前入伍、年龄在60周岁以上（含60周岁）、未享受到国家定期抚恤补助的农村籍退役士兵的老年生活补助。</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43.社会保障和就业支出（类）抚恤（款）其他优抚支出（项）：指其他用于优抚方面的支出。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44.社会保障和就业支出（类）退役安置（款）退役士兵安置（项）：指按规定用于伤残义务兵的一次性建房补助，对符合条件的退役士兵、转业士官的安置支出。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45.社会保障和就业支出（类）社会福利（款）儿童福利（项）：指对儿童提供福利服务方面的支出。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46.社会保障和就业支出（类）社会福利（款）老年福利（项）：指对老年人提供福利服务方面的支出。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47.社会保障和就业支出（类）社会福利（款）养老服务（项）：指财政在养老服务方面的补助支出，包括支出养老服务机构提供居家社区养老服务的支出，对养老服务机构的运营、建设补助支出等，不包括对社会福利事业单位的补助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48.社会保障和就业支出（类）社会福利（款）其他社会福利支出（项）：指其他用于社会福利方面的支出。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49.社会保障和就业支出（类）残疾人事业（款）残疾</w:t>
      </w:r>
      <w:r>
        <w:rPr>
          <w:rFonts w:ascii="仿宋" w:eastAsia="仿宋" w:hAnsi="仿宋" w:cs="Arial" w:hint="eastAsia"/>
          <w:sz w:val="32"/>
          <w:szCs w:val="32"/>
        </w:rPr>
        <w:lastRenderedPageBreak/>
        <w:t>人康复（项）：指残疾人联合会用于残疾人康复方面的支出。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50.社会保障和就业支出（类）残疾人事业（款）残疾人就业和扶贫（项）：指残疾人联合会用于残疾人就业和扶贫方面的支出。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51社会保障和就业支出（类）残疾人事业（款）残疾人生活和护理补贴（项）：指困难残疾人生活补贴和重度残疾人护理补贴支出。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52.社会保障和就业支出（类）残疾人事业（款）其他残疾人事业支出（项）：指其他用于残疾人事业方面的支出。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53.社会保障和就业支出（类）最低生活保障（款）城市最低生活保障金支出（项）：指城市最低生活保障对象的最低生活保障金支出。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54.社会保障和就业支出（类）临时救助（款）临时救助支出（项）：指用于城乡生活困难居民的临时救助支出。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55.社会保障和就业支出（类）特困人员救助供养（款）城市特困人员救助供养支出（项）：指城市特困人员救助供养支出。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56.社会保障和就业支出（类）其他生活救助（款）其他城市生活救助（项）：指用于城市生活困难居民生活救助的其他支出。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57.社会保障和就业支出（类）其他生活救助（款）其他农村生活救助（项）：指用于农村生活困难居民生活救助</w:t>
      </w:r>
      <w:r>
        <w:rPr>
          <w:rFonts w:ascii="仿宋" w:eastAsia="仿宋" w:hAnsi="仿宋" w:cs="Arial" w:hint="eastAsia"/>
          <w:sz w:val="32"/>
          <w:szCs w:val="32"/>
        </w:rPr>
        <w:lastRenderedPageBreak/>
        <w:t>的其他支出。</w:t>
      </w:r>
    </w:p>
    <w:p w:rsidR="00E728FE" w:rsidRDefault="00B0793E">
      <w:pPr>
        <w:spacing w:line="600" w:lineRule="atLeast"/>
        <w:ind w:firstLineChars="200" w:firstLine="640"/>
        <w:rPr>
          <w:rFonts w:ascii="仿宋" w:eastAsia="仿宋" w:hAnsi="仿宋" w:cs="Arial"/>
          <w:sz w:val="32"/>
          <w:szCs w:val="32"/>
        </w:rPr>
      </w:pPr>
      <w:r>
        <w:rPr>
          <w:rFonts w:ascii="仿宋" w:eastAsia="仿宋" w:hAnsi="仿宋" w:cs="Arial" w:hint="eastAsia"/>
          <w:sz w:val="32"/>
          <w:szCs w:val="32"/>
        </w:rPr>
        <w:t>58.社会保障和就业支出（类）其他生活救助（款）其他农村生活救助（项）：指用于农村生活困难居民生活救助的其他支出。</w:t>
      </w:r>
    </w:p>
    <w:p w:rsidR="00E728FE" w:rsidRDefault="00B0793E">
      <w:pPr>
        <w:spacing w:line="600" w:lineRule="atLeast"/>
        <w:ind w:firstLineChars="200" w:firstLine="640"/>
        <w:rPr>
          <w:rFonts w:ascii="仿宋" w:eastAsia="仿宋" w:hAnsi="仿宋" w:cs="Arial"/>
          <w:sz w:val="32"/>
          <w:szCs w:val="32"/>
        </w:rPr>
      </w:pPr>
      <w:r>
        <w:rPr>
          <w:rFonts w:ascii="仿宋" w:eastAsia="仿宋" w:hAnsi="仿宋" w:cs="Arial" w:hint="eastAsia"/>
          <w:sz w:val="32"/>
          <w:szCs w:val="32"/>
        </w:rPr>
        <w:t>59.社会保障和就业支出（类）退役军人管理事务（款）拥军优属（项）：指开展拥军优属活动的支出。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60.卫生健康支出（类）计划生育事务（款）其他计划生育事务支出（项）：指其他用于计划生育管理事务方面的支出。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61.卫生健康支出（类）优抚对象医疗（款）优抚对象医疗补助（项）：指按规定补助优抚对象的医疗经费。</w:t>
      </w:r>
    </w:p>
    <w:p w:rsidR="00E728FE" w:rsidRDefault="00B0793E">
      <w:pPr>
        <w:spacing w:line="600" w:lineRule="atLeast"/>
        <w:ind w:firstLineChars="200" w:firstLine="640"/>
        <w:rPr>
          <w:rFonts w:ascii="仿宋" w:eastAsia="仿宋" w:hAnsi="仿宋" w:cs="Arial"/>
          <w:sz w:val="32"/>
          <w:szCs w:val="32"/>
        </w:rPr>
      </w:pPr>
      <w:r>
        <w:rPr>
          <w:rFonts w:ascii="仿宋" w:eastAsia="仿宋" w:hAnsi="仿宋" w:cs="Arial" w:hint="eastAsia"/>
          <w:sz w:val="32"/>
          <w:szCs w:val="32"/>
        </w:rPr>
        <w:t>62.卫生健康支出（类）其他卫生健康支出（款）其他卫生健康支出（项）：指其他用于卫生健康方面的支出。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63.城乡社区支出（类）城乡社区环境卫生（款）城乡社区环境卫生（项）：指城乡社区道路清扫、垃圾清运与处理、公厕建设与维护、园林绿化等方面的支出。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64.城乡社区支出（类）国有土地使用权出让收入及对应专项债务安排的支出（款）其他国有土地使用权出让收入安排的支出（项）：指土地出让收入用于其他方面的支出。</w:t>
      </w:r>
    </w:p>
    <w:p w:rsidR="00E728FE" w:rsidRDefault="00B0793E">
      <w:pPr>
        <w:spacing w:line="600" w:lineRule="atLeast"/>
        <w:ind w:firstLine="640"/>
      </w:pPr>
      <w:r>
        <w:rPr>
          <w:rFonts w:ascii="仿宋" w:eastAsia="仿宋" w:hAnsi="仿宋" w:cs="Arial" w:hint="eastAsia"/>
          <w:sz w:val="32"/>
          <w:szCs w:val="32"/>
        </w:rPr>
        <w:t>65.城乡社区支出（类）城市基础设施配套费及对应专项债务收入安排的支出（款）其他城市基础设施配套费安排的支出（项）：指城市基础设施配套费支出。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lastRenderedPageBreak/>
        <w:t>66.农林水支出（类）农业农村（款）其他农业农村支出（项）：指其他用于农业农村方面的支出。</w:t>
      </w:r>
    </w:p>
    <w:p w:rsidR="00E728FE" w:rsidRDefault="00B0793E">
      <w:pPr>
        <w:spacing w:line="600" w:lineRule="atLeast"/>
        <w:ind w:firstLine="640"/>
      </w:pPr>
      <w:r>
        <w:rPr>
          <w:rFonts w:ascii="仿宋" w:eastAsia="仿宋" w:hAnsi="仿宋" w:cs="Arial" w:hint="eastAsia"/>
          <w:sz w:val="32"/>
          <w:szCs w:val="32"/>
        </w:rPr>
        <w:t>67.农林水支出（类）林业和草原（款）其他林业和草原支出（项）：指其他用于林业和草原方面的支出。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68.农林水支出（类）水利（款）其他水利支出（项）：指其他用于水利方面的支出。</w:t>
      </w:r>
    </w:p>
    <w:p w:rsidR="00E728FE" w:rsidRDefault="00B0793E">
      <w:pPr>
        <w:spacing w:line="600" w:lineRule="atLeast"/>
        <w:ind w:firstLine="640"/>
      </w:pPr>
      <w:r>
        <w:rPr>
          <w:rFonts w:ascii="仿宋" w:eastAsia="仿宋" w:hAnsi="仿宋" w:cs="Arial" w:hint="eastAsia"/>
          <w:sz w:val="32"/>
          <w:szCs w:val="32"/>
        </w:rPr>
        <w:t>69.农林水支出（类）农村综合改革（款）对村级一事一议的补助（项）：指农村税费改革后对村级公益事业建设一事一议的补助支出。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70.资源勘探信息等支出（类）支持中小企业发展和管理支出（款）其他支持中小企业发展和管理支出（项）：指其他用于支持中小企业发展和管理方面的支出。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71.住房保障支出（类）保障性安居工程支出（款）老旧小区改造（项）：指用于老旧小区改造方面的支出。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72.灾害防治及应急管理支出（类）应急管理事务（款）安全监管（项）：指用于安全生产监管方面的支出。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73.灾害防治及应急管理支出（类）自然灾害救灾及恢复重建支出（款）其他自然灾害救灾及恢复重建支出（项）：指其他用于自然灾害、灾后恢复重建等方面的支出。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74.其他支出（类）其他政府性基金及对应专项债务收入安排的支出（款）其他政府性基金安排的支出（项）：指其他政府性基金安排的支出。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lastRenderedPageBreak/>
        <w:t>75.其他支出（类）彩票公益金安排的支出（款）用于社会福利的彩票公益金支出（项）：指用于社会福利和社会救助的彩票公益金支出。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76.其他支出（类）彩票公益金安排的支出（款）用于残疾人事业的彩票公益金支出（项）：指用于残疾人事业的彩票公益金支出。</w:t>
      </w:r>
    </w:p>
    <w:p w:rsidR="00E728FE" w:rsidRDefault="00B0793E">
      <w:pPr>
        <w:spacing w:line="600" w:lineRule="atLeast"/>
        <w:ind w:firstLine="640"/>
        <w:rPr>
          <w:rFonts w:ascii="仿宋" w:eastAsia="仿宋" w:hAnsi="仿宋" w:cs="Arial"/>
          <w:sz w:val="32"/>
          <w:szCs w:val="32"/>
        </w:rPr>
      </w:pPr>
      <w:r>
        <w:rPr>
          <w:rFonts w:ascii="仿宋" w:eastAsia="仿宋" w:hAnsi="仿宋" w:cs="Arial" w:hint="eastAsia"/>
          <w:sz w:val="32"/>
          <w:szCs w:val="32"/>
        </w:rPr>
        <w:t>77.其他支出（类）彩票公益金安排的支出（款）用于其他社会公益事业的彩票公益金支出（项）：指用于其他社会公益事业的彩票公益金支出。</w:t>
      </w:r>
    </w:p>
    <w:p w:rsidR="00E728FE" w:rsidRDefault="00E728FE">
      <w:pPr>
        <w:spacing w:line="600" w:lineRule="atLeast"/>
        <w:ind w:firstLine="640"/>
      </w:pPr>
    </w:p>
    <w:p w:rsidR="00E728FE" w:rsidRDefault="00E728FE">
      <w:pPr>
        <w:rPr>
          <w:sz w:val="30"/>
          <w:szCs w:val="30"/>
        </w:rPr>
      </w:pPr>
    </w:p>
    <w:sectPr w:rsidR="00E728FE" w:rsidSect="00E728F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75" w:rsidRDefault="00E32B75" w:rsidP="00E728FE">
      <w:r>
        <w:separator/>
      </w:r>
    </w:p>
  </w:endnote>
  <w:endnote w:type="continuationSeparator" w:id="1">
    <w:p w:rsidR="00E32B75" w:rsidRDefault="00E32B75" w:rsidP="00E72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ˎ̥">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8FE" w:rsidRDefault="000F4A2F">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filled="f" stroked="f" strokeweight=".5pt">
          <v:textbox style="mso-fit-shape-to-text:t" inset="0,0,0,0">
            <w:txbxContent>
              <w:p w:rsidR="00E728FE" w:rsidRDefault="000F4A2F">
                <w:pPr>
                  <w:pStyle w:val="a4"/>
                </w:pPr>
                <w:r>
                  <w:fldChar w:fldCharType="begin"/>
                </w:r>
                <w:r w:rsidR="00B0793E">
                  <w:instrText xml:space="preserve"> PAGE  \* MERGEFORMAT </w:instrText>
                </w:r>
                <w:r>
                  <w:fldChar w:fldCharType="separate"/>
                </w:r>
                <w:r w:rsidR="00D1718D">
                  <w:rPr>
                    <w:noProof/>
                  </w:rPr>
                  <w:t>42</w:t>
                </w:r>
                <w:r>
                  <w:fldChar w:fldCharType="end"/>
                </w:r>
              </w:p>
            </w:txbxContent>
          </v:textbox>
          <w10:wrap anchorx="margin"/>
        </v:shape>
      </w:pict>
    </w:r>
    <w:r>
      <w:pict>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E728FE" w:rsidRDefault="00E728FE">
                <w:pPr>
                  <w:pStyle w:val="a4"/>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75" w:rsidRDefault="00E32B75" w:rsidP="00E728FE">
      <w:r>
        <w:separator/>
      </w:r>
    </w:p>
  </w:footnote>
  <w:footnote w:type="continuationSeparator" w:id="1">
    <w:p w:rsidR="00E32B75" w:rsidRDefault="00E32B75" w:rsidP="00E72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C74B23"/>
    <w:multiLevelType w:val="singleLevel"/>
    <w:tmpl w:val="D8C74B23"/>
    <w:lvl w:ilvl="0">
      <w:start w:val="10"/>
      <w:numFmt w:val="chineseCounting"/>
      <w:suff w:val="nothing"/>
      <w:lvlText w:val="（%1）"/>
      <w:lvlJc w:val="left"/>
      <w:rPr>
        <w:rFonts w:hint="eastAsia"/>
      </w:rPr>
    </w:lvl>
  </w:abstractNum>
  <w:abstractNum w:abstractNumId="1">
    <w:nsid w:val="3B92CBEC"/>
    <w:multiLevelType w:val="singleLevel"/>
    <w:tmpl w:val="3B92CBEC"/>
    <w:lvl w:ilvl="0">
      <w:start w:val="1"/>
      <w:numFmt w:val="chineseCounting"/>
      <w:suff w:val="nothing"/>
      <w:lvlText w:val="%1、"/>
      <w:lvlJc w:val="left"/>
      <w:rPr>
        <w:rFonts w:hint="eastAsia"/>
      </w:rPr>
    </w:lvl>
  </w:abstractNum>
  <w:abstractNum w:abstractNumId="2">
    <w:nsid w:val="62765A22"/>
    <w:multiLevelType w:val="singleLevel"/>
    <w:tmpl w:val="62765A22"/>
    <w:lvl w:ilvl="0">
      <w:start w:val="3"/>
      <w:numFmt w:val="decimal"/>
      <w:lvlText w:val="%1."/>
      <w:lvlJc w:val="left"/>
      <w:pPr>
        <w:tabs>
          <w:tab w:val="left" w:pos="312"/>
        </w:tabs>
      </w:pPr>
    </w:lvl>
  </w:abstractNum>
  <w:abstractNum w:abstractNumId="3">
    <w:nsid w:val="77D1AC4B"/>
    <w:multiLevelType w:val="singleLevel"/>
    <w:tmpl w:val="77D1AC4B"/>
    <w:lvl w:ilvl="0">
      <w:start w:val="1"/>
      <w:numFmt w:val="decimal"/>
      <w:suff w:val="nothing"/>
      <w:lvlText w:val="（%1）"/>
      <w:lvlJc w:val="left"/>
    </w:lvl>
  </w:abstractNum>
  <w:abstractNum w:abstractNumId="4">
    <w:nsid w:val="7A365F5B"/>
    <w:multiLevelType w:val="multilevel"/>
    <w:tmpl w:val="7A365F5B"/>
    <w:lvl w:ilvl="0">
      <w:start w:val="2"/>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5">
    <w:nsid w:val="7E081184"/>
    <w:multiLevelType w:val="singleLevel"/>
    <w:tmpl w:val="7E081184"/>
    <w:lvl w:ilvl="0">
      <w:start w:val="4"/>
      <w:numFmt w:val="chineseCounting"/>
      <w:suff w:val="nothing"/>
      <w:lvlText w:val="（%1）"/>
      <w:lvlJc w:val="left"/>
      <w:rPr>
        <w:rFonts w:hint="eastAsia"/>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A0559EB"/>
    <w:rsid w:val="000F4A2F"/>
    <w:rsid w:val="00282BFA"/>
    <w:rsid w:val="003E12E6"/>
    <w:rsid w:val="00466C95"/>
    <w:rsid w:val="007D0E1B"/>
    <w:rsid w:val="009830DC"/>
    <w:rsid w:val="00B0793E"/>
    <w:rsid w:val="00D1718D"/>
    <w:rsid w:val="00E32B75"/>
    <w:rsid w:val="00E728FE"/>
    <w:rsid w:val="00E957F0"/>
    <w:rsid w:val="04342DBC"/>
    <w:rsid w:val="05277518"/>
    <w:rsid w:val="072122D3"/>
    <w:rsid w:val="07B0702A"/>
    <w:rsid w:val="09C262F9"/>
    <w:rsid w:val="0A0559EB"/>
    <w:rsid w:val="0A7A65C6"/>
    <w:rsid w:val="0AF7101D"/>
    <w:rsid w:val="0C840DDC"/>
    <w:rsid w:val="0E981EF7"/>
    <w:rsid w:val="20F65CCD"/>
    <w:rsid w:val="21576F9F"/>
    <w:rsid w:val="230A18F0"/>
    <w:rsid w:val="23B834AB"/>
    <w:rsid w:val="294B02EB"/>
    <w:rsid w:val="3979318E"/>
    <w:rsid w:val="3CD470AF"/>
    <w:rsid w:val="3F331EA6"/>
    <w:rsid w:val="43E16D8E"/>
    <w:rsid w:val="45247A77"/>
    <w:rsid w:val="48FA5E94"/>
    <w:rsid w:val="4BDA6A4B"/>
    <w:rsid w:val="558D15E0"/>
    <w:rsid w:val="564226F6"/>
    <w:rsid w:val="57CA0C12"/>
    <w:rsid w:val="5A1862CC"/>
    <w:rsid w:val="5C1B4AA6"/>
    <w:rsid w:val="6A1608F5"/>
    <w:rsid w:val="6B742164"/>
    <w:rsid w:val="6B7E3C6F"/>
    <w:rsid w:val="6E1A08F5"/>
    <w:rsid w:val="77281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qFormat/>
    <w:rsid w:val="00E728F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qFormat/>
    <w:rsid w:val="00E728FE"/>
    <w:pPr>
      <w:ind w:firstLineChars="200" w:firstLine="200"/>
    </w:pPr>
  </w:style>
  <w:style w:type="paragraph" w:styleId="a3">
    <w:name w:val="Normal Indent"/>
    <w:basedOn w:val="a"/>
    <w:uiPriority w:val="99"/>
    <w:qFormat/>
    <w:rsid w:val="00E728FE"/>
    <w:pPr>
      <w:ind w:firstLine="420"/>
    </w:pPr>
  </w:style>
  <w:style w:type="paragraph" w:styleId="a4">
    <w:name w:val="footer"/>
    <w:basedOn w:val="a"/>
    <w:link w:val="Char"/>
    <w:qFormat/>
    <w:rsid w:val="00E728FE"/>
    <w:pPr>
      <w:tabs>
        <w:tab w:val="center" w:pos="4153"/>
        <w:tab w:val="right" w:pos="8306"/>
      </w:tabs>
      <w:snapToGrid w:val="0"/>
      <w:jc w:val="left"/>
    </w:pPr>
    <w:rPr>
      <w:sz w:val="18"/>
      <w:szCs w:val="18"/>
    </w:rPr>
  </w:style>
  <w:style w:type="paragraph" w:styleId="a5">
    <w:name w:val="header"/>
    <w:basedOn w:val="a"/>
    <w:link w:val="Char0"/>
    <w:qFormat/>
    <w:rsid w:val="00E728FE"/>
    <w:pPr>
      <w:pBdr>
        <w:bottom w:val="single" w:sz="6" w:space="1" w:color="auto"/>
      </w:pBdr>
      <w:tabs>
        <w:tab w:val="center" w:pos="4153"/>
        <w:tab w:val="right" w:pos="8306"/>
      </w:tabs>
      <w:snapToGrid w:val="0"/>
      <w:jc w:val="center"/>
    </w:pPr>
    <w:rPr>
      <w:sz w:val="18"/>
      <w:szCs w:val="18"/>
    </w:rPr>
  </w:style>
  <w:style w:type="paragraph" w:styleId="a6">
    <w:name w:val="footnote text"/>
    <w:basedOn w:val="a"/>
    <w:qFormat/>
    <w:rsid w:val="00E728FE"/>
    <w:pPr>
      <w:widowControl/>
      <w:snapToGrid w:val="0"/>
      <w:jc w:val="left"/>
    </w:pPr>
    <w:rPr>
      <w:rFonts w:ascii="Calibri" w:eastAsia="宋体" w:hAnsi="Calibri" w:cs="Times New Roman"/>
      <w:kern w:val="0"/>
      <w:sz w:val="18"/>
      <w:szCs w:val="18"/>
    </w:rPr>
  </w:style>
  <w:style w:type="paragraph" w:styleId="a7">
    <w:name w:val="Normal (Web)"/>
    <w:basedOn w:val="a"/>
    <w:qFormat/>
    <w:rsid w:val="00E728FE"/>
    <w:pPr>
      <w:spacing w:beforeAutospacing="1" w:afterAutospacing="1"/>
      <w:jc w:val="left"/>
    </w:pPr>
    <w:rPr>
      <w:rFonts w:ascii="宋体" w:eastAsia="宋体" w:hAnsi="宋体" w:cs="Times New Roman"/>
      <w:kern w:val="0"/>
      <w:sz w:val="24"/>
    </w:rPr>
  </w:style>
  <w:style w:type="character" w:customStyle="1" w:styleId="15">
    <w:name w:val="15"/>
    <w:basedOn w:val="a0"/>
    <w:qFormat/>
    <w:rsid w:val="00E728FE"/>
    <w:rPr>
      <w:rFonts w:ascii="Times New Roman" w:hAnsi="Times New Roman" w:cs="Times New Roman" w:hint="default"/>
      <w:b/>
    </w:rPr>
  </w:style>
  <w:style w:type="character" w:customStyle="1" w:styleId="10">
    <w:name w:val="10"/>
    <w:basedOn w:val="a0"/>
    <w:qFormat/>
    <w:rsid w:val="00E728FE"/>
    <w:rPr>
      <w:rFonts w:ascii="Times New Roman" w:hAnsi="Times New Roman" w:cs="Times New Roman" w:hint="default"/>
    </w:rPr>
  </w:style>
  <w:style w:type="character" w:customStyle="1" w:styleId="Char0">
    <w:name w:val="页眉 Char"/>
    <w:basedOn w:val="a0"/>
    <w:link w:val="a5"/>
    <w:qFormat/>
    <w:rsid w:val="00E728FE"/>
    <w:rPr>
      <w:rFonts w:asciiTheme="minorHAnsi" w:eastAsiaTheme="minorEastAsia" w:hAnsiTheme="minorHAnsi" w:cstheme="minorBidi"/>
      <w:kern w:val="2"/>
      <w:sz w:val="18"/>
      <w:szCs w:val="18"/>
    </w:rPr>
  </w:style>
  <w:style w:type="character" w:customStyle="1" w:styleId="Char">
    <w:name w:val="页脚 Char"/>
    <w:basedOn w:val="a0"/>
    <w:link w:val="a4"/>
    <w:qFormat/>
    <w:rsid w:val="00E728FE"/>
    <w:rPr>
      <w:rFonts w:asciiTheme="minorHAnsi" w:eastAsiaTheme="minorEastAsia" w:hAnsiTheme="minorHAnsi" w:cstheme="minorBidi"/>
      <w:kern w:val="2"/>
      <w:sz w:val="18"/>
      <w:szCs w:val="18"/>
    </w:rPr>
  </w:style>
  <w:style w:type="character" w:customStyle="1" w:styleId="24">
    <w:name w:val="24"/>
    <w:basedOn w:val="a0"/>
    <w:qFormat/>
    <w:rsid w:val="00E728FE"/>
    <w:rPr>
      <w:rFonts w:ascii="Times New Roman" w:hAnsi="Times New Roman" w:cs="Times New Roman" w:hint="default"/>
      <w:b/>
      <w:bCs/>
    </w:rPr>
  </w:style>
  <w:style w:type="paragraph" w:customStyle="1" w:styleId="section">
    <w:name w:val="section"/>
    <w:basedOn w:val="a"/>
    <w:uiPriority w:val="99"/>
    <w:qFormat/>
    <w:rsid w:val="00E728FE"/>
    <w:pPr>
      <w:spacing w:before="100" w:beforeAutospacing="1" w:after="100" w:afterAutospacing="1"/>
    </w:pPr>
    <w:rPr>
      <w:rFonts w:ascii="宋体" w:eastAsia="宋体" w:hAnsi="宋体" w:cs="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3677</Words>
  <Characters>20965</Characters>
  <Application>Microsoft Office Word</Application>
  <DocSecurity>0</DocSecurity>
  <Lines>174</Lines>
  <Paragraphs>49</Paragraphs>
  <ScaleCrop>false</ScaleCrop>
  <Company>微软中国</Company>
  <LinksUpToDate>false</LinksUpToDate>
  <CharactersWithSpaces>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王朝</cp:lastModifiedBy>
  <cp:revision>4</cp:revision>
  <cp:lastPrinted>2021-09-24T07:10:00Z</cp:lastPrinted>
  <dcterms:created xsi:type="dcterms:W3CDTF">2021-09-10T00:57:00Z</dcterms:created>
  <dcterms:modified xsi:type="dcterms:W3CDTF">2021-09-27T08:08:00Z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22B042B08C6644BDACD01651092B5D73</vt:lpwstr>
  </property>
</Properties>
</file>