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7"/>
          <w:rFonts w:ascii="黑体" w:eastAsia="黑体"/>
          <w:sz w:val="44"/>
          <w:szCs w:val="44"/>
        </w:rPr>
      </w:pPr>
      <w:r>
        <w:rPr>
          <w:rStyle w:val="7"/>
          <w:rFonts w:hint="eastAsia" w:ascii="黑体" w:eastAsia="黑体"/>
          <w:sz w:val="44"/>
          <w:szCs w:val="44"/>
        </w:rPr>
        <w:t>温岭市融媒体中心2020年度部门</w:t>
      </w:r>
    </w:p>
    <w:p>
      <w:pPr>
        <w:pStyle w:val="4"/>
        <w:jc w:val="center"/>
      </w:pPr>
      <w:r>
        <w:rPr>
          <w:rStyle w:val="7"/>
          <w:rFonts w:hint="eastAsia" w:ascii="等线" w:eastAsia="等线"/>
          <w:sz w:val="22"/>
          <w:szCs w:val="22"/>
        </w:rPr>
        <w:t>目录</w:t>
      </w:r>
    </w:p>
    <w:p>
      <w:pPr>
        <w:spacing w:line="600" w:lineRule="atLeast"/>
        <w:ind w:firstLine="640"/>
        <w:jc w:val="both"/>
      </w:pPr>
      <w:r>
        <w:rPr>
          <w:rStyle w:val="7"/>
          <w:rFonts w:hint="eastAsia" w:ascii="等线" w:eastAsia="等线" w:cs="Arial"/>
          <w:sz w:val="22"/>
          <w:szCs w:val="22"/>
        </w:rPr>
        <w:t>一、</w:t>
      </w:r>
      <w:r>
        <w:rPr>
          <w:rStyle w:val="7"/>
          <w:rFonts w:ascii="等线" w:hAnsi="等线" w:cs="Arial"/>
          <w:sz w:val="22"/>
          <w:szCs w:val="22"/>
        </w:rPr>
        <w:t>概况</w:t>
      </w:r>
      <w:r>
        <w:rPr>
          <w:rStyle w:val="7"/>
          <w:rFonts w:hint="eastAsia" w:ascii="等线" w:eastAsia="等线" w:cs="Arial"/>
          <w:sz w:val="22"/>
          <w:szCs w:val="22"/>
        </w:rPr>
        <w:t>.................. ................... ................................................................................(</w:t>
      </w:r>
      <w:r>
        <w:rPr>
          <w:rStyle w:val="7"/>
          <w:rFonts w:hint="eastAsia" w:ascii="等线" w:cs="Arial" w:eastAsiaTheme="minorEastAsia"/>
          <w:sz w:val="22"/>
          <w:szCs w:val="22"/>
        </w:rPr>
        <w:t>2</w:t>
      </w:r>
      <w:r>
        <w:rPr>
          <w:rStyle w:val="7"/>
          <w:rFonts w:hint="eastAsia" w:ascii="等线" w:eastAsia="等线" w:cs="Arial"/>
          <w:sz w:val="22"/>
          <w:szCs w:val="22"/>
        </w:rPr>
        <w:t xml:space="preserve"> )</w:t>
      </w:r>
      <w:r>
        <w:t xml:space="preserve"> </w:t>
      </w:r>
    </w:p>
    <w:p>
      <w:pPr>
        <w:spacing w:line="600" w:lineRule="atLeast"/>
        <w:ind w:firstLine="640"/>
        <w:jc w:val="both"/>
      </w:pPr>
      <w:r>
        <w:rPr>
          <w:rStyle w:val="7"/>
          <w:rFonts w:hint="eastAsia" w:ascii="等线" w:eastAsia="等线" w:cs="Arial"/>
          <w:sz w:val="22"/>
          <w:szCs w:val="22"/>
        </w:rPr>
        <w:t xml:space="preserve">（一）部门（单位）职责............................. ............ ...............................................( </w:t>
      </w:r>
      <w:r>
        <w:rPr>
          <w:rStyle w:val="7"/>
          <w:rFonts w:hint="eastAsia" w:ascii="等线" w:cs="Arial" w:eastAsiaTheme="minorEastAsia"/>
          <w:sz w:val="22"/>
          <w:szCs w:val="22"/>
        </w:rPr>
        <w:t>2</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 xml:space="preserve">（二）机构设置................................................. .......................................................( </w:t>
      </w:r>
      <w:r>
        <w:rPr>
          <w:rStyle w:val="7"/>
          <w:rFonts w:hint="eastAsia" w:ascii="等线" w:cs="Arial" w:eastAsiaTheme="minorEastAsia"/>
          <w:sz w:val="22"/>
          <w:szCs w:val="22"/>
        </w:rPr>
        <w:t>3</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二、2020年度部门（单位）决算公开表.................. ..............................................(</w:t>
      </w:r>
      <w:r>
        <w:rPr>
          <w:rStyle w:val="7"/>
          <w:rFonts w:hint="eastAsia" w:ascii="等线" w:cs="Arial" w:eastAsiaTheme="minorEastAsia"/>
          <w:sz w:val="22"/>
          <w:szCs w:val="22"/>
        </w:rPr>
        <w:t>3</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 xml:space="preserve">三、2020年度部门（单位）决算情况说明.......... ..................................................( </w:t>
      </w:r>
      <w:r>
        <w:rPr>
          <w:rStyle w:val="7"/>
          <w:rFonts w:hint="eastAsia" w:ascii="等线" w:cs="Arial" w:eastAsiaTheme="minorEastAsia"/>
          <w:sz w:val="22"/>
          <w:szCs w:val="22"/>
        </w:rPr>
        <w:t>3</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 xml:space="preserve">（一）收入支出决算总体情况说明...................... ..................................................( </w:t>
      </w:r>
      <w:r>
        <w:rPr>
          <w:rStyle w:val="7"/>
          <w:rFonts w:hint="eastAsia" w:ascii="等线" w:cs="Arial" w:eastAsiaTheme="minorEastAsia"/>
          <w:sz w:val="22"/>
          <w:szCs w:val="22"/>
        </w:rPr>
        <w:t>3</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（二）收入决算情况说明........................................</w:t>
      </w:r>
      <w:r>
        <w:rPr>
          <w:rStyle w:val="7"/>
          <w:rFonts w:hint="eastAsia" w:ascii="等线" w:cs="Arial" w:eastAsiaTheme="minorEastAsia"/>
          <w:sz w:val="22"/>
          <w:szCs w:val="22"/>
        </w:rPr>
        <w:t xml:space="preserve"> </w:t>
      </w:r>
      <w:r>
        <w:rPr>
          <w:rStyle w:val="7"/>
          <w:rFonts w:hint="eastAsia" w:ascii="等线" w:eastAsia="等线" w:cs="Arial"/>
          <w:sz w:val="22"/>
          <w:szCs w:val="22"/>
        </w:rPr>
        <w:t>....... ........................................(</w:t>
      </w:r>
      <w:r>
        <w:rPr>
          <w:rStyle w:val="7"/>
          <w:rFonts w:hint="eastAsia" w:ascii="等线" w:cs="Arial" w:eastAsiaTheme="minorEastAsia"/>
          <w:sz w:val="22"/>
          <w:szCs w:val="22"/>
        </w:rPr>
        <w:t>3</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（三）支出决算情况说明....................................... ..................................................(</w:t>
      </w:r>
      <w:r>
        <w:rPr>
          <w:rStyle w:val="7"/>
          <w:rFonts w:hint="eastAsia" w:ascii="等线" w:cs="Arial" w:eastAsiaTheme="minorEastAsia"/>
          <w:sz w:val="22"/>
          <w:szCs w:val="22"/>
        </w:rPr>
        <w:t>4</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（四）财政拨款收入支出决算总体情况说明.....................................................(</w:t>
      </w:r>
      <w:r>
        <w:rPr>
          <w:rStyle w:val="7"/>
          <w:rFonts w:hint="eastAsia" w:ascii="等线" w:cs="Arial" w:eastAsiaTheme="minorEastAsia"/>
          <w:sz w:val="22"/>
          <w:szCs w:val="22"/>
        </w:rPr>
        <w:t>4</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（五）一般公共预算财政拨款支出决算情况说明..............................................(</w:t>
      </w:r>
      <w:r>
        <w:rPr>
          <w:rStyle w:val="7"/>
          <w:rFonts w:hint="eastAsia" w:ascii="等线" w:cs="Arial" w:eastAsiaTheme="minorEastAsia"/>
          <w:sz w:val="22"/>
          <w:szCs w:val="22"/>
        </w:rPr>
        <w:t>4</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（六）一般公共预算财政拨款基本支出决算情况说明.......................................(</w:t>
      </w:r>
      <w:r>
        <w:rPr>
          <w:rStyle w:val="7"/>
          <w:rFonts w:hint="eastAsia" w:ascii="等线" w:cs="Arial" w:eastAsiaTheme="minorEastAsia"/>
          <w:sz w:val="22"/>
          <w:szCs w:val="22"/>
        </w:rPr>
        <w:t>6</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 xml:space="preserve">（七）政府性基金预算财政拨款支出决算总体情况说明...................................( </w:t>
      </w:r>
      <w:r>
        <w:rPr>
          <w:rStyle w:val="7"/>
          <w:rFonts w:hint="eastAsia" w:ascii="等线" w:cs="Arial" w:eastAsiaTheme="minorEastAsia"/>
          <w:sz w:val="22"/>
          <w:szCs w:val="22"/>
        </w:rPr>
        <w:t>7</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 xml:space="preserve">（八）国有资本经营预算财政拨款支出决算总体情况说明...............................( </w:t>
      </w:r>
      <w:r>
        <w:rPr>
          <w:rStyle w:val="7"/>
          <w:rFonts w:hint="eastAsia" w:ascii="等线" w:cs="Arial" w:eastAsiaTheme="minorEastAsia"/>
          <w:sz w:val="22"/>
          <w:szCs w:val="22"/>
        </w:rPr>
        <w:t>8</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 xml:space="preserve">（九）一般公共预算财政拨款“三公”经费支出决算情况说明.........................( </w:t>
      </w:r>
      <w:r>
        <w:rPr>
          <w:rStyle w:val="7"/>
          <w:rFonts w:hint="eastAsia" w:ascii="等线" w:cs="Arial" w:eastAsiaTheme="minorEastAsia"/>
          <w:sz w:val="22"/>
          <w:szCs w:val="22"/>
        </w:rPr>
        <w:t>8</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（十）机关运行经费支出说明................................. ..............................................(</w:t>
      </w:r>
      <w:r>
        <w:rPr>
          <w:rStyle w:val="7"/>
          <w:rFonts w:hint="eastAsia" w:ascii="等线" w:cs="Arial" w:eastAsiaTheme="minorEastAsia"/>
          <w:sz w:val="22"/>
          <w:szCs w:val="22"/>
        </w:rPr>
        <w:t>11</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 xml:space="preserve">（十一）政府采购支出说明........................................ ...........................................( </w:t>
      </w:r>
      <w:r>
        <w:rPr>
          <w:rStyle w:val="7"/>
          <w:rFonts w:hint="eastAsia" w:ascii="等线" w:cs="Arial" w:eastAsiaTheme="minorEastAsia"/>
          <w:sz w:val="22"/>
          <w:szCs w:val="22"/>
        </w:rPr>
        <w:t>11</w:t>
      </w:r>
      <w:r>
        <w:rPr>
          <w:rStyle w:val="7"/>
          <w:rFonts w:hint="eastAsia" w:ascii="等线" w:eastAsia="等线" w:cs="Arial"/>
          <w:sz w:val="22"/>
          <w:szCs w:val="22"/>
        </w:rPr>
        <w:t>)</w:t>
      </w:r>
    </w:p>
    <w:p>
      <w:pPr>
        <w:spacing w:line="600" w:lineRule="atLeast"/>
        <w:ind w:firstLine="640"/>
        <w:jc w:val="both"/>
      </w:pPr>
      <w:r>
        <w:rPr>
          <w:rStyle w:val="7"/>
          <w:rFonts w:hint="eastAsia" w:ascii="等线" w:eastAsia="等线" w:cs="Arial"/>
          <w:sz w:val="22"/>
          <w:szCs w:val="22"/>
        </w:rPr>
        <w:t>（十二）国有资产占有情况说明......................................................................(</w:t>
      </w:r>
      <w:r>
        <w:rPr>
          <w:rStyle w:val="7"/>
          <w:rFonts w:hint="eastAsia" w:ascii="等线" w:cs="Arial" w:eastAsiaTheme="minorEastAsia"/>
          <w:sz w:val="22"/>
          <w:szCs w:val="22"/>
        </w:rPr>
        <w:t>11</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（十三）预算绩效情况说明.............................................................................(</w:t>
      </w:r>
      <w:r>
        <w:rPr>
          <w:rStyle w:val="7"/>
          <w:rFonts w:hint="eastAsia" w:ascii="等线" w:cs="Arial" w:eastAsiaTheme="minorEastAsia"/>
          <w:sz w:val="22"/>
          <w:szCs w:val="22"/>
        </w:rPr>
        <w:t>12</w:t>
      </w:r>
      <w:r>
        <w:rPr>
          <w:rStyle w:val="7"/>
          <w:rFonts w:hint="eastAsia" w:ascii="等线" w:eastAsia="等线" w:cs="Arial"/>
          <w:sz w:val="22"/>
          <w:szCs w:val="22"/>
        </w:rPr>
        <w:t xml:space="preserve"> )</w:t>
      </w:r>
    </w:p>
    <w:p>
      <w:pPr>
        <w:spacing w:line="600" w:lineRule="atLeast"/>
        <w:ind w:firstLine="640"/>
        <w:jc w:val="both"/>
      </w:pPr>
      <w:r>
        <w:rPr>
          <w:rStyle w:val="7"/>
          <w:rFonts w:hint="eastAsia" w:ascii="等线" w:eastAsia="等线" w:cs="Arial"/>
          <w:sz w:val="22"/>
          <w:szCs w:val="22"/>
        </w:rPr>
        <w:t xml:space="preserve">四、名词解释..................................................................................................( </w:t>
      </w:r>
      <w:r>
        <w:rPr>
          <w:rStyle w:val="7"/>
          <w:rFonts w:hint="eastAsia" w:ascii="等线" w:cs="Arial" w:eastAsiaTheme="minorEastAsia"/>
          <w:sz w:val="22"/>
          <w:szCs w:val="22"/>
        </w:rPr>
        <w:t>17</w:t>
      </w:r>
      <w:r>
        <w:rPr>
          <w:rStyle w:val="7"/>
          <w:rFonts w:hint="eastAsia" w:ascii="等线" w:eastAsia="等线" w:cs="Arial"/>
          <w:sz w:val="22"/>
          <w:szCs w:val="22"/>
        </w:rPr>
        <w:t>)</w:t>
      </w:r>
    </w:p>
    <w:p>
      <w:pPr>
        <w:spacing w:line="600" w:lineRule="atLeast"/>
        <w:ind w:firstLine="640"/>
        <w:jc w:val="both"/>
        <w:rPr>
          <w:rStyle w:val="7"/>
          <w:rFonts w:ascii="黑体" w:eastAsia="黑体" w:cs="Arial"/>
          <w:sz w:val="32"/>
          <w:szCs w:val="32"/>
        </w:rPr>
      </w:pPr>
    </w:p>
    <w:p>
      <w:pPr>
        <w:spacing w:line="600" w:lineRule="atLeast"/>
        <w:ind w:firstLine="640"/>
        <w:jc w:val="both"/>
      </w:pPr>
      <w:r>
        <w:rPr>
          <w:rStyle w:val="7"/>
          <w:rFonts w:hint="eastAsia" w:ascii="黑体" w:eastAsia="黑体" w:cs="Arial"/>
          <w:sz w:val="32"/>
          <w:szCs w:val="32"/>
        </w:rPr>
        <w:t>一、概况</w:t>
      </w:r>
    </w:p>
    <w:p>
      <w:pPr>
        <w:spacing w:line="600" w:lineRule="atLeast"/>
        <w:ind w:firstLine="640"/>
        <w:jc w:val="both"/>
      </w:pPr>
      <w:r>
        <w:rPr>
          <w:rStyle w:val="7"/>
          <w:rFonts w:hint="eastAsia" w:ascii="楷体" w:eastAsia="楷体" w:cs="Arial"/>
          <w:sz w:val="32"/>
          <w:szCs w:val="32"/>
        </w:rPr>
        <w:t>（一）部门（单位）职责</w:t>
      </w:r>
    </w:p>
    <w:p>
      <w:pPr>
        <w:spacing w:line="600" w:lineRule="atLeast"/>
        <w:ind w:firstLine="640"/>
        <w:jc w:val="both"/>
        <w:rPr>
          <w:rFonts w:ascii="仿宋" w:eastAsia="仿宋" w:cs="Arial"/>
          <w:sz w:val="32"/>
          <w:szCs w:val="32"/>
        </w:rPr>
      </w:pPr>
      <w:r>
        <w:rPr>
          <w:rFonts w:hint="eastAsia" w:ascii="仿宋" w:eastAsia="仿宋" w:cs="Arial"/>
          <w:sz w:val="32"/>
          <w:szCs w:val="32"/>
        </w:rPr>
        <w:t xml:space="preserve">1. </w:t>
      </w:r>
      <w:r>
        <w:rPr>
          <w:rFonts w:hint="eastAsia" w:ascii="仿宋_GB2312" w:hAnsi="仿宋_GB2312" w:eastAsia="仿宋_GB2312" w:cs="仿宋_GB2312"/>
          <w:sz w:val="32"/>
          <w:szCs w:val="40"/>
        </w:rPr>
        <w:t>温岭市融媒体中心贯彻落实党中央、省委和市委关于宣传工作的方针政策和决策部署，在履行职责过程中坚持和加强党对宣传工作的集中统一领导。主要职责是：</w:t>
      </w:r>
      <w:r>
        <w:rPr>
          <w:rFonts w:hint="eastAsia" w:ascii="仿宋_GB2312" w:hAnsi="仿宋_GB2312" w:eastAsia="仿宋_GB2312" w:cs="仿宋_GB2312"/>
          <w:sz w:val="32"/>
          <w:szCs w:val="40"/>
        </w:rPr>
        <w:cr/>
      </w:r>
      <w:r>
        <w:rPr>
          <w:rFonts w:hint="eastAsia" w:ascii="仿宋_GB2312" w:hAnsi="仿宋_GB2312" w:eastAsia="仿宋_GB2312" w:cs="仿宋_GB2312"/>
          <w:sz w:val="32"/>
          <w:szCs w:val="40"/>
        </w:rPr>
        <w:t xml:space="preserve">   （一）在党的统一领导下，坚持提高新闻舆论传播力、引导力、影响力、公信力，贯彻执行党和国家在新闻宣传方面的路线、方针、政策，发挥党和政府喉舌功能作用，把握正确舆论导向，发挥舆论监督作用。 </w:t>
      </w:r>
      <w:r>
        <w:rPr>
          <w:rFonts w:hint="eastAsia" w:ascii="仿宋_GB2312" w:hAnsi="仿宋_GB2312" w:eastAsia="仿宋_GB2312" w:cs="仿宋_GB2312"/>
          <w:sz w:val="32"/>
          <w:szCs w:val="40"/>
        </w:rPr>
        <w:cr/>
      </w:r>
      <w:r>
        <w:rPr>
          <w:rFonts w:hint="eastAsia" w:ascii="仿宋_GB2312" w:hAnsi="仿宋_GB2312" w:eastAsia="仿宋_GB2312" w:cs="仿宋_GB2312"/>
          <w:sz w:val="32"/>
          <w:szCs w:val="40"/>
        </w:rPr>
        <w:t xml:space="preserve">   （二）围绕市委、市政府中心工作和社会民生，开展全市宣传工作和重大宣传报道活动；运用报纸、广播、电视、网络、“两微一端”等传统与新兴媒体开展舆论导向正确、传播手段先进的主流宣传。 </w:t>
      </w:r>
      <w:r>
        <w:rPr>
          <w:rFonts w:hint="eastAsia" w:ascii="仿宋_GB2312" w:hAnsi="仿宋_GB2312" w:eastAsia="仿宋_GB2312" w:cs="仿宋_GB2312"/>
          <w:sz w:val="32"/>
          <w:szCs w:val="40"/>
        </w:rPr>
        <w:cr/>
      </w:r>
      <w:r>
        <w:rPr>
          <w:rFonts w:hint="eastAsia" w:ascii="仿宋_GB2312" w:hAnsi="仿宋_GB2312" w:eastAsia="仿宋_GB2312" w:cs="仿宋_GB2312"/>
          <w:sz w:val="32"/>
          <w:szCs w:val="40"/>
        </w:rPr>
        <w:t xml:space="preserve">   （三）加强对外新闻宣传，开展对外新闻媒体联系联络，做好向上级新闻媒体选送视频节目、新闻稿件工作，提高温岭的知名度、美誉度。</w:t>
      </w:r>
      <w:r>
        <w:rPr>
          <w:rFonts w:hint="eastAsia" w:ascii="仿宋_GB2312" w:hAnsi="仿宋_GB2312" w:eastAsia="仿宋_GB2312" w:cs="仿宋_GB2312"/>
          <w:sz w:val="32"/>
          <w:szCs w:val="40"/>
        </w:rPr>
        <w:cr/>
      </w:r>
      <w:r>
        <w:rPr>
          <w:rFonts w:hint="eastAsia" w:ascii="仿宋_GB2312" w:hAnsi="仿宋_GB2312" w:eastAsia="仿宋_GB2312" w:cs="仿宋_GB2312"/>
          <w:sz w:val="32"/>
          <w:szCs w:val="40"/>
        </w:rPr>
        <w:t xml:space="preserve">   （四）负责全市新闻信息的安全发布和广播电视节目、互联网视听节目的安全播出、设备设施的技术安全防范工作。实施国家有关广播电视、新媒体技术政策和标准；研究制定新闻媒体产业发展办法，紧跟时代发展，做好传播媒介的科技升级，充分挖掘各类媒体资源，抓好新技术新产业的引进、开发和应用，切实增强综合发展能力。</w:t>
      </w:r>
      <w:r>
        <w:rPr>
          <w:rFonts w:hint="eastAsia" w:ascii="仿宋_GB2312" w:hAnsi="仿宋_GB2312" w:eastAsia="仿宋_GB2312" w:cs="仿宋_GB2312"/>
          <w:sz w:val="32"/>
          <w:szCs w:val="40"/>
        </w:rPr>
        <w:cr/>
      </w:r>
      <w:r>
        <w:rPr>
          <w:rFonts w:hint="eastAsia" w:ascii="仿宋_GB2312" w:hAnsi="仿宋_GB2312" w:eastAsia="仿宋_GB2312" w:cs="仿宋_GB2312"/>
          <w:sz w:val="32"/>
          <w:szCs w:val="40"/>
        </w:rPr>
        <w:t xml:space="preserve">   （五）负责全市新闻媒体从业人员思想建设、组织建设和职业道德建设；开展业务培训，推进宣传争先创优，提升专业人员队伍整体素质。 </w:t>
      </w:r>
      <w:r>
        <w:rPr>
          <w:rFonts w:hint="eastAsia" w:ascii="仿宋_GB2312" w:hAnsi="仿宋_GB2312" w:eastAsia="仿宋_GB2312" w:cs="仿宋_GB2312"/>
          <w:sz w:val="32"/>
          <w:szCs w:val="40"/>
        </w:rPr>
        <w:cr/>
      </w:r>
      <w:r>
        <w:rPr>
          <w:rFonts w:hint="eastAsia" w:ascii="仿宋_GB2312" w:hAnsi="仿宋_GB2312" w:eastAsia="仿宋_GB2312" w:cs="仿宋_GB2312"/>
          <w:sz w:val="32"/>
          <w:szCs w:val="40"/>
        </w:rPr>
        <w:t xml:space="preserve">    （六）完成市委、市政府交办的其它工作任务。</w:t>
      </w:r>
      <w:r>
        <w:rPr>
          <w:rFonts w:ascii="仿宋_GB2312" w:hAnsi="仿宋_GB2312" w:eastAsia="仿宋_GB2312" w:cs="仿宋_GB2312"/>
          <w:sz w:val="32"/>
          <w:szCs w:val="40"/>
        </w:rPr>
        <w:cr/>
      </w:r>
    </w:p>
    <w:p>
      <w:pPr>
        <w:spacing w:line="600" w:lineRule="atLeast"/>
        <w:ind w:firstLine="640"/>
        <w:jc w:val="both"/>
      </w:pPr>
      <w:r>
        <w:rPr>
          <w:rStyle w:val="7"/>
          <w:rFonts w:hint="eastAsia" w:ascii="楷体" w:eastAsia="楷体" w:cs="Arial"/>
          <w:sz w:val="32"/>
          <w:szCs w:val="32"/>
        </w:rPr>
        <w:t>（二）机构设置</w:t>
      </w:r>
    </w:p>
    <w:p>
      <w:pPr>
        <w:spacing w:line="600" w:lineRule="atLeast"/>
        <w:ind w:firstLine="640"/>
        <w:jc w:val="both"/>
        <w:rPr>
          <w:rFonts w:ascii="仿宋" w:eastAsia="仿宋" w:cs="Arial"/>
          <w:sz w:val="32"/>
          <w:szCs w:val="32"/>
        </w:rPr>
      </w:pPr>
      <w:r>
        <w:rPr>
          <w:rFonts w:hint="eastAsia" w:ascii="仿宋" w:eastAsia="仿宋" w:cs="Arial"/>
          <w:sz w:val="32"/>
          <w:szCs w:val="32"/>
        </w:rPr>
        <w:t>（部门）从预算单位构成看，台州市温岭市融媒体中心部门决算包括：中心本级决算。</w:t>
      </w:r>
    </w:p>
    <w:p>
      <w:pPr>
        <w:spacing w:line="600" w:lineRule="atLeast"/>
        <w:ind w:firstLine="640"/>
        <w:jc w:val="both"/>
        <w:rPr>
          <w:rFonts w:ascii="仿宋" w:eastAsia="仿宋" w:cs="Arial"/>
          <w:sz w:val="32"/>
          <w:szCs w:val="32"/>
        </w:rPr>
      </w:pPr>
      <w:r>
        <w:rPr>
          <w:rFonts w:hint="eastAsia" w:ascii="仿宋" w:eastAsia="仿宋" w:cs="Arial"/>
          <w:sz w:val="32"/>
          <w:szCs w:val="32"/>
        </w:rPr>
        <w:t>纳入台州市温岭市融媒体中心2020年度部门决算编制范围的二级预算单位包括：</w:t>
      </w:r>
    </w:p>
    <w:p>
      <w:pPr>
        <w:spacing w:line="600" w:lineRule="atLeast"/>
        <w:ind w:firstLine="640"/>
        <w:jc w:val="both"/>
        <w:rPr>
          <w:rFonts w:ascii="仿宋" w:eastAsia="仿宋" w:cs="Arial"/>
          <w:sz w:val="32"/>
          <w:szCs w:val="32"/>
        </w:rPr>
      </w:pPr>
      <w:r>
        <w:rPr>
          <w:rFonts w:hint="eastAsia" w:ascii="仿宋" w:eastAsia="仿宋" w:cs="Arial"/>
          <w:sz w:val="32"/>
          <w:szCs w:val="32"/>
        </w:rPr>
        <w:t>1. 无独立编制的二级预算单位。</w:t>
      </w:r>
    </w:p>
    <w:p>
      <w:pPr>
        <w:snapToGrid w:val="0"/>
        <w:ind w:firstLine="800" w:firstLineChars="250"/>
        <w:rPr>
          <w:rFonts w:ascii="仿宋" w:eastAsia="仿宋" w:cs="Arial"/>
          <w:sz w:val="32"/>
          <w:szCs w:val="32"/>
        </w:rPr>
      </w:pPr>
      <w:r>
        <w:rPr>
          <w:rFonts w:hint="eastAsia" w:ascii="仿宋" w:eastAsia="仿宋" w:cs="Arial"/>
          <w:sz w:val="32"/>
          <w:szCs w:val="32"/>
        </w:rPr>
        <w:t>从预算单位构成看，本单位内设：办公室、人事监察室、总编室、财务中心、广播节目中心、综合新闻频道、民生休闲频道及新媒体技术中心。</w:t>
      </w:r>
    </w:p>
    <w:p>
      <w:pPr>
        <w:spacing w:line="600" w:lineRule="atLeast"/>
        <w:ind w:firstLine="640"/>
        <w:jc w:val="both"/>
      </w:pPr>
      <w:r>
        <w:rPr>
          <w:rStyle w:val="7"/>
          <w:rFonts w:hint="eastAsia" w:ascii="黑体" w:eastAsia="黑体" w:cs="Arial"/>
          <w:sz w:val="32"/>
          <w:szCs w:val="32"/>
        </w:rPr>
        <w:t>二、2020年度部门（单位）决算公开表</w:t>
      </w:r>
    </w:p>
    <w:p>
      <w:pPr>
        <w:spacing w:line="600" w:lineRule="atLeast"/>
        <w:ind w:firstLine="640"/>
        <w:jc w:val="both"/>
      </w:pPr>
      <w:r>
        <w:rPr>
          <w:rFonts w:hint="eastAsia" w:ascii="仿宋" w:eastAsia="仿宋" w:cs="Arial"/>
          <w:sz w:val="32"/>
          <w:szCs w:val="32"/>
        </w:rPr>
        <w:t>详见附表。</w:t>
      </w:r>
    </w:p>
    <w:p>
      <w:pPr>
        <w:spacing w:line="600" w:lineRule="atLeast"/>
        <w:ind w:firstLine="640"/>
        <w:jc w:val="both"/>
      </w:pPr>
      <w:r>
        <w:rPr>
          <w:rStyle w:val="7"/>
          <w:rFonts w:hint="eastAsia" w:ascii="黑体" w:eastAsia="黑体" w:cs="Arial"/>
          <w:sz w:val="32"/>
          <w:szCs w:val="32"/>
        </w:rPr>
        <w:t>三、2020年度部门（单位）决算情况说明</w:t>
      </w:r>
    </w:p>
    <w:p>
      <w:pPr>
        <w:spacing w:line="600" w:lineRule="atLeast"/>
        <w:ind w:firstLine="640"/>
        <w:jc w:val="both"/>
        <w:rPr>
          <w:rStyle w:val="7"/>
          <w:rFonts w:ascii="楷体" w:eastAsia="楷体" w:cs="Arial"/>
          <w:sz w:val="32"/>
          <w:szCs w:val="32"/>
        </w:rPr>
      </w:pPr>
      <w:r>
        <w:rPr>
          <w:rStyle w:val="7"/>
          <w:rFonts w:hint="eastAsia" w:ascii="楷体" w:eastAsia="楷体" w:cs="Arial"/>
          <w:sz w:val="32"/>
          <w:szCs w:val="32"/>
        </w:rPr>
        <w:t>（一）收入支出决算总体情况说明</w:t>
      </w:r>
    </w:p>
    <w:p>
      <w:pPr>
        <w:spacing w:line="600" w:lineRule="atLeast"/>
        <w:ind w:firstLine="640"/>
        <w:jc w:val="both"/>
      </w:pPr>
      <w:r>
        <w:rPr>
          <w:rFonts w:hint="eastAsia" w:ascii="仿宋" w:eastAsia="仿宋" w:cs="Arial"/>
          <w:sz w:val="32"/>
          <w:szCs w:val="32"/>
        </w:rPr>
        <w:t>2020年度收入总计5,798.82万元，支出总计5,798.82万元,与2019年度相比，减少91.96万元，下降1.56%。主要原因是：</w:t>
      </w:r>
      <w:r>
        <w:rPr>
          <w:rFonts w:hint="eastAsia" w:ascii="仿宋" w:hAnsi="仿宋" w:eastAsia="仿宋" w:cs="Arial"/>
          <w:color w:val="000000"/>
          <w:sz w:val="32"/>
          <w:szCs w:val="32"/>
        </w:rPr>
        <w:t>基本支出、</w:t>
      </w:r>
      <w:r>
        <w:rPr>
          <w:rFonts w:hint="eastAsia" w:ascii="仿宋" w:hAnsi="仿宋" w:eastAsia="仿宋"/>
          <w:color w:val="000000"/>
          <w:sz w:val="32"/>
          <w:szCs w:val="32"/>
          <w:shd w:val="clear" w:color="auto" w:fill="FFFFFF"/>
        </w:rPr>
        <w:t>人员工资福利支出减少</w:t>
      </w:r>
      <w:r>
        <w:rPr>
          <w:rFonts w:hint="eastAsia" w:ascii="仿宋" w:eastAsia="仿宋" w:cs="Arial"/>
          <w:sz w:val="32"/>
          <w:szCs w:val="32"/>
        </w:rPr>
        <w:t>。</w:t>
      </w:r>
    </w:p>
    <w:p>
      <w:pPr>
        <w:spacing w:line="600" w:lineRule="atLeast"/>
        <w:ind w:firstLine="640"/>
        <w:jc w:val="both"/>
      </w:pPr>
      <w:r>
        <w:rPr>
          <w:rStyle w:val="7"/>
          <w:rFonts w:hint="eastAsia" w:ascii="楷体" w:eastAsia="楷体" w:cs="Arial"/>
          <w:sz w:val="32"/>
          <w:szCs w:val="32"/>
        </w:rPr>
        <w:t>（二）收入决算情况说明</w:t>
      </w:r>
    </w:p>
    <w:p>
      <w:pPr>
        <w:spacing w:line="600" w:lineRule="atLeast"/>
        <w:ind w:firstLine="640"/>
        <w:jc w:val="both"/>
      </w:pPr>
      <w:r>
        <w:rPr>
          <w:rFonts w:hint="eastAsia" w:ascii="仿宋" w:eastAsia="仿宋" w:cs="Arial"/>
          <w:sz w:val="32"/>
          <w:szCs w:val="32"/>
        </w:rPr>
        <w:t>本年收入合计5,798.82万元；包括财政拨款收入820.05万元（其中，一般公共预算820.05万元，政府性基金预算0万元,国有资本经营预算0万元），占收入合计14.14%；上级补助收入0万元，占收入合计0%；事业收入4,978.77万元，占收入合计85.86%；经营收入0万元，占收入合计0%；附属单位上缴收入0万元，占收入合计0%；其他收入0万元，占收入合计0%。</w:t>
      </w:r>
    </w:p>
    <w:p>
      <w:pPr>
        <w:spacing w:line="600" w:lineRule="atLeast"/>
        <w:ind w:firstLine="640"/>
        <w:jc w:val="both"/>
      </w:pPr>
      <w:r>
        <w:rPr>
          <w:rStyle w:val="7"/>
          <w:rFonts w:hint="eastAsia" w:ascii="楷体" w:eastAsia="楷体" w:cs="Arial"/>
          <w:sz w:val="32"/>
          <w:szCs w:val="32"/>
        </w:rPr>
        <w:t>（三）支出决算情况说明</w:t>
      </w:r>
    </w:p>
    <w:p>
      <w:pPr>
        <w:spacing w:line="600" w:lineRule="atLeast"/>
        <w:ind w:firstLine="640"/>
        <w:jc w:val="both"/>
      </w:pPr>
      <w:r>
        <w:rPr>
          <w:rFonts w:hint="eastAsia" w:ascii="仿宋" w:eastAsia="仿宋" w:cs="Arial"/>
          <w:sz w:val="32"/>
          <w:szCs w:val="32"/>
        </w:rPr>
        <w:t>本年支出合计5,798.82万元，其中基本支出4,819.00万元，占83.10%；项目支出979.82万元，占16.90%；上缴上级支出0万元，占0%；经营支出0万元，占0%；对附属单位补助支出0万元，占0%。</w:t>
      </w:r>
    </w:p>
    <w:p>
      <w:pPr>
        <w:spacing w:line="600" w:lineRule="atLeast"/>
        <w:ind w:firstLine="640"/>
        <w:jc w:val="both"/>
        <w:rPr>
          <w:rStyle w:val="7"/>
          <w:rFonts w:ascii="楷体" w:eastAsia="楷体" w:cs="Arial"/>
          <w:sz w:val="32"/>
          <w:szCs w:val="32"/>
        </w:rPr>
      </w:pPr>
      <w:r>
        <w:rPr>
          <w:rStyle w:val="7"/>
          <w:rFonts w:hint="eastAsia" w:ascii="楷体" w:eastAsia="楷体" w:cs="Arial"/>
          <w:sz w:val="32"/>
          <w:szCs w:val="32"/>
        </w:rPr>
        <w:t>（四）财政拨款收入支出决算总体情况说明</w:t>
      </w:r>
    </w:p>
    <w:p>
      <w:pPr>
        <w:spacing w:line="600" w:lineRule="atLeast"/>
        <w:ind w:firstLine="640"/>
        <w:jc w:val="both"/>
      </w:pPr>
      <w:r>
        <w:rPr>
          <w:rFonts w:hint="eastAsia" w:ascii="仿宋" w:eastAsia="仿宋" w:cs="Arial"/>
          <w:sz w:val="32"/>
          <w:szCs w:val="32"/>
        </w:rPr>
        <w:t>2020年度财政拨款收入总计820.05万元，支出总计820.05万元，与2019年相比，各增加125.92万元，增长18.14%。主要原因是省补经费项目增加；财政拨款支出年初预算数500万元，完成年初预算的100%，主要原因是工资福利支出。</w:t>
      </w:r>
    </w:p>
    <w:p>
      <w:pPr>
        <w:spacing w:line="600" w:lineRule="atLeast"/>
        <w:ind w:firstLine="640"/>
        <w:jc w:val="both"/>
      </w:pPr>
      <w:r>
        <w:rPr>
          <w:rStyle w:val="7"/>
          <w:rFonts w:hint="eastAsia" w:ascii="楷体" w:eastAsia="楷体" w:cs="Arial"/>
          <w:sz w:val="32"/>
          <w:szCs w:val="32"/>
        </w:rPr>
        <w:t>（五）一般公共预算财政拨款支出决算情况说明</w:t>
      </w:r>
    </w:p>
    <w:p>
      <w:pPr>
        <w:spacing w:line="600" w:lineRule="atLeast"/>
        <w:ind w:firstLine="640"/>
        <w:jc w:val="both"/>
        <w:rPr>
          <w:rStyle w:val="7"/>
          <w:rFonts w:ascii="仿宋" w:eastAsia="仿宋" w:cs="Arial"/>
          <w:sz w:val="32"/>
          <w:szCs w:val="32"/>
        </w:rPr>
      </w:pPr>
      <w:r>
        <w:rPr>
          <w:rStyle w:val="7"/>
          <w:rFonts w:hint="eastAsia" w:ascii="仿宋" w:eastAsia="仿宋" w:cs="Arial"/>
          <w:sz w:val="32"/>
          <w:szCs w:val="32"/>
        </w:rPr>
        <w:t>1.一般公共预算财政拨款支出决算总体情况。</w:t>
      </w:r>
    </w:p>
    <w:p>
      <w:pPr>
        <w:spacing w:line="600" w:lineRule="atLeast"/>
        <w:ind w:firstLine="640"/>
        <w:jc w:val="both"/>
      </w:pPr>
      <w:r>
        <w:rPr>
          <w:rFonts w:hint="eastAsia" w:ascii="仿宋" w:eastAsia="仿宋" w:cs="Arial"/>
          <w:sz w:val="32"/>
          <w:szCs w:val="32"/>
        </w:rPr>
        <w:t>2020年度一般公共预算财政拨款支出820.05万元，占本年支出合计的14.14%。与2019年相比，一般公共预算财政拨款支出增加208.94万元，增长34.19%。主要原因是：</w:t>
      </w:r>
      <w:r>
        <w:rPr>
          <w:rFonts w:hint="eastAsia" w:ascii="仿宋" w:eastAsia="仿宋"/>
          <w:sz w:val="32"/>
          <w:szCs w:val="32"/>
        </w:rPr>
        <w:t>省补经费项目支出增加</w:t>
      </w:r>
      <w:r>
        <w:rPr>
          <w:rFonts w:hint="eastAsia" w:ascii="仿宋" w:eastAsia="仿宋" w:cs="Arial"/>
          <w:sz w:val="32"/>
          <w:szCs w:val="32"/>
        </w:rPr>
        <w:t>。</w:t>
      </w:r>
    </w:p>
    <w:p>
      <w:pPr>
        <w:spacing w:line="600" w:lineRule="atLeast"/>
        <w:ind w:firstLine="640"/>
        <w:jc w:val="both"/>
      </w:pPr>
      <w:r>
        <w:rPr>
          <w:rStyle w:val="7"/>
          <w:rFonts w:hint="eastAsia" w:ascii="仿宋" w:eastAsia="仿宋" w:cs="Arial"/>
          <w:sz w:val="32"/>
          <w:szCs w:val="32"/>
        </w:rPr>
        <w:t>2.一般公共预算财政拨款支出决算结构情况。</w:t>
      </w:r>
    </w:p>
    <w:p>
      <w:pPr>
        <w:spacing w:line="600" w:lineRule="atLeast"/>
        <w:ind w:firstLine="640"/>
        <w:jc w:val="both"/>
      </w:pPr>
      <w:r>
        <w:rPr>
          <w:rFonts w:hint="eastAsia" w:ascii="仿宋" w:eastAsia="仿宋" w:cs="Arial"/>
          <w:sz w:val="32"/>
          <w:szCs w:val="32"/>
        </w:rPr>
        <w:t>2020年度一般公共预算财政拨款支出820.05万元，主要用于以下方面：一般公共服务（类）支出0万元，占0%；国防（类）支出0万元,占0%；公共安全（类）支出0万元,占0%；教育（类）支出0万元,占0%；科学技术（类）支出0万元,占0%；文化旅游体育与传媒（类）支出820.05万元,占100.00%；社会保障和就业（类）支出0万元,占0%；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line="600" w:lineRule="atLeast"/>
        <w:ind w:firstLine="640"/>
        <w:jc w:val="both"/>
        <w:rPr>
          <w:rStyle w:val="7"/>
          <w:rFonts w:ascii="仿宋" w:eastAsia="仿宋" w:cs="Arial"/>
          <w:sz w:val="32"/>
          <w:szCs w:val="32"/>
        </w:rPr>
      </w:pPr>
      <w:r>
        <w:rPr>
          <w:rStyle w:val="7"/>
          <w:rFonts w:hint="eastAsia" w:ascii="仿宋" w:eastAsia="仿宋" w:cs="Arial"/>
          <w:sz w:val="32"/>
          <w:szCs w:val="32"/>
        </w:rPr>
        <w:t>3.一般公共预算财政拨款支出决算具体情况。</w:t>
      </w:r>
    </w:p>
    <w:p>
      <w:pPr>
        <w:spacing w:line="600" w:lineRule="atLeast"/>
        <w:ind w:firstLine="640"/>
        <w:jc w:val="both"/>
      </w:pPr>
      <w:r>
        <w:rPr>
          <w:rFonts w:hint="eastAsia" w:ascii="仿宋" w:eastAsia="仿宋" w:cs="Arial"/>
          <w:sz w:val="32"/>
          <w:szCs w:val="32"/>
        </w:rPr>
        <w:t>2020年度一般公共预算财政拨款支出年初预算为500万元，支出决算为820.05万元,完成年初预算的164%，主要原因是</w:t>
      </w:r>
      <w:r>
        <w:rPr>
          <w:rFonts w:hint="eastAsia" w:ascii="仿宋" w:eastAsia="仿宋"/>
          <w:sz w:val="32"/>
          <w:szCs w:val="32"/>
        </w:rPr>
        <w:t>省补经费项目支出增加</w:t>
      </w:r>
      <w:r>
        <w:rPr>
          <w:rFonts w:hint="eastAsia" w:ascii="仿宋" w:eastAsia="仿宋" w:cs="Arial"/>
          <w:sz w:val="32"/>
          <w:szCs w:val="32"/>
        </w:rPr>
        <w:t>。其中：</w:t>
      </w:r>
    </w:p>
    <w:p>
      <w:pPr>
        <w:spacing w:line="600" w:lineRule="atLeast"/>
        <w:ind w:firstLine="640"/>
        <w:jc w:val="both"/>
        <w:rPr>
          <w:rFonts w:ascii="仿宋" w:eastAsia="仿宋" w:cs="Arial"/>
          <w:sz w:val="32"/>
          <w:szCs w:val="32"/>
        </w:rPr>
      </w:pPr>
      <w:r>
        <w:rPr>
          <w:rFonts w:hint="eastAsia" w:ascii="仿宋" w:eastAsia="仿宋" w:cs="Arial"/>
          <w:sz w:val="32"/>
          <w:szCs w:val="32"/>
        </w:rPr>
        <w:t>文化旅游体育与传媒支出（类）广播电视（款）其他广播电视支出（项）年初预算为500万元，支出决算为500万元，完成年初预算的100%，决算数等于预算数的主要原因决算数同年初预算数一致，是因为严格执行年初预算的计划安排。</w:t>
      </w:r>
    </w:p>
    <w:p>
      <w:pPr>
        <w:spacing w:line="600" w:lineRule="atLeast"/>
        <w:ind w:firstLine="640"/>
        <w:jc w:val="both"/>
      </w:pPr>
      <w:r>
        <w:rPr>
          <w:rFonts w:hint="eastAsia" w:ascii="仿宋" w:eastAsia="仿宋" w:cs="Arial"/>
          <w:sz w:val="32"/>
          <w:szCs w:val="32"/>
        </w:rPr>
        <w:t>文化旅游体育与传媒支出（类）广播电视（款）其他广播电视支出（项）。年初预算为0万元，支出决算为303.68万元，完成年初预算的100%，决算数大于预算数的主要原因是年中有预算追加，因为省补经费项目增加，年中追加了303.68万元。</w:t>
      </w:r>
    </w:p>
    <w:p>
      <w:pPr>
        <w:spacing w:line="600" w:lineRule="atLeast"/>
        <w:ind w:firstLine="640"/>
        <w:jc w:val="both"/>
      </w:pPr>
      <w:r>
        <w:rPr>
          <w:rFonts w:hint="eastAsia" w:ascii="仿宋" w:eastAsia="仿宋" w:cs="Arial"/>
          <w:sz w:val="32"/>
          <w:szCs w:val="32"/>
        </w:rPr>
        <w:t>其他文化旅游体育与传媒支出（类）其他文化旅游体育与传媒支出（款）公共文化服务体系建设项目（项）。年初预算为0万元，支出决算为16.37万元，完成年初预算的100%，决算数大于预算数的主要原因是年中有预算追加，因为省补经费项目增加，年中追加了16.37万元。</w:t>
      </w:r>
    </w:p>
    <w:p>
      <w:pPr>
        <w:spacing w:line="600" w:lineRule="atLeast"/>
        <w:ind w:firstLine="640"/>
        <w:jc w:val="both"/>
      </w:pPr>
      <w:r>
        <w:rPr>
          <w:rStyle w:val="7"/>
          <w:rFonts w:hint="eastAsia" w:ascii="楷体" w:eastAsia="楷体" w:cs="Arial"/>
          <w:sz w:val="32"/>
          <w:szCs w:val="32"/>
        </w:rPr>
        <w:t>（六）一般公共预算财政拨款基本支出决算情况说明</w:t>
      </w:r>
    </w:p>
    <w:p>
      <w:pPr>
        <w:spacing w:line="600" w:lineRule="atLeast"/>
        <w:ind w:firstLine="640"/>
        <w:jc w:val="both"/>
      </w:pPr>
      <w:r>
        <w:rPr>
          <w:rFonts w:hint="eastAsia" w:ascii="仿宋" w:eastAsia="仿宋" w:cs="Arial"/>
          <w:sz w:val="32"/>
          <w:szCs w:val="32"/>
        </w:rPr>
        <w:t>2020年度一般公共预算财政拨款基本支出500.00万元，其中：：</w:t>
      </w:r>
    </w:p>
    <w:p>
      <w:pPr>
        <w:spacing w:line="600" w:lineRule="atLeast"/>
        <w:ind w:firstLine="640"/>
        <w:jc w:val="both"/>
      </w:pPr>
      <w:r>
        <w:rPr>
          <w:rFonts w:hint="eastAsia" w:ascii="仿宋" w:eastAsia="仿宋" w:cs="Arial"/>
          <w:sz w:val="32"/>
          <w:szCs w:val="32"/>
        </w:rPr>
        <w:t>人员经费500.00万元，主要包括：基本工资、津贴补贴、奖金、绩效工资、</w:t>
      </w:r>
      <w:r>
        <w:rPr>
          <w:rFonts w:ascii="仿宋" w:eastAsia="仿宋" w:cs="Arial"/>
          <w:sz w:val="32"/>
          <w:szCs w:val="32"/>
        </w:rPr>
        <w:t>职工基本医疗保险缴费</w:t>
      </w:r>
      <w:r>
        <w:rPr>
          <w:rFonts w:hint="eastAsia" w:ascii="仿宋" w:eastAsia="仿宋" w:cs="Arial"/>
          <w:sz w:val="32"/>
          <w:szCs w:val="32"/>
        </w:rPr>
        <w:t>、</w:t>
      </w:r>
      <w:r>
        <w:rPr>
          <w:rFonts w:ascii="仿宋" w:eastAsia="仿宋" w:cs="Arial"/>
          <w:sz w:val="32"/>
          <w:szCs w:val="32"/>
        </w:rPr>
        <w:t>公务员医疗补助缴费</w:t>
      </w:r>
      <w:r>
        <w:rPr>
          <w:rFonts w:hint="eastAsia" w:ascii="仿宋" w:eastAsia="仿宋" w:cs="Arial"/>
          <w:sz w:val="32"/>
          <w:szCs w:val="32"/>
        </w:rPr>
        <w:t>、</w:t>
      </w:r>
      <w:r>
        <w:rPr>
          <w:rFonts w:ascii="仿宋" w:eastAsia="仿宋" w:cs="Arial"/>
          <w:sz w:val="32"/>
          <w:szCs w:val="32"/>
        </w:rPr>
        <w:t>其他社会保障缴费</w:t>
      </w:r>
      <w:r>
        <w:rPr>
          <w:rFonts w:hint="eastAsia" w:ascii="仿宋" w:eastAsia="仿宋" w:cs="Arial"/>
          <w:sz w:val="32"/>
          <w:szCs w:val="32"/>
        </w:rPr>
        <w:t>、</w:t>
      </w:r>
      <w:r>
        <w:rPr>
          <w:rFonts w:ascii="仿宋" w:eastAsia="仿宋" w:cs="Arial"/>
          <w:sz w:val="32"/>
          <w:szCs w:val="32"/>
        </w:rPr>
        <w:t>其他工资福利支出</w:t>
      </w:r>
      <w:r>
        <w:rPr>
          <w:rFonts w:hint="eastAsia" w:ascii="仿宋" w:eastAsia="仿宋" w:cs="Arial"/>
          <w:sz w:val="32"/>
          <w:szCs w:val="32"/>
        </w:rPr>
        <w:t>。</w:t>
      </w:r>
    </w:p>
    <w:p>
      <w:pPr>
        <w:spacing w:line="600" w:lineRule="atLeast"/>
        <w:ind w:firstLine="640"/>
        <w:jc w:val="both"/>
      </w:pPr>
      <w:r>
        <w:rPr>
          <w:rFonts w:hint="eastAsia" w:ascii="仿宋" w:eastAsia="仿宋" w:cs="Arial"/>
          <w:sz w:val="32"/>
          <w:szCs w:val="32"/>
        </w:rPr>
        <w:t>公用经费0万元，主要包括：办公费、印刷费。</w:t>
      </w:r>
    </w:p>
    <w:p>
      <w:pPr>
        <w:spacing w:line="600" w:lineRule="atLeast"/>
        <w:ind w:firstLine="640"/>
        <w:jc w:val="both"/>
      </w:pPr>
      <w:r>
        <w:rPr>
          <w:rStyle w:val="7"/>
          <w:rFonts w:hint="eastAsia" w:ascii="楷体" w:eastAsia="楷体" w:cs="Arial"/>
          <w:sz w:val="32"/>
          <w:szCs w:val="32"/>
        </w:rPr>
        <w:t>（七）政府性基金预算财政拨款支出决算总体情况</w:t>
      </w:r>
    </w:p>
    <w:p>
      <w:pPr>
        <w:spacing w:line="600" w:lineRule="atLeast"/>
        <w:ind w:firstLine="640"/>
        <w:jc w:val="both"/>
      </w:pPr>
      <w:r>
        <w:rPr>
          <w:rStyle w:val="7"/>
          <w:rFonts w:hint="eastAsia" w:ascii="仿宋" w:eastAsia="仿宋" w:cs="Arial"/>
          <w:sz w:val="32"/>
          <w:szCs w:val="32"/>
        </w:rPr>
        <w:t>1.政府性基金预算财政拨款支出决算总体情况。</w:t>
      </w:r>
    </w:p>
    <w:p>
      <w:pPr>
        <w:spacing w:line="600" w:lineRule="atLeast"/>
        <w:ind w:firstLine="640"/>
        <w:jc w:val="both"/>
        <w:rPr>
          <w:rFonts w:ascii="仿宋" w:eastAsia="仿宋" w:cs="Arial"/>
          <w:sz w:val="32"/>
          <w:szCs w:val="32"/>
        </w:rPr>
      </w:pPr>
      <w:r>
        <w:rPr>
          <w:rFonts w:hint="eastAsia" w:ascii="仿宋" w:eastAsia="仿宋" w:cs="Arial"/>
          <w:sz w:val="32"/>
          <w:szCs w:val="32"/>
        </w:rPr>
        <w:t>2020年度政府性基金预算财政拨款支出0万元，占本年支出合计的0%。与2019年相比，政府性基金预算财政拨款支出减少83.02万元，下降100.00%。主要原因是：2020年没有政府性基金预算安排支出。</w:t>
      </w:r>
    </w:p>
    <w:p>
      <w:pPr>
        <w:spacing w:line="600" w:lineRule="atLeast"/>
        <w:ind w:firstLine="640"/>
        <w:jc w:val="both"/>
      </w:pPr>
      <w:r>
        <w:rPr>
          <w:rStyle w:val="7"/>
          <w:rFonts w:hint="eastAsia" w:ascii="仿宋" w:eastAsia="仿宋" w:cs="Arial"/>
          <w:sz w:val="32"/>
          <w:szCs w:val="32"/>
        </w:rPr>
        <w:t>2.政府性基金预算财政拨款支出决算结构情况。</w:t>
      </w:r>
    </w:p>
    <w:p>
      <w:pPr>
        <w:spacing w:line="600" w:lineRule="atLeast"/>
        <w:ind w:firstLine="640"/>
        <w:jc w:val="both"/>
      </w:pPr>
      <w:r>
        <w:rPr>
          <w:rFonts w:hint="eastAsia" w:ascii="仿宋" w:eastAsia="仿宋" w:cs="Arial"/>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抗疫特别国债安排（类）支出0万元,占0%。</w:t>
      </w:r>
    </w:p>
    <w:p>
      <w:pPr>
        <w:spacing w:line="600" w:lineRule="atLeast"/>
        <w:ind w:firstLine="640"/>
        <w:jc w:val="both"/>
        <w:rPr>
          <w:rStyle w:val="7"/>
          <w:rFonts w:ascii="仿宋" w:eastAsia="仿宋" w:cs="Arial"/>
          <w:sz w:val="32"/>
          <w:szCs w:val="32"/>
        </w:rPr>
      </w:pPr>
      <w:r>
        <w:rPr>
          <w:rStyle w:val="7"/>
          <w:rFonts w:hint="eastAsia" w:ascii="仿宋" w:eastAsia="仿宋" w:cs="Arial"/>
          <w:sz w:val="32"/>
          <w:szCs w:val="32"/>
        </w:rPr>
        <w:t>3.政府性基金预算财政拨款支出决算具体情况。</w:t>
      </w:r>
    </w:p>
    <w:p>
      <w:pPr>
        <w:spacing w:line="600" w:lineRule="atLeast"/>
        <w:ind w:firstLine="640"/>
        <w:jc w:val="both"/>
      </w:pPr>
      <w:r>
        <w:rPr>
          <w:rFonts w:hint="eastAsia" w:ascii="仿宋" w:eastAsia="仿宋" w:cs="Arial"/>
          <w:sz w:val="32"/>
          <w:szCs w:val="32"/>
        </w:rPr>
        <w:t>2020年度政府性基金预算财政拨款支出年初预算为0万元，支出决算为0万元,完成年初预算的0%，主要原因是本部门（单位）2020年度无政府性基金预算财政拨款收支安排，故无相关数据。</w:t>
      </w:r>
    </w:p>
    <w:p>
      <w:pPr>
        <w:spacing w:line="600" w:lineRule="atLeast"/>
        <w:ind w:firstLine="640"/>
        <w:jc w:val="both"/>
      </w:pPr>
    </w:p>
    <w:p>
      <w:pPr>
        <w:spacing w:line="600" w:lineRule="atLeast"/>
        <w:ind w:firstLine="640"/>
        <w:jc w:val="both"/>
      </w:pPr>
      <w:r>
        <w:rPr>
          <w:rStyle w:val="7"/>
          <w:rFonts w:hint="eastAsia" w:ascii="楷体" w:eastAsia="楷体" w:cs="Arial"/>
          <w:sz w:val="32"/>
          <w:szCs w:val="32"/>
        </w:rPr>
        <w:t>（八）国有资本经营预算财政拨款支出决算总体情况</w:t>
      </w:r>
    </w:p>
    <w:p>
      <w:pPr>
        <w:spacing w:line="600" w:lineRule="atLeast"/>
        <w:ind w:firstLine="640"/>
        <w:jc w:val="both"/>
      </w:pPr>
      <w:r>
        <w:rPr>
          <w:rStyle w:val="7"/>
          <w:rFonts w:hint="eastAsia" w:ascii="仿宋" w:eastAsia="仿宋" w:cs="Arial"/>
          <w:sz w:val="32"/>
          <w:szCs w:val="32"/>
        </w:rPr>
        <w:t>1.国有资本经营预算财政拨款支出决算总体情况。</w:t>
      </w:r>
    </w:p>
    <w:p>
      <w:pPr>
        <w:spacing w:line="600" w:lineRule="atLeast"/>
        <w:ind w:firstLine="640"/>
        <w:jc w:val="both"/>
      </w:pPr>
      <w:r>
        <w:rPr>
          <w:rFonts w:hint="eastAsia" w:ascii="仿宋" w:eastAsia="仿宋" w:cs="Arial"/>
          <w:sz w:val="32"/>
          <w:szCs w:val="32"/>
        </w:rPr>
        <w:t>2020年度国有资本经营预算财政拨款支出0万元，占本年支出合计的0%。</w:t>
      </w:r>
    </w:p>
    <w:p>
      <w:pPr>
        <w:spacing w:line="600" w:lineRule="atLeast"/>
        <w:ind w:firstLine="640"/>
        <w:jc w:val="both"/>
      </w:pPr>
      <w:r>
        <w:rPr>
          <w:rStyle w:val="7"/>
          <w:rFonts w:hint="eastAsia" w:ascii="仿宋" w:eastAsia="仿宋" w:cs="Arial"/>
          <w:sz w:val="32"/>
          <w:szCs w:val="32"/>
        </w:rPr>
        <w:t>2.国有资本经营预算财政拨款支出决算结构情况。</w:t>
      </w:r>
    </w:p>
    <w:p>
      <w:pPr>
        <w:spacing w:line="600" w:lineRule="atLeast"/>
        <w:ind w:firstLine="640"/>
        <w:jc w:val="both"/>
      </w:pPr>
      <w:r>
        <w:rPr>
          <w:rFonts w:hint="eastAsia" w:ascii="仿宋" w:eastAsia="仿宋" w:cs="Arial"/>
          <w:sz w:val="32"/>
          <w:szCs w:val="32"/>
        </w:rPr>
        <w:t>2020年度国有资本经营预算财政拨款支出0万元，主要用于以下方面：国有资本经营（类）支出0万元,占0%。</w:t>
      </w:r>
    </w:p>
    <w:p>
      <w:pPr>
        <w:spacing w:line="600" w:lineRule="atLeast"/>
        <w:ind w:firstLine="640"/>
        <w:jc w:val="both"/>
      </w:pPr>
      <w:r>
        <w:rPr>
          <w:rStyle w:val="7"/>
          <w:rFonts w:hint="eastAsia" w:ascii="仿宋" w:eastAsia="仿宋" w:cs="Arial"/>
          <w:sz w:val="32"/>
          <w:szCs w:val="32"/>
        </w:rPr>
        <w:t>3.国有资本经营预算财政拨款支出决算具体情况。</w:t>
      </w:r>
    </w:p>
    <w:p>
      <w:pPr>
        <w:spacing w:line="600" w:lineRule="atLeast"/>
        <w:ind w:firstLine="640"/>
        <w:jc w:val="both"/>
        <w:rPr>
          <w:rFonts w:ascii="仿宋" w:eastAsia="仿宋" w:cs="Arial"/>
          <w:sz w:val="32"/>
          <w:szCs w:val="32"/>
        </w:rPr>
      </w:pPr>
      <w:r>
        <w:rPr>
          <w:rFonts w:hint="eastAsia" w:ascii="仿宋" w:eastAsia="仿宋" w:cs="Arial"/>
          <w:sz w:val="32"/>
          <w:szCs w:val="32"/>
        </w:rPr>
        <w:t>本部门（单位）2020年度无国有资本经营预算财政拨款收支安排，故无相关数据。</w:t>
      </w:r>
    </w:p>
    <w:p>
      <w:pPr>
        <w:spacing w:line="600" w:lineRule="atLeast"/>
        <w:ind w:firstLine="640"/>
        <w:jc w:val="both"/>
      </w:pPr>
      <w:r>
        <w:rPr>
          <w:rStyle w:val="7"/>
          <w:rFonts w:hint="eastAsia" w:ascii="楷体" w:eastAsia="楷体" w:cs="Arial"/>
          <w:sz w:val="32"/>
          <w:szCs w:val="32"/>
        </w:rPr>
        <w:t>（九）一般公共预算财政拨款“三公”经费支出决算情况说明</w:t>
      </w:r>
    </w:p>
    <w:p>
      <w:pPr>
        <w:spacing w:line="600" w:lineRule="atLeast"/>
        <w:ind w:firstLine="640"/>
        <w:jc w:val="both"/>
      </w:pPr>
      <w:r>
        <w:rPr>
          <w:rStyle w:val="7"/>
          <w:rFonts w:hint="eastAsia" w:ascii="仿宋" w:eastAsia="仿宋" w:cs="Arial"/>
          <w:sz w:val="32"/>
          <w:szCs w:val="32"/>
        </w:rPr>
        <w:t xml:space="preserve">1.“三公”经费一般公共预算财政拨款支出决算总体情况说明。 </w:t>
      </w:r>
    </w:p>
    <w:p>
      <w:pPr>
        <w:spacing w:line="600" w:lineRule="atLeast"/>
        <w:ind w:firstLine="640"/>
        <w:jc w:val="both"/>
      </w:pPr>
      <w:r>
        <w:rPr>
          <w:rFonts w:hint="eastAsia" w:ascii="仿宋" w:eastAsia="仿宋" w:cs="Arial"/>
          <w:sz w:val="32"/>
          <w:szCs w:val="32"/>
        </w:rPr>
        <w:t>2020年度“三公”经费一般公共预算财政拨款支出预算为18.36万元，支出决算为12.70万元，完成预算的69.17%,2020年度“三公”经费支出决算数小于预算数的主要原因是</w:t>
      </w:r>
      <w:r>
        <w:rPr>
          <w:rFonts w:hint="eastAsia" w:ascii="仿宋" w:eastAsia="仿宋"/>
          <w:sz w:val="32"/>
          <w:szCs w:val="32"/>
        </w:rPr>
        <w:t>省级和兄弟县市台新闻宣传工作的合作交流与学习，以及对接待费严格控制</w:t>
      </w:r>
      <w:r>
        <w:rPr>
          <w:rFonts w:hint="eastAsia" w:ascii="仿宋" w:eastAsia="仿宋" w:cs="Arial"/>
          <w:sz w:val="32"/>
          <w:szCs w:val="32"/>
        </w:rPr>
        <w:t>。</w:t>
      </w:r>
    </w:p>
    <w:p>
      <w:pPr>
        <w:spacing w:line="600" w:lineRule="atLeast"/>
        <w:ind w:firstLine="640"/>
        <w:jc w:val="both"/>
      </w:pPr>
      <w:r>
        <w:rPr>
          <w:rStyle w:val="7"/>
          <w:rFonts w:hint="eastAsia" w:ascii="仿宋" w:eastAsia="仿宋" w:cs="Arial"/>
          <w:sz w:val="32"/>
          <w:szCs w:val="32"/>
        </w:rPr>
        <w:t>2.“三公”经费一般公共预算财政拨款支出决算具体情况说明。</w:t>
      </w:r>
    </w:p>
    <w:p>
      <w:pPr>
        <w:spacing w:line="600" w:lineRule="atLeast"/>
        <w:ind w:firstLine="640"/>
        <w:jc w:val="both"/>
      </w:pPr>
      <w:r>
        <w:rPr>
          <w:rFonts w:hint="eastAsia" w:ascii="仿宋" w:eastAsia="仿宋" w:cs="Arial"/>
          <w:sz w:val="32"/>
          <w:szCs w:val="32"/>
        </w:rPr>
        <w:t>2020年度“三公”经费一般公共预算财政拨款支出决算中，因公出国（境）费用支出决算为0万元，占0%，与2019年度相比，增加0万元，增长0%，主要原因是2020年无因公出国境经费安排；公务用车购置及运行维护费支出决算为2.96万元，占23.31%，与2019年度相比，减少12.82万元，下降81.24%，主要原因是2020年无公务用车购置安排；公务接待费支出决算为9.73万元，占63.35%，与2019年度相比，增加4.80万元，增长49.33%，主要原因是</w:t>
      </w:r>
      <w:r>
        <w:rPr>
          <w:rFonts w:hint="eastAsia" w:ascii="仿宋" w:eastAsia="仿宋"/>
          <w:sz w:val="32"/>
          <w:szCs w:val="32"/>
        </w:rPr>
        <w:t>省级和兄弟县市台新闻宣传工作的合作交流与学习增多，以及对接待费严格控制</w:t>
      </w:r>
      <w:r>
        <w:rPr>
          <w:rFonts w:hint="eastAsia" w:ascii="仿宋" w:eastAsia="仿宋" w:cs="Arial"/>
          <w:sz w:val="32"/>
          <w:szCs w:val="32"/>
        </w:rPr>
        <w:t>。</w:t>
      </w:r>
    </w:p>
    <w:p>
      <w:pPr>
        <w:spacing w:line="600" w:lineRule="atLeast"/>
        <w:ind w:firstLine="640"/>
        <w:jc w:val="both"/>
      </w:pPr>
      <w:r>
        <w:rPr>
          <w:rFonts w:hint="eastAsia" w:ascii="仿宋" w:eastAsia="仿宋" w:cs="Arial"/>
          <w:sz w:val="32"/>
          <w:szCs w:val="32"/>
        </w:rPr>
        <w:t>具体情况如下：</w:t>
      </w:r>
    </w:p>
    <w:p>
      <w:pPr>
        <w:spacing w:line="600" w:lineRule="atLeast"/>
        <w:ind w:firstLine="640"/>
        <w:jc w:val="both"/>
      </w:pPr>
      <w:r>
        <w:rPr>
          <w:rFonts w:hint="eastAsia" w:ascii="仿宋" w:eastAsia="仿宋" w:cs="Arial"/>
          <w:sz w:val="32"/>
          <w:szCs w:val="32"/>
        </w:rPr>
        <w:t>（1）因公出国（境）费预算数为0万元，支出决算为0万元。完成预算的0%。主要用于机关及下属预算单位人员的公务出国（境）的住宿费、国际旅费、培训费、公杂费等支出。决算数等于预算数的主要原因是2020年无因公出国境经费安排。全年使用一般公共预算财政拨款支出涉及因公出国(境)团组0个；累计0人次。</w:t>
      </w:r>
    </w:p>
    <w:p>
      <w:pPr>
        <w:spacing w:line="600" w:lineRule="atLeast"/>
        <w:ind w:firstLine="640"/>
        <w:jc w:val="both"/>
        <w:rPr>
          <w:rFonts w:ascii="仿宋" w:eastAsia="仿宋" w:cs="Arial"/>
          <w:sz w:val="32"/>
          <w:szCs w:val="32"/>
        </w:rPr>
      </w:pPr>
      <w:r>
        <w:rPr>
          <w:rFonts w:hint="eastAsia" w:ascii="仿宋" w:eastAsia="仿宋" w:cs="Arial"/>
          <w:sz w:val="32"/>
          <w:szCs w:val="32"/>
        </w:rPr>
        <w:t>（2）公务用车购置及运行维护费预算数为5.30万元，支出决算为2.96万元，完成预算的55.85%。决算数小于预算数的主要原因是车辆修理费减少。</w:t>
      </w:r>
    </w:p>
    <w:p>
      <w:pPr>
        <w:spacing w:line="600" w:lineRule="atLeast"/>
        <w:ind w:firstLine="640"/>
        <w:jc w:val="both"/>
      </w:pPr>
      <w:r>
        <w:rPr>
          <w:rFonts w:hint="eastAsia" w:ascii="仿宋" w:eastAsia="仿宋" w:cs="Arial"/>
          <w:sz w:val="32"/>
          <w:szCs w:val="32"/>
        </w:rPr>
        <w:t>公务用车购置预算数为0万元，支出决算为0万元（含购置税等附加费用），完成预算的0%。决算数等于预算数的主要原因是无公务用车购置预算安排。主要用于经批准购置的0辆公务用车；</w:t>
      </w:r>
    </w:p>
    <w:p>
      <w:pPr>
        <w:spacing w:line="600" w:lineRule="atLeast"/>
        <w:ind w:firstLine="640"/>
        <w:jc w:val="both"/>
      </w:pPr>
      <w:r>
        <w:rPr>
          <w:rFonts w:hint="eastAsia" w:ascii="仿宋" w:eastAsia="仿宋" w:cs="Arial"/>
          <w:sz w:val="32"/>
          <w:szCs w:val="32"/>
        </w:rPr>
        <w:t>公务用车运行维护费预算数为5.30万元，支出2.96万元，完成预算的55.85%。决算数小于预算数的主要原因是去年新购车辆修理费用较少，主要用于本台记者新闻采访</w:t>
      </w:r>
      <w:r>
        <w:rPr>
          <w:rFonts w:hint="eastAsia" w:ascii="仿宋" w:eastAsia="仿宋"/>
          <w:sz w:val="32"/>
          <w:szCs w:val="32"/>
        </w:rPr>
        <w:t>，以及车辆的修理减少</w:t>
      </w:r>
      <w:r>
        <w:rPr>
          <w:rFonts w:hint="eastAsia" w:ascii="仿宋" w:eastAsia="仿宋" w:cs="Arial"/>
          <w:sz w:val="32"/>
          <w:szCs w:val="32"/>
        </w:rPr>
        <w:t>等所需的公务用车燃料费、维修费、过路过桥费、保险费、安全奖励费用等支出；2020年度，本级及所属单位开支一般公共预算财政拨款的公务用车保有量为2辆。</w:t>
      </w:r>
    </w:p>
    <w:p>
      <w:pPr>
        <w:spacing w:line="600" w:lineRule="atLeast"/>
        <w:ind w:firstLine="640"/>
        <w:jc w:val="both"/>
      </w:pPr>
      <w:r>
        <w:rPr>
          <w:rFonts w:hint="eastAsia" w:ascii="仿宋" w:eastAsia="仿宋" w:cs="Arial"/>
          <w:sz w:val="32"/>
          <w:szCs w:val="32"/>
        </w:rPr>
        <w:t>（3）公务接待费预算数为13.06万元，支出决算为9.73万元，完成预算的74.50%。主要用于接待</w:t>
      </w:r>
      <w:r>
        <w:rPr>
          <w:rFonts w:hint="eastAsia" w:ascii="仿宋" w:eastAsia="仿宋"/>
          <w:sz w:val="32"/>
          <w:szCs w:val="32"/>
        </w:rPr>
        <w:t>省级和兄弟县市台新闻宣传工作的合作交流与学习</w:t>
      </w:r>
      <w:r>
        <w:rPr>
          <w:rFonts w:hint="eastAsia" w:ascii="仿宋" w:eastAsia="仿宋" w:cs="Arial"/>
          <w:sz w:val="32"/>
          <w:szCs w:val="32"/>
        </w:rPr>
        <w:t>等支出。决算数小于预算数的主要原因是</w:t>
      </w:r>
      <w:r>
        <w:rPr>
          <w:rFonts w:hint="eastAsia" w:ascii="仿宋" w:eastAsia="仿宋"/>
          <w:sz w:val="32"/>
          <w:szCs w:val="32"/>
        </w:rPr>
        <w:t>省级和兄弟县市台新闻宣传工作的合作交流与学习，以及对接待费严格控制。</w:t>
      </w:r>
      <w:r>
        <w:rPr>
          <w:rFonts w:hint="eastAsia" w:ascii="仿宋" w:eastAsia="仿宋" w:cs="Arial"/>
          <w:sz w:val="32"/>
          <w:szCs w:val="32"/>
        </w:rPr>
        <w:t>全年使用一般公共预算财政拨款国内公务接待44团组，累计2384人次。</w:t>
      </w:r>
    </w:p>
    <w:p>
      <w:pPr>
        <w:spacing w:line="600" w:lineRule="atLeast"/>
        <w:ind w:firstLine="640"/>
        <w:jc w:val="both"/>
      </w:pPr>
      <w:r>
        <w:rPr>
          <w:rFonts w:hint="eastAsia" w:ascii="仿宋" w:eastAsia="仿宋" w:cs="Arial"/>
          <w:sz w:val="32"/>
          <w:szCs w:val="32"/>
        </w:rPr>
        <w:t>外宾接待支出0万元，主要用于外事接待0团组，0人次。</w:t>
      </w:r>
    </w:p>
    <w:p>
      <w:pPr>
        <w:spacing w:line="600" w:lineRule="atLeast"/>
        <w:ind w:firstLine="640"/>
        <w:jc w:val="both"/>
      </w:pPr>
      <w:r>
        <w:rPr>
          <w:rFonts w:hint="eastAsia" w:ascii="仿宋" w:eastAsia="仿宋" w:cs="Arial"/>
          <w:sz w:val="32"/>
          <w:szCs w:val="32"/>
        </w:rPr>
        <w:t>其他国内公务接待支出9.73万元，主要用于</w:t>
      </w:r>
      <w:r>
        <w:rPr>
          <w:rFonts w:hint="eastAsia" w:ascii="仿宋" w:eastAsia="仿宋"/>
          <w:sz w:val="32"/>
          <w:szCs w:val="32"/>
        </w:rPr>
        <w:t>省级和兄弟县市台新闻宣传工作的合作交流与学习</w:t>
      </w:r>
      <w:r>
        <w:rPr>
          <w:rFonts w:hint="eastAsia" w:ascii="仿宋" w:eastAsia="仿宋" w:cs="Arial"/>
          <w:sz w:val="32"/>
          <w:szCs w:val="32"/>
        </w:rPr>
        <w:t>接待44团组，2384人次。</w:t>
      </w:r>
    </w:p>
    <w:p>
      <w:pPr>
        <w:spacing w:line="600" w:lineRule="atLeast"/>
        <w:ind w:firstLine="640"/>
        <w:jc w:val="both"/>
        <w:rPr>
          <w:rStyle w:val="7"/>
          <w:rFonts w:ascii="楷体" w:eastAsia="楷体" w:cs="Arial"/>
          <w:sz w:val="32"/>
          <w:szCs w:val="32"/>
        </w:rPr>
      </w:pPr>
      <w:r>
        <w:rPr>
          <w:rStyle w:val="7"/>
          <w:rFonts w:hint="eastAsia" w:ascii="楷体" w:eastAsia="楷体" w:cs="Arial"/>
          <w:sz w:val="32"/>
          <w:szCs w:val="32"/>
        </w:rPr>
        <w:t>（十）机关运行经费支出说明</w:t>
      </w:r>
    </w:p>
    <w:p>
      <w:pPr>
        <w:spacing w:line="600" w:lineRule="atLeast"/>
        <w:ind w:firstLine="640"/>
        <w:jc w:val="both"/>
        <w:rPr>
          <w:rFonts w:ascii="仿宋" w:eastAsia="仿宋" w:cs="Arial"/>
          <w:sz w:val="32"/>
          <w:szCs w:val="32"/>
        </w:rPr>
      </w:pPr>
      <w:r>
        <w:rPr>
          <w:rFonts w:hint="eastAsia" w:ascii="仿宋" w:eastAsia="仿宋" w:cs="Arial"/>
          <w:sz w:val="32"/>
          <w:szCs w:val="32"/>
        </w:rPr>
        <w:t>本单位是非参公的事业单位，无机关运行经费安排，机关运行经费为0万元。</w:t>
      </w:r>
    </w:p>
    <w:p>
      <w:pPr>
        <w:spacing w:line="600" w:lineRule="atLeast"/>
        <w:ind w:firstLine="640"/>
        <w:jc w:val="both"/>
      </w:pPr>
      <w:r>
        <w:rPr>
          <w:rStyle w:val="7"/>
          <w:rFonts w:hint="eastAsia" w:ascii="楷体" w:eastAsia="楷体" w:cs="Arial"/>
          <w:sz w:val="32"/>
          <w:szCs w:val="32"/>
        </w:rPr>
        <w:t>（十一）政府采购支出说明</w:t>
      </w:r>
    </w:p>
    <w:p>
      <w:pPr>
        <w:spacing w:line="600" w:lineRule="atLeast"/>
        <w:ind w:firstLine="640"/>
        <w:jc w:val="both"/>
      </w:pPr>
      <w:r>
        <w:rPr>
          <w:rFonts w:hint="eastAsia" w:ascii="仿宋" w:eastAsia="仿宋" w:cs="Arial"/>
          <w:sz w:val="32"/>
          <w:szCs w:val="32"/>
        </w:rPr>
        <w:t>2020年度政府采购支出总额34.45万元，其中：政府采购货物支出34.45万元、政府采购工程支出0万元、政府采购服务支出0万元。授予中小企业合同金额0万元，占政府采购支出总额的78.87%。其中，授予小微企业合同金额0万元，占政府采购支出总额的0%。</w:t>
      </w:r>
    </w:p>
    <w:p>
      <w:pPr>
        <w:spacing w:line="600" w:lineRule="atLeast"/>
        <w:ind w:firstLine="640"/>
        <w:jc w:val="both"/>
      </w:pPr>
      <w:r>
        <w:rPr>
          <w:rStyle w:val="7"/>
          <w:rFonts w:hint="eastAsia" w:ascii="楷体" w:eastAsia="楷体" w:cs="Arial"/>
          <w:sz w:val="32"/>
          <w:szCs w:val="32"/>
        </w:rPr>
        <w:t>（十二）国有资产占有情况说明</w:t>
      </w:r>
    </w:p>
    <w:p>
      <w:pPr>
        <w:spacing w:line="600" w:lineRule="atLeast"/>
        <w:ind w:firstLine="640"/>
        <w:jc w:val="both"/>
      </w:pPr>
      <w:r>
        <w:rPr>
          <w:rFonts w:hint="eastAsia" w:ascii="仿宋" w:eastAsia="仿宋" w:cs="Arial"/>
          <w:sz w:val="32"/>
          <w:szCs w:val="32"/>
        </w:rPr>
        <w:t xml:space="preserve">截至2020年12月31日，温岭市融媒体中心本级及所属各单位共有车辆2辆，其中，副部（省）级及以上领导用车0辆、主要领导干部用车0辆、机要通信用车0辆、应急保障用车0辆、执法执勤用车0辆、特种专业技术用车0辆、离退休干部用车0辆、其他用车2辆,其他用车主要是新闻采访；单价50万元以上通用设备0台（套），单价100万元以上专用设备0台（套）。 </w:t>
      </w:r>
    </w:p>
    <w:p>
      <w:pPr>
        <w:spacing w:line="600" w:lineRule="atLeast"/>
        <w:ind w:firstLine="640"/>
        <w:jc w:val="both"/>
      </w:pPr>
      <w:r>
        <w:rPr>
          <w:rStyle w:val="7"/>
          <w:rFonts w:hint="eastAsia" w:ascii="楷体" w:eastAsia="楷体" w:cs="Arial"/>
          <w:sz w:val="32"/>
          <w:szCs w:val="32"/>
        </w:rPr>
        <w:t>（十三）预算绩效情况说明</w:t>
      </w:r>
    </w:p>
    <w:p>
      <w:pPr>
        <w:spacing w:line="600" w:lineRule="atLeast"/>
        <w:ind w:firstLine="640"/>
        <w:jc w:val="both"/>
      </w:pPr>
      <w:r>
        <w:rPr>
          <w:rStyle w:val="7"/>
          <w:rFonts w:hint="eastAsia" w:ascii="仿宋" w:eastAsia="仿宋" w:cs="Arial"/>
          <w:sz w:val="32"/>
          <w:szCs w:val="32"/>
        </w:rPr>
        <w:t xml:space="preserve">1.预算绩效管理工作开展情况。 </w:t>
      </w:r>
    </w:p>
    <w:p>
      <w:pPr>
        <w:spacing w:line="600" w:lineRule="atLeast"/>
        <w:ind w:firstLine="640"/>
        <w:jc w:val="both"/>
      </w:pPr>
      <w:r>
        <w:rPr>
          <w:rFonts w:hint="eastAsia" w:ascii="仿宋" w:eastAsia="仿宋" w:cs="Arial"/>
          <w:sz w:val="32"/>
          <w:szCs w:val="32"/>
        </w:rPr>
        <w:t>根据预算绩效管理要求，温岭市融媒体中心组织对2020年度一般公共预算项目支出全面开展绩效自评，涉及项目</w:t>
      </w:r>
      <w:r>
        <w:rPr>
          <w:rFonts w:ascii="仿宋" w:eastAsia="仿宋" w:cs="Arial"/>
          <w:sz w:val="32"/>
          <w:szCs w:val="32"/>
        </w:rPr>
        <w:t>5</w:t>
      </w:r>
      <w:r>
        <w:rPr>
          <w:rFonts w:hint="eastAsia" w:ascii="仿宋" w:eastAsia="仿宋" w:cs="Arial"/>
          <w:sz w:val="32"/>
          <w:szCs w:val="32"/>
        </w:rPr>
        <w:t>个，共涉及资金</w:t>
      </w:r>
      <w:r>
        <w:rPr>
          <w:rFonts w:ascii="仿宋" w:eastAsia="仿宋" w:cs="Arial"/>
          <w:sz w:val="32"/>
          <w:szCs w:val="32"/>
        </w:rPr>
        <w:t>734</w:t>
      </w:r>
      <w:r>
        <w:rPr>
          <w:rFonts w:hint="eastAsia" w:ascii="仿宋" w:eastAsia="仿宋" w:cs="Arial"/>
          <w:sz w:val="32"/>
          <w:szCs w:val="32"/>
        </w:rPr>
        <w:t>万元，占一般公共预算项目支出总额的</w:t>
      </w:r>
      <w:r>
        <w:rPr>
          <w:rFonts w:ascii="仿宋" w:eastAsia="仿宋" w:cs="Arial"/>
          <w:sz w:val="32"/>
          <w:szCs w:val="32"/>
        </w:rPr>
        <w:t>100</w:t>
      </w:r>
      <w:r>
        <w:rPr>
          <w:rFonts w:hint="eastAsia" w:ascii="仿宋" w:eastAsia="仿宋" w:cs="Arial"/>
          <w:sz w:val="32"/>
          <w:szCs w:val="32"/>
        </w:rPr>
        <w:t xml:space="preserve">%。本年无政府性基金预算项目。 </w:t>
      </w:r>
    </w:p>
    <w:p>
      <w:pPr>
        <w:spacing w:line="600" w:lineRule="atLeast"/>
        <w:ind w:firstLine="640"/>
        <w:jc w:val="both"/>
      </w:pPr>
      <w:r>
        <w:rPr>
          <w:rFonts w:hint="eastAsia" w:ascii="仿宋" w:eastAsia="仿宋" w:cs="Arial"/>
          <w:sz w:val="32"/>
          <w:szCs w:val="32"/>
        </w:rPr>
        <w:t>本年无部门评价。</w:t>
      </w:r>
    </w:p>
    <w:p>
      <w:pPr>
        <w:spacing w:line="600" w:lineRule="atLeast"/>
        <w:ind w:firstLine="640"/>
        <w:jc w:val="both"/>
      </w:pPr>
      <w:r>
        <w:rPr>
          <w:rFonts w:hint="eastAsia" w:ascii="仿宋" w:eastAsia="仿宋" w:cs="Arial"/>
          <w:sz w:val="32"/>
          <w:szCs w:val="32"/>
        </w:rPr>
        <w:t>本年无部门整体支出绩效评价。</w:t>
      </w:r>
    </w:p>
    <w:p>
      <w:pPr>
        <w:spacing w:line="600" w:lineRule="atLeast"/>
        <w:ind w:firstLine="640"/>
        <w:jc w:val="both"/>
      </w:pPr>
      <w:r>
        <w:rPr>
          <w:rFonts w:hint="eastAsia" w:ascii="仿宋" w:eastAsia="仿宋" w:cs="Arial"/>
          <w:sz w:val="32"/>
          <w:szCs w:val="32"/>
        </w:rPr>
        <w:t>本年无下属部门或单位整体支出绩效评价。</w:t>
      </w:r>
    </w:p>
    <w:p>
      <w:pPr>
        <w:spacing w:line="600" w:lineRule="atLeast"/>
        <w:ind w:firstLine="640"/>
        <w:jc w:val="both"/>
        <w:rPr>
          <w:rStyle w:val="7"/>
          <w:rFonts w:ascii="仿宋" w:eastAsia="仿宋" w:cs="Arial"/>
          <w:sz w:val="32"/>
          <w:szCs w:val="32"/>
        </w:rPr>
      </w:pPr>
      <w:r>
        <w:rPr>
          <w:rStyle w:val="7"/>
          <w:rFonts w:hint="eastAsia" w:ascii="仿宋" w:eastAsia="仿宋" w:cs="Arial"/>
          <w:sz w:val="32"/>
          <w:szCs w:val="32"/>
        </w:rPr>
        <w:t>2.部门（单位）决算中项目绩效自评结果</w:t>
      </w:r>
    </w:p>
    <w:p>
      <w:pPr>
        <w:spacing w:line="600" w:lineRule="atLeast"/>
        <w:ind w:firstLine="640"/>
        <w:jc w:val="both"/>
      </w:pPr>
      <w:r>
        <w:rPr>
          <w:rFonts w:hint="eastAsia" w:ascii="仿宋" w:eastAsia="仿宋" w:cs="Arial"/>
          <w:sz w:val="32"/>
          <w:szCs w:val="32"/>
        </w:rPr>
        <w:t>温岭市融毁中心在2020年度部门（单位）决算中反映广电新闻专项支出及广告经营专项支出项目绩效自评结果。</w:t>
      </w:r>
    </w:p>
    <w:p>
      <w:pPr>
        <w:snapToGrid w:val="0"/>
        <w:spacing w:line="600" w:lineRule="atLeast"/>
        <w:ind w:firstLine="640" w:firstLineChars="200"/>
        <w:rPr>
          <w:rFonts w:ascii="仿宋" w:eastAsia="仿宋" w:cs="Arial"/>
          <w:sz w:val="32"/>
          <w:szCs w:val="32"/>
        </w:rPr>
      </w:pPr>
      <w:r>
        <w:rPr>
          <w:rFonts w:hint="eastAsia" w:ascii="仿宋" w:eastAsia="仿宋" w:cs="Arial"/>
          <w:sz w:val="32"/>
          <w:szCs w:val="32"/>
        </w:rPr>
        <w:t>广电新闻专项支出项目绩效自评综述：根据年初设定的绩效目标，项目自评得分</w:t>
      </w:r>
      <w:r>
        <w:rPr>
          <w:rFonts w:ascii="仿宋" w:eastAsia="仿宋" w:cs="Arial"/>
          <w:sz w:val="32"/>
          <w:szCs w:val="32"/>
        </w:rPr>
        <w:t>95</w:t>
      </w:r>
      <w:r>
        <w:rPr>
          <w:rFonts w:hint="eastAsia" w:ascii="仿宋" w:eastAsia="仿宋" w:cs="Arial"/>
          <w:sz w:val="32"/>
          <w:szCs w:val="32"/>
        </w:rPr>
        <w:t>分，自评结论为“优”。项目全年预算数为</w:t>
      </w:r>
      <w:r>
        <w:rPr>
          <w:rFonts w:ascii="仿宋" w:eastAsia="仿宋" w:cs="Arial"/>
          <w:sz w:val="32"/>
          <w:szCs w:val="32"/>
        </w:rPr>
        <w:t>388</w:t>
      </w:r>
      <w:r>
        <w:rPr>
          <w:rFonts w:hint="eastAsia" w:ascii="仿宋" w:eastAsia="仿宋" w:cs="Arial"/>
          <w:sz w:val="32"/>
          <w:szCs w:val="32"/>
        </w:rPr>
        <w:t>万元，执行数为3</w:t>
      </w:r>
      <w:r>
        <w:rPr>
          <w:rFonts w:ascii="仿宋" w:eastAsia="仿宋" w:cs="Arial"/>
          <w:sz w:val="32"/>
          <w:szCs w:val="32"/>
        </w:rPr>
        <w:t>88</w:t>
      </w:r>
      <w:r>
        <w:rPr>
          <w:rFonts w:hint="eastAsia" w:ascii="仿宋" w:eastAsia="仿宋" w:cs="Arial"/>
          <w:sz w:val="32"/>
          <w:szCs w:val="32"/>
        </w:rPr>
        <w:t>万元，完成预算的</w:t>
      </w:r>
      <w:r>
        <w:rPr>
          <w:rFonts w:ascii="仿宋" w:eastAsia="仿宋" w:cs="Arial"/>
          <w:sz w:val="32"/>
          <w:szCs w:val="32"/>
        </w:rPr>
        <w:t>100</w:t>
      </w:r>
      <w:r>
        <w:rPr>
          <w:rFonts w:hint="eastAsia" w:ascii="仿宋" w:eastAsia="仿宋" w:cs="Arial"/>
          <w:sz w:val="32"/>
          <w:szCs w:val="32"/>
        </w:rPr>
        <w:t>%。项目绩效目标完成情况：一是完成市委市政府年初给我台下达的工作目标考核任务及我台全年的工作计划及完成的目标任务。在浙江卫视用稿总数120条左右，单独头条三条；二是蓝媒号温岭版面发稿数达1400多条，总阅读量2000多万，荣获全省广电新媒体协作特等奖，台州广播电视新闻综合用稿第一名。发现的问题及原因：一是资金使用与执行层面的问题。资金执行中，由于新闻聘用人员流动性较大，新闻聘用人员的薪酬计划支出与实际支出会有差异、波动，影响了执行率；二是新闻人才队伍方面的问题。以现在新闻线的人才格局，采编人员主要为近几年招收进来的聘用人员，由于薪酬与正式工相比还是较低，专业人才很难留得住。一些招聘来的采编播人员刚熟练一点就又流失出去，甚至播音主持也辞职了，直接影响到队伍的稳定。下一步改进措施：一是加强媒体融合建设。加大机构的调整、人才队伍的培训与激励机制的完善，畅通媒体工作流程，建立一次采集，多次传播的新格局；二是.进一步加强财务运行的实时动态管控，尤其要做好预算计划工作，在项目立项前尽量科学地设置预算经费。在资金使用过程中则加强监管，注重收集新闻部门各项财务数据的归纳整理分析，以便促进决策的科学性，使资金使用与支出更加合理、规范、有效。三是打造主流舆论阵地。通过广播、电视、报纸、网络等传统与新兴媒体的结合，进一步提高舆论引导水平，改进新闻宣传，提高节目质量。</w:t>
      </w:r>
    </w:p>
    <w:p>
      <w:pPr>
        <w:snapToGrid w:val="0"/>
        <w:spacing w:line="600" w:lineRule="atLeast"/>
        <w:ind w:firstLine="640" w:firstLineChars="200"/>
        <w:rPr>
          <w:rFonts w:ascii="仿宋" w:eastAsia="仿宋" w:cs="Arial"/>
          <w:sz w:val="32"/>
          <w:szCs w:val="32"/>
        </w:rPr>
      </w:pPr>
      <w:r>
        <w:rPr>
          <w:rFonts w:hint="eastAsia" w:ascii="仿宋" w:eastAsia="仿宋" w:cs="Arial"/>
          <w:sz w:val="32"/>
          <w:szCs w:val="32"/>
        </w:rPr>
        <w:t>广告经营专项支出项目绩效自评综述：根据年初设定的绩效目标，项目自评得分</w:t>
      </w:r>
      <w:r>
        <w:rPr>
          <w:rFonts w:ascii="仿宋" w:eastAsia="仿宋" w:cs="Arial"/>
          <w:sz w:val="32"/>
          <w:szCs w:val="32"/>
        </w:rPr>
        <w:t>95</w:t>
      </w:r>
      <w:r>
        <w:rPr>
          <w:rFonts w:hint="eastAsia" w:ascii="仿宋" w:eastAsia="仿宋" w:cs="Arial"/>
          <w:sz w:val="32"/>
          <w:szCs w:val="32"/>
        </w:rPr>
        <w:t>分，自评结论为“优”。项目全年预算数为</w:t>
      </w:r>
      <w:r>
        <w:rPr>
          <w:rFonts w:ascii="仿宋" w:eastAsia="仿宋" w:cs="Arial"/>
          <w:sz w:val="32"/>
          <w:szCs w:val="32"/>
        </w:rPr>
        <w:t>90</w:t>
      </w:r>
      <w:r>
        <w:rPr>
          <w:rFonts w:hint="eastAsia" w:ascii="仿宋" w:eastAsia="仿宋" w:cs="Arial"/>
          <w:sz w:val="32"/>
          <w:szCs w:val="32"/>
        </w:rPr>
        <w:t>万元，执行数为</w:t>
      </w:r>
      <w:r>
        <w:rPr>
          <w:rFonts w:ascii="仿宋" w:eastAsia="仿宋" w:cs="Arial"/>
          <w:sz w:val="32"/>
          <w:szCs w:val="32"/>
        </w:rPr>
        <w:t>66</w:t>
      </w:r>
      <w:r>
        <w:rPr>
          <w:rFonts w:hint="eastAsia" w:ascii="仿宋" w:eastAsia="仿宋" w:cs="Arial"/>
          <w:sz w:val="32"/>
          <w:szCs w:val="32"/>
        </w:rPr>
        <w:t>万元，完成预算的</w:t>
      </w:r>
      <w:r>
        <w:rPr>
          <w:rFonts w:ascii="仿宋" w:eastAsia="仿宋" w:cs="Arial"/>
          <w:sz w:val="32"/>
          <w:szCs w:val="32"/>
        </w:rPr>
        <w:t>73</w:t>
      </w:r>
      <w:r>
        <w:rPr>
          <w:rFonts w:hint="eastAsia" w:ascii="仿宋" w:eastAsia="仿宋" w:cs="Arial"/>
          <w:sz w:val="32"/>
          <w:szCs w:val="32"/>
        </w:rPr>
        <w:t>%。项目绩效目标完成情况：一是完成时政新闻频道实现7</w:t>
      </w:r>
      <w:r>
        <w:rPr>
          <w:rFonts w:ascii="仿宋" w:eastAsia="仿宋" w:cs="Arial"/>
          <w:sz w:val="32"/>
          <w:szCs w:val="32"/>
        </w:rPr>
        <w:t>36</w:t>
      </w:r>
      <w:r>
        <w:rPr>
          <w:rFonts w:hint="eastAsia" w:ascii="仿宋" w:eastAsia="仿宋" w:cs="Arial"/>
          <w:sz w:val="32"/>
          <w:szCs w:val="32"/>
        </w:rPr>
        <w:t>万元广告收入，民生新闻实现300万元广告收入；二是加强对专题片、晚会、合办节目创办、制作的质量把关，打出品牌与美誉度，争取高端广告商。加强公益广告制作与播出，服务于全市中心工作，提升市民文明素质。……。发现的问题及原因：一是资金使用与执行层面无法同步的问题。该项目资金的数据产生是基于电视广告创收的动态变化，由于业务提成、劳务支出等，均与广告的性质、广告创收的进度、数据息息相关，可能会造成执行率偏差。二是广告经营后继乏力的问题。下一步改进措施：一是强化财务运行的实时动态管控。在资金使用过程中则加强监管，注重收集广告相关部门各项财务数据的归纳整理分析，以便促进决策的科学性，使资金使用与支出更加合理、规范、有效。二是要积极争取政府对广电的工作支持，在当前经济属性不能变更的情况下，则要争取出台更有效的激励机制，使广告创收在逆势中能有新的生机。</w:t>
      </w:r>
    </w:p>
    <w:p>
      <w:pPr>
        <w:adjustRightInd w:val="0"/>
        <w:snapToGrid w:val="0"/>
        <w:jc w:val="center"/>
        <w:rPr>
          <w:rFonts w:ascii="楷体_GB2312" w:hAnsi="华文仿宋" w:eastAsia="楷体_GB2312" w:cs="方正小标宋简体"/>
          <w:spacing w:val="7"/>
          <w:sz w:val="32"/>
          <w:szCs w:val="32"/>
        </w:rPr>
      </w:pPr>
      <w:r>
        <w:rPr>
          <w:rFonts w:hint="eastAsia" w:ascii="方正小标宋简体" w:hAnsi="华文仿宋" w:eastAsia="方正小标宋简体" w:cs="方正小标宋简体"/>
          <w:spacing w:val="7"/>
          <w:sz w:val="44"/>
          <w:szCs w:val="44"/>
        </w:rPr>
        <w:t>温岭市项目支出绩效自评表</w:t>
      </w:r>
    </w:p>
    <w:p>
      <w:pPr>
        <w:adjustRightInd w:val="0"/>
        <w:snapToGrid w:val="0"/>
        <w:jc w:val="center"/>
        <w:rPr>
          <w:rFonts w:ascii="楷体_GB2312" w:hAnsi="华文仿宋" w:eastAsia="楷体_GB2312"/>
          <w:spacing w:val="7"/>
          <w:sz w:val="32"/>
          <w:szCs w:val="32"/>
        </w:rPr>
      </w:pPr>
      <w:r>
        <w:rPr>
          <w:rFonts w:hint="eastAsia" w:ascii="楷体_GB2312" w:hAnsi="华文仿宋" w:eastAsia="楷体_GB2312"/>
          <w:spacing w:val="7"/>
          <w:sz w:val="32"/>
          <w:szCs w:val="32"/>
        </w:rPr>
        <w:t xml:space="preserve">（ </w:t>
      </w:r>
      <w:r>
        <w:rPr>
          <w:rFonts w:ascii="楷体_GB2312" w:hAnsi="华文仿宋" w:eastAsia="楷体_GB2312"/>
          <w:spacing w:val="7"/>
          <w:sz w:val="32"/>
          <w:szCs w:val="32"/>
        </w:rPr>
        <w:t>2020</w:t>
      </w:r>
      <w:r>
        <w:rPr>
          <w:rFonts w:hint="eastAsia" w:ascii="华文仿宋" w:hAnsi="华文仿宋" w:eastAsia="楷体_GB2312"/>
          <w:spacing w:val="7"/>
          <w:sz w:val="32"/>
          <w:szCs w:val="32"/>
        </w:rPr>
        <w:t> </w:t>
      </w:r>
      <w:r>
        <w:rPr>
          <w:rFonts w:hint="eastAsia" w:ascii="楷体_GB2312" w:hAnsi="华文仿宋" w:eastAsia="楷体_GB2312"/>
          <w:spacing w:val="7"/>
          <w:sz w:val="32"/>
          <w:szCs w:val="32"/>
        </w:rPr>
        <w:t>年度）</w:t>
      </w:r>
    </w:p>
    <w:tbl>
      <w:tblPr>
        <w:tblStyle w:val="5"/>
        <w:tblW w:w="875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470"/>
        <w:gridCol w:w="520"/>
        <w:gridCol w:w="1134"/>
        <w:gridCol w:w="1984"/>
        <w:gridCol w:w="425"/>
        <w:gridCol w:w="426"/>
        <w:gridCol w:w="56"/>
        <w:gridCol w:w="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zCs w:val="21"/>
              </w:rPr>
            </w:pPr>
            <w:r>
              <w:rPr>
                <w:rFonts w:hint="eastAsia" w:cs="仿宋_GB2312"/>
                <w:szCs w:val="21"/>
              </w:rPr>
              <w:t>项目</w:t>
            </w:r>
          </w:p>
          <w:p>
            <w:pPr>
              <w:adjustRightInd w:val="0"/>
              <w:snapToGrid w:val="0"/>
              <w:jc w:val="center"/>
              <w:rPr>
                <w:rFonts w:cs="仿宋_GB2312"/>
                <w:szCs w:val="21"/>
              </w:rPr>
            </w:pPr>
            <w:r>
              <w:rPr>
                <w:rFonts w:hint="eastAsia" w:cs="仿宋_GB2312"/>
                <w:szCs w:val="21"/>
              </w:rPr>
              <w:t>名称</w:t>
            </w:r>
          </w:p>
        </w:tc>
        <w:tc>
          <w:tcPr>
            <w:tcW w:w="7802" w:type="dxa"/>
            <w:gridSpan w:val="10"/>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ascii="Calibri" w:hAnsi="Calibri"/>
                <w:szCs w:val="22"/>
              </w:rPr>
              <w:t>广电新闻专项支出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主管</w:t>
            </w:r>
          </w:p>
          <w:p>
            <w:pPr>
              <w:adjustRightInd w:val="0"/>
              <w:snapToGrid w:val="0"/>
              <w:jc w:val="center"/>
              <w:rPr>
                <w:rFonts w:cs="仿宋_GB2312"/>
                <w:spacing w:val="7"/>
                <w:szCs w:val="21"/>
              </w:rPr>
            </w:pPr>
            <w:r>
              <w:rPr>
                <w:rFonts w:hint="eastAsia" w:cs="仿宋_GB2312"/>
                <w:spacing w:val="7"/>
                <w:szCs w:val="21"/>
              </w:rPr>
              <w:t>部门</w:t>
            </w:r>
          </w:p>
        </w:tc>
        <w:tc>
          <w:tcPr>
            <w:tcW w:w="4117" w:type="dxa"/>
            <w:gridSpan w:val="5"/>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温岭广播电视台</w:t>
            </w:r>
          </w:p>
        </w:tc>
        <w:tc>
          <w:tcPr>
            <w:tcW w:w="1984"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实施单位</w:t>
            </w:r>
          </w:p>
        </w:tc>
        <w:tc>
          <w:tcPr>
            <w:tcW w:w="1701" w:type="dxa"/>
            <w:gridSpan w:val="4"/>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温岭广播电视台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项目</w:t>
            </w:r>
          </w:p>
          <w:p>
            <w:pPr>
              <w:adjustRightInd w:val="0"/>
              <w:snapToGrid w:val="0"/>
              <w:jc w:val="center"/>
              <w:rPr>
                <w:rFonts w:cs="仿宋_GB2312"/>
                <w:spacing w:val="7"/>
                <w:szCs w:val="21"/>
              </w:rPr>
            </w:pPr>
            <w:r>
              <w:rPr>
                <w:rFonts w:hint="eastAsia" w:cs="仿宋_GB2312"/>
                <w:spacing w:val="7"/>
                <w:szCs w:val="21"/>
              </w:rPr>
              <w:t>资金(万元)</w:t>
            </w:r>
          </w:p>
        </w:tc>
        <w:tc>
          <w:tcPr>
            <w:tcW w:w="2463"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654"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年初预算数</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全年预算数</w:t>
            </w:r>
          </w:p>
        </w:tc>
        <w:tc>
          <w:tcPr>
            <w:tcW w:w="907"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全年执行数</w:t>
            </w: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年度资金总额</w:t>
            </w:r>
          </w:p>
        </w:tc>
        <w:tc>
          <w:tcPr>
            <w:tcW w:w="1654"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w:t>
            </w:r>
            <w:r>
              <w:rPr>
                <w:rFonts w:cs="仿宋_GB2312"/>
                <w:spacing w:val="7"/>
                <w:szCs w:val="21"/>
              </w:rPr>
              <w:t>88</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w:t>
            </w:r>
            <w:r>
              <w:rPr>
                <w:rFonts w:cs="仿宋_GB2312"/>
                <w:spacing w:val="7"/>
                <w:szCs w:val="21"/>
              </w:rPr>
              <w:t>88</w:t>
            </w:r>
          </w:p>
        </w:tc>
        <w:tc>
          <w:tcPr>
            <w:tcW w:w="907"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w:t>
            </w:r>
            <w:r>
              <w:rPr>
                <w:rFonts w:cs="仿宋_GB2312"/>
                <w:spacing w:val="7"/>
                <w:szCs w:val="21"/>
              </w:rPr>
              <w:t>88</w:t>
            </w: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w:t>
            </w:r>
            <w:r>
              <w:rPr>
                <w:rFonts w:cs="仿宋_GB2312"/>
                <w:spacing w:val="7"/>
                <w:szCs w:val="21"/>
              </w:rPr>
              <w:t>00</w:t>
            </w:r>
            <w:r>
              <w:rPr>
                <w:rFonts w:hint="eastAsia" w:cs="仿宋_GB2312"/>
                <w:spacing w:val="7"/>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其中：当年财政拨款</w:t>
            </w:r>
          </w:p>
        </w:tc>
        <w:tc>
          <w:tcPr>
            <w:tcW w:w="1654"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907"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   上年结转资金</w:t>
            </w:r>
          </w:p>
        </w:tc>
        <w:tc>
          <w:tcPr>
            <w:tcW w:w="1654"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907"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其他资金</w:t>
            </w:r>
          </w:p>
        </w:tc>
        <w:tc>
          <w:tcPr>
            <w:tcW w:w="1654" w:type="dxa"/>
            <w:gridSpan w:val="2"/>
            <w:shd w:val="clear" w:color="auto" w:fill="FFFFFF"/>
            <w:tcMar>
              <w:top w:w="0" w:type="dxa"/>
              <w:left w:w="105" w:type="dxa"/>
              <w:bottom w:w="0" w:type="dxa"/>
              <w:right w:w="105" w:type="dxa"/>
            </w:tcMar>
            <w:vAlign w:val="center"/>
          </w:tcPr>
          <w:p>
            <w:pPr>
              <w:adjustRightInd w:val="0"/>
              <w:snapToGrid w:val="0"/>
              <w:jc w:val="both"/>
              <w:rPr>
                <w:rFonts w:cs="仿宋_GB2312"/>
                <w:spacing w:val="7"/>
                <w:szCs w:val="21"/>
              </w:rPr>
            </w:pPr>
            <w:r>
              <w:rPr>
                <w:rFonts w:hint="eastAsia" w:cs="仿宋_GB2312"/>
                <w:spacing w:val="7"/>
                <w:szCs w:val="21"/>
              </w:rPr>
              <w:t>3</w:t>
            </w:r>
            <w:r>
              <w:rPr>
                <w:rFonts w:cs="仿宋_GB2312"/>
                <w:spacing w:val="7"/>
                <w:szCs w:val="21"/>
              </w:rPr>
              <w:t>88</w:t>
            </w:r>
          </w:p>
        </w:tc>
        <w:tc>
          <w:tcPr>
            <w:tcW w:w="1984" w:type="dxa"/>
            <w:shd w:val="clear" w:color="auto" w:fill="FFFFFF"/>
            <w:tcMar>
              <w:top w:w="0" w:type="dxa"/>
              <w:left w:w="105" w:type="dxa"/>
              <w:bottom w:w="0" w:type="dxa"/>
              <w:right w:w="105" w:type="dxa"/>
            </w:tcMar>
            <w:vAlign w:val="center"/>
          </w:tcPr>
          <w:p>
            <w:pPr>
              <w:adjustRightInd w:val="0"/>
              <w:snapToGrid w:val="0"/>
              <w:jc w:val="both"/>
              <w:rPr>
                <w:rFonts w:cs="仿宋_GB2312"/>
                <w:spacing w:val="7"/>
                <w:szCs w:val="21"/>
              </w:rPr>
            </w:pPr>
            <w:r>
              <w:rPr>
                <w:rFonts w:hint="eastAsia" w:cs="仿宋_GB2312"/>
                <w:spacing w:val="7"/>
                <w:szCs w:val="21"/>
              </w:rPr>
              <w:t>3</w:t>
            </w:r>
            <w:r>
              <w:rPr>
                <w:rFonts w:cs="仿宋_GB2312"/>
                <w:spacing w:val="7"/>
                <w:szCs w:val="21"/>
              </w:rPr>
              <w:t>88</w:t>
            </w:r>
          </w:p>
        </w:tc>
        <w:tc>
          <w:tcPr>
            <w:tcW w:w="907" w:type="dxa"/>
            <w:gridSpan w:val="3"/>
            <w:shd w:val="clear" w:color="auto" w:fill="FFFFFF"/>
            <w:tcMar>
              <w:top w:w="0" w:type="dxa"/>
              <w:left w:w="105" w:type="dxa"/>
              <w:bottom w:w="0" w:type="dxa"/>
              <w:right w:w="105" w:type="dxa"/>
            </w:tcMar>
            <w:vAlign w:val="center"/>
          </w:tcPr>
          <w:p>
            <w:pPr>
              <w:adjustRightInd w:val="0"/>
              <w:snapToGrid w:val="0"/>
              <w:jc w:val="both"/>
              <w:rPr>
                <w:rFonts w:cs="仿宋_GB2312"/>
                <w:spacing w:val="7"/>
                <w:szCs w:val="21"/>
              </w:rPr>
            </w:pPr>
            <w:r>
              <w:rPr>
                <w:rFonts w:hint="eastAsia" w:cs="仿宋_GB2312"/>
                <w:spacing w:val="7"/>
                <w:szCs w:val="21"/>
              </w:rPr>
              <w:t>3</w:t>
            </w:r>
            <w:r>
              <w:rPr>
                <w:rFonts w:cs="仿宋_GB2312"/>
                <w:spacing w:val="7"/>
                <w:szCs w:val="21"/>
              </w:rPr>
              <w:t>88</w:t>
            </w: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w:t>
            </w:r>
            <w:r>
              <w:rPr>
                <w:rFonts w:cs="仿宋_GB2312"/>
                <w:spacing w:val="7"/>
                <w:szCs w:val="21"/>
              </w:rPr>
              <w:t>00</w:t>
            </w:r>
            <w:r>
              <w:rPr>
                <w:rFonts w:hint="eastAsia" w:cs="仿宋_GB2312"/>
                <w:spacing w:val="7"/>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年度总体目标</w:t>
            </w:r>
          </w:p>
        </w:tc>
        <w:tc>
          <w:tcPr>
            <w:tcW w:w="4117" w:type="dxa"/>
            <w:gridSpan w:val="5"/>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预期目标</w:t>
            </w:r>
          </w:p>
        </w:tc>
        <w:tc>
          <w:tcPr>
            <w:tcW w:w="3685" w:type="dxa"/>
            <w:gridSpan w:val="5"/>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shd w:val="clear" w:color="auto" w:fill="FFFFFF"/>
            <w:vAlign w:val="center"/>
          </w:tcPr>
          <w:p>
            <w:pPr>
              <w:adjustRightInd w:val="0"/>
              <w:snapToGrid w:val="0"/>
              <w:rPr>
                <w:rFonts w:cs="仿宋_GB2312"/>
                <w:spacing w:val="7"/>
                <w:szCs w:val="21"/>
              </w:rPr>
            </w:pPr>
          </w:p>
        </w:tc>
        <w:tc>
          <w:tcPr>
            <w:tcW w:w="4117" w:type="dxa"/>
            <w:gridSpan w:val="5"/>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rPr>
              <w:t>紧紧围绕市委、市政府中心工作，坚持正确的舆论导向，提升新闻质量，完成市委</w:t>
            </w:r>
            <w:r>
              <w:rPr>
                <w:rFonts w:hint="eastAsia"/>
                <w:lang w:eastAsia="zh-CN"/>
              </w:rPr>
              <w:t>市</w:t>
            </w:r>
            <w:bookmarkStart w:id="0" w:name="_GoBack"/>
            <w:bookmarkEnd w:id="0"/>
            <w:r>
              <w:rPr>
                <w:rFonts w:hint="eastAsia"/>
              </w:rPr>
              <w:t>政府考核任务，向社会传播正能量。产出数量：1、两个频道内宣总条数在1600条以上；2.主题报道有20档。3.大型文化活动有10场以上。4.在微信公共平台发播880条新闻稿件，蓝媒号温岭发播稿件660条，微信公共号及蓝媒APP平台直播30次。</w:t>
            </w:r>
          </w:p>
        </w:tc>
        <w:tc>
          <w:tcPr>
            <w:tcW w:w="3685" w:type="dxa"/>
            <w:gridSpan w:val="5"/>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rPr>
              <w:t>完成市委市政府年初给我台下达的工作目标考核任务及我台全年的工作计划及完成的目标任务。</w:t>
            </w:r>
            <w:r>
              <w:rPr>
                <w:rFonts w:hint="eastAsia" w:cs="仿宋_GB2312"/>
                <w:spacing w:val="7"/>
                <w:szCs w:val="21"/>
              </w:rPr>
              <w:t>在浙江卫视用稿总数120条左右，单独头条三条； 蓝媒号温岭版面发稿数达1400多条，总阅读量2000多万，荣获全省广电新媒体协作特等奖，台州广播电视新闻综合用稿第一名；大型文化活动有20场以上；全年举办大型蓝媒行动4场、蓝媒动态直播18场、蓝媒慢直播10多场，蓝媒号温岭版面发稿数达1400多条，总阅读量2000多万，其中，学习强国平台录用25条、蓝媒头条及蓝媒视频录用稿件230多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22" w:hRule="atLeast"/>
        </w:trPr>
        <w:tc>
          <w:tcPr>
            <w:tcW w:w="458" w:type="dxa"/>
            <w:vMerge w:val="restart"/>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绩效指标</w:t>
            </w:r>
          </w:p>
          <w:p>
            <w:pPr>
              <w:adjustRightInd w:val="0"/>
              <w:snapToGrid w:val="0"/>
              <w:rPr>
                <w:rFonts w:cs="仿宋_GB2312"/>
                <w:spacing w:val="7"/>
                <w:szCs w:val="21"/>
              </w:rPr>
            </w:pPr>
            <w:r>
              <w:rPr>
                <w:rFonts w:hint="eastAsia" w:cs="仿宋_GB2312"/>
                <w:spacing w:val="7"/>
                <w:szCs w:val="21"/>
              </w:rPr>
              <w:t>完成情况</w:t>
            </w:r>
          </w:p>
        </w:tc>
        <w:tc>
          <w:tcPr>
            <w:tcW w:w="492"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一级指标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二级</w:t>
            </w:r>
          </w:p>
          <w:p>
            <w:pPr>
              <w:adjustRightInd w:val="0"/>
              <w:snapToGrid w:val="0"/>
              <w:jc w:val="center"/>
              <w:rPr>
                <w:rFonts w:cs="仿宋_GB2312"/>
                <w:spacing w:val="7"/>
                <w:szCs w:val="21"/>
              </w:rPr>
            </w:pPr>
            <w:r>
              <w:rPr>
                <w:rFonts w:hint="eastAsia" w:cs="仿宋_GB2312"/>
                <w:spacing w:val="7"/>
                <w:szCs w:val="21"/>
              </w:rPr>
              <w:t>指标</w:t>
            </w:r>
          </w:p>
        </w:tc>
        <w:tc>
          <w:tcPr>
            <w:tcW w:w="199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三级</w:t>
            </w:r>
          </w:p>
          <w:p>
            <w:pPr>
              <w:adjustRightInd w:val="0"/>
              <w:snapToGrid w:val="0"/>
              <w:jc w:val="center"/>
              <w:rPr>
                <w:rFonts w:cs="仿宋_GB2312"/>
                <w:spacing w:val="7"/>
                <w:szCs w:val="21"/>
              </w:rPr>
            </w:pPr>
            <w:r>
              <w:rPr>
                <w:rFonts w:hint="eastAsia" w:cs="仿宋_GB2312"/>
                <w:spacing w:val="7"/>
                <w:szCs w:val="21"/>
              </w:rPr>
              <w:t>指标</w:t>
            </w:r>
          </w:p>
        </w:tc>
        <w:tc>
          <w:tcPr>
            <w:tcW w:w="1134"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w:t>
            </w:r>
          </w:p>
          <w:p>
            <w:pPr>
              <w:adjustRightInd w:val="0"/>
              <w:snapToGrid w:val="0"/>
              <w:jc w:val="center"/>
              <w:rPr>
                <w:rFonts w:cs="仿宋_GB2312"/>
                <w:spacing w:val="7"/>
                <w:szCs w:val="21"/>
              </w:rPr>
            </w:pPr>
            <w:r>
              <w:rPr>
                <w:rFonts w:hint="eastAsia" w:cs="仿宋_GB2312"/>
                <w:spacing w:val="7"/>
                <w:szCs w:val="21"/>
              </w:rPr>
              <w:t>指标值</w:t>
            </w:r>
          </w:p>
        </w:tc>
        <w:tc>
          <w:tcPr>
            <w:tcW w:w="1984"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w:t>
            </w:r>
          </w:p>
          <w:p>
            <w:pPr>
              <w:adjustRightInd w:val="0"/>
              <w:snapToGrid w:val="0"/>
              <w:jc w:val="center"/>
              <w:rPr>
                <w:rFonts w:cs="仿宋_GB2312"/>
                <w:spacing w:val="7"/>
                <w:szCs w:val="21"/>
              </w:rPr>
            </w:pPr>
            <w:r>
              <w:rPr>
                <w:rFonts w:hint="eastAsia" w:cs="仿宋_GB2312"/>
                <w:spacing w:val="7"/>
                <w:szCs w:val="21"/>
              </w:rPr>
              <w:t>完成值</w:t>
            </w:r>
          </w:p>
        </w:tc>
        <w:tc>
          <w:tcPr>
            <w:tcW w:w="425"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权重</w:t>
            </w:r>
          </w:p>
        </w:tc>
        <w:tc>
          <w:tcPr>
            <w:tcW w:w="426"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得分</w:t>
            </w:r>
          </w:p>
        </w:tc>
        <w:tc>
          <w:tcPr>
            <w:tcW w:w="85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96"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restart"/>
            <w:shd w:val="clear" w:color="auto" w:fill="FFFFFF"/>
            <w:vAlign w:val="center"/>
          </w:tcPr>
          <w:p>
            <w:pPr>
              <w:adjustRightInd w:val="0"/>
              <w:snapToGrid w:val="0"/>
              <w:rPr>
                <w:rFonts w:cs="仿宋_GB2312"/>
                <w:spacing w:val="7"/>
                <w:szCs w:val="21"/>
              </w:rPr>
            </w:pPr>
          </w:p>
        </w:tc>
        <w:tc>
          <w:tcPr>
            <w:tcW w:w="993" w:type="dxa"/>
            <w:gridSpan w:val="2"/>
            <w:vMerge w:val="restart"/>
            <w:shd w:val="clear" w:color="auto" w:fill="FFFFFF"/>
            <w:vAlign w:val="center"/>
          </w:tcPr>
          <w:p>
            <w:pPr>
              <w:adjustRightInd w:val="0"/>
              <w:snapToGrid w:val="0"/>
              <w:jc w:val="center"/>
              <w:rPr>
                <w:rFonts w:cs="仿宋_GB2312"/>
                <w:spacing w:val="7"/>
                <w:szCs w:val="21"/>
              </w:rPr>
            </w:pPr>
            <w:r>
              <w:rPr>
                <w:rFonts w:hint="eastAsia" w:cs="仿宋_GB2312"/>
                <w:spacing w:val="7"/>
                <w:szCs w:val="21"/>
              </w:rPr>
              <w:t>数量</w:t>
            </w:r>
          </w:p>
          <w:p>
            <w:pPr>
              <w:adjustRightInd w:val="0"/>
              <w:snapToGrid w:val="0"/>
              <w:jc w:val="center"/>
              <w:rPr>
                <w:rFonts w:cs="仿宋_GB2312"/>
                <w:spacing w:val="7"/>
                <w:szCs w:val="21"/>
              </w:rPr>
            </w:pPr>
            <w:r>
              <w:rPr>
                <w:rFonts w:hint="eastAsia" w:cs="仿宋_GB2312"/>
                <w:spacing w:val="7"/>
                <w:szCs w:val="21"/>
              </w:rPr>
              <w:t>指标</w:t>
            </w:r>
          </w:p>
        </w:tc>
        <w:tc>
          <w:tcPr>
            <w:tcW w:w="1990" w:type="dxa"/>
            <w:gridSpan w:val="2"/>
            <w:shd w:val="clear" w:color="auto" w:fill="FFFFFF"/>
            <w:tcMar>
              <w:top w:w="0" w:type="dxa"/>
              <w:left w:w="105" w:type="dxa"/>
              <w:bottom w:w="0" w:type="dxa"/>
              <w:right w:w="105" w:type="dxa"/>
            </w:tcMar>
            <w:vAlign w:val="center"/>
          </w:tcPr>
          <w:p>
            <w:pPr>
              <w:rPr>
                <w:sz w:val="22"/>
                <w:szCs w:val="22"/>
              </w:rPr>
            </w:pPr>
            <w:r>
              <w:rPr>
                <w:rFonts w:hint="eastAsia"/>
                <w:sz w:val="22"/>
                <w:szCs w:val="22"/>
              </w:rPr>
              <w:t>节目购置</w:t>
            </w:r>
          </w:p>
          <w:p>
            <w:pPr>
              <w:adjustRightInd w:val="0"/>
              <w:snapToGrid w:val="0"/>
              <w:rPr>
                <w:rFonts w:cs="仿宋_GB2312"/>
                <w:spacing w:val="7"/>
                <w:szCs w:val="21"/>
              </w:rPr>
            </w:pPr>
          </w:p>
        </w:tc>
        <w:tc>
          <w:tcPr>
            <w:tcW w:w="113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2950</w:t>
            </w:r>
            <w:r>
              <w:rPr>
                <w:rFonts w:hint="eastAsia" w:cs="仿宋_GB2312"/>
                <w:spacing w:val="7"/>
                <w:szCs w:val="21"/>
              </w:rPr>
              <w:t>集</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实际播出29</w:t>
            </w:r>
            <w:r>
              <w:rPr>
                <w:rFonts w:cs="仿宋_GB2312"/>
                <w:spacing w:val="7"/>
                <w:szCs w:val="21"/>
              </w:rPr>
              <w:t>20</w:t>
            </w:r>
            <w:r>
              <w:rPr>
                <w:rFonts w:hint="eastAsia" w:cs="仿宋_GB2312"/>
                <w:spacing w:val="7"/>
                <w:szCs w:val="21"/>
              </w:rPr>
              <w:t>集</w:t>
            </w: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16"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rPr>
                <w:rFonts w:cs="仿宋_GB2312"/>
                <w:spacing w:val="7"/>
                <w:szCs w:val="21"/>
              </w:rPr>
            </w:pPr>
          </w:p>
        </w:tc>
        <w:tc>
          <w:tcPr>
            <w:tcW w:w="993" w:type="dxa"/>
            <w:gridSpan w:val="2"/>
            <w:vMerge w:val="continue"/>
            <w:shd w:val="clear" w:color="auto" w:fill="FFFFFF"/>
            <w:vAlign w:val="center"/>
          </w:tcPr>
          <w:p>
            <w:pPr>
              <w:adjustRightInd w:val="0"/>
              <w:snapToGrid w:val="0"/>
              <w:jc w:val="center"/>
              <w:rPr>
                <w:rFonts w:cs="仿宋_GB2312"/>
                <w:spacing w:val="7"/>
                <w:szCs w:val="21"/>
              </w:rPr>
            </w:pPr>
          </w:p>
        </w:tc>
        <w:tc>
          <w:tcPr>
            <w:tcW w:w="1990" w:type="dxa"/>
            <w:gridSpan w:val="2"/>
            <w:shd w:val="clear" w:color="auto" w:fill="FFFFFF"/>
            <w:tcMar>
              <w:top w:w="0" w:type="dxa"/>
              <w:left w:w="105" w:type="dxa"/>
              <w:bottom w:w="0" w:type="dxa"/>
              <w:right w:w="105" w:type="dxa"/>
            </w:tcMar>
            <w:vAlign w:val="center"/>
          </w:tcPr>
          <w:p>
            <w:pPr>
              <w:rPr>
                <w:rFonts w:ascii="Times New Roman" w:hAnsi="Times New Roman" w:cs="Times New Roman"/>
                <w:sz w:val="22"/>
                <w:szCs w:val="22"/>
              </w:rPr>
            </w:pPr>
            <w:r>
              <w:rPr>
                <w:rFonts w:hint="eastAsia"/>
                <w:sz w:val="22"/>
                <w:szCs w:val="22"/>
              </w:rPr>
              <w:t>新闻稿件</w:t>
            </w:r>
          </w:p>
        </w:tc>
        <w:tc>
          <w:tcPr>
            <w:tcW w:w="113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5500件</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5786件</w:t>
            </w: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8</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146"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rPr>
                <w:rFonts w:cs="仿宋_GB2312"/>
                <w:spacing w:val="7"/>
                <w:szCs w:val="21"/>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质量</w:t>
            </w:r>
          </w:p>
          <w:p>
            <w:pPr>
              <w:adjustRightInd w:val="0"/>
              <w:snapToGrid w:val="0"/>
              <w:jc w:val="center"/>
              <w:rPr>
                <w:rFonts w:cs="仿宋_GB2312"/>
                <w:spacing w:val="7"/>
                <w:szCs w:val="21"/>
              </w:rPr>
            </w:pPr>
            <w:r>
              <w:rPr>
                <w:rFonts w:hint="eastAsia" w:cs="仿宋_GB2312"/>
                <w:spacing w:val="7"/>
                <w:szCs w:val="21"/>
              </w:rPr>
              <w:t>指标</w:t>
            </w:r>
          </w:p>
        </w:tc>
        <w:tc>
          <w:tcPr>
            <w:tcW w:w="199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外宣质量不断提升</w:t>
            </w:r>
          </w:p>
        </w:tc>
        <w:tc>
          <w:tcPr>
            <w:tcW w:w="1134" w:type="dxa"/>
            <w:shd w:val="clear" w:color="auto" w:fill="FFFFFF"/>
            <w:tcMar>
              <w:top w:w="0" w:type="dxa"/>
              <w:left w:w="105" w:type="dxa"/>
              <w:bottom w:w="0" w:type="dxa"/>
              <w:right w:w="105" w:type="dxa"/>
            </w:tcMar>
            <w:vAlign w:val="center"/>
          </w:tcPr>
          <w:p>
            <w:pPr>
              <w:adjustRightInd w:val="0"/>
              <w:snapToGrid w:val="0"/>
              <w:ind w:firstLine="254" w:firstLineChars="100"/>
              <w:rPr>
                <w:rFonts w:cs="仿宋_GB2312"/>
                <w:spacing w:val="7"/>
                <w:szCs w:val="21"/>
              </w:rPr>
            </w:pPr>
            <w:r>
              <w:rPr>
                <w:rFonts w:hint="eastAsia" w:cs="仿宋_GB2312"/>
                <w:spacing w:val="7"/>
                <w:szCs w:val="21"/>
              </w:rPr>
              <w:t>提升</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浙江卫视用稿总数120条左右，单独头条三条； 蓝媒号温岭版面发稿数达1400多条，总阅读量2000多万，荣获全省广电新媒体协作特等奖，台州广播电视新闻综合用稿第一名</w:t>
            </w: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20</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w:t>
            </w:r>
            <w:r>
              <w:rPr>
                <w:rFonts w:cs="仿宋_GB2312"/>
                <w:spacing w:val="7"/>
                <w:szCs w:val="21"/>
              </w:rPr>
              <w:t>9</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0"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rPr>
                <w:rFonts w:cs="仿宋_GB2312"/>
                <w:spacing w:val="7"/>
                <w:szCs w:val="21"/>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时效</w:t>
            </w:r>
          </w:p>
          <w:p>
            <w:pPr>
              <w:adjustRightInd w:val="0"/>
              <w:snapToGrid w:val="0"/>
              <w:jc w:val="center"/>
              <w:rPr>
                <w:rFonts w:cs="仿宋_GB2312"/>
                <w:spacing w:val="7"/>
                <w:szCs w:val="21"/>
              </w:rPr>
            </w:pPr>
            <w:r>
              <w:rPr>
                <w:rFonts w:hint="eastAsia" w:cs="仿宋_GB2312"/>
                <w:spacing w:val="7"/>
                <w:szCs w:val="21"/>
              </w:rPr>
              <w:t>指标</w:t>
            </w:r>
          </w:p>
        </w:tc>
        <w:tc>
          <w:tcPr>
            <w:tcW w:w="199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新闻播出的及时性</w:t>
            </w:r>
          </w:p>
        </w:tc>
        <w:tc>
          <w:tcPr>
            <w:tcW w:w="1134"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及时</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新闻播出当天及时播出</w:t>
            </w: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15</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15</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9"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jc w:val="center"/>
              <w:rPr>
                <w:rFonts w:cs="仿宋_GB2312"/>
                <w:spacing w:val="7"/>
                <w:szCs w:val="21"/>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社会效益指标</w:t>
            </w:r>
          </w:p>
        </w:tc>
        <w:tc>
          <w:tcPr>
            <w:tcW w:w="1990" w:type="dxa"/>
            <w:gridSpan w:val="2"/>
            <w:shd w:val="clear" w:color="auto" w:fill="FFFFFF"/>
            <w:tcMar>
              <w:top w:w="0" w:type="dxa"/>
              <w:left w:w="105" w:type="dxa"/>
              <w:bottom w:w="0" w:type="dxa"/>
              <w:right w:w="105" w:type="dxa"/>
            </w:tcMar>
            <w:vAlign w:val="center"/>
          </w:tcPr>
          <w:p>
            <w:pPr>
              <w:rPr>
                <w:sz w:val="22"/>
                <w:szCs w:val="22"/>
              </w:rPr>
            </w:pPr>
            <w:r>
              <w:rPr>
                <w:rFonts w:hint="eastAsia"/>
                <w:sz w:val="22"/>
                <w:szCs w:val="22"/>
              </w:rPr>
              <w:t>营造良好的宣传氛围</w:t>
            </w:r>
          </w:p>
          <w:p>
            <w:pPr>
              <w:adjustRightInd w:val="0"/>
              <w:snapToGrid w:val="0"/>
              <w:rPr>
                <w:rFonts w:cs="仿宋_GB2312"/>
                <w:spacing w:val="7"/>
                <w:szCs w:val="21"/>
              </w:rPr>
            </w:pPr>
          </w:p>
        </w:tc>
        <w:tc>
          <w:tcPr>
            <w:tcW w:w="1134"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营造</w:t>
            </w:r>
          </w:p>
        </w:tc>
        <w:tc>
          <w:tcPr>
            <w:tcW w:w="1984" w:type="dxa"/>
            <w:shd w:val="clear" w:color="auto" w:fill="FFFFFF"/>
            <w:tcMar>
              <w:top w:w="0" w:type="dxa"/>
              <w:left w:w="105" w:type="dxa"/>
              <w:bottom w:w="0" w:type="dxa"/>
              <w:right w:w="105" w:type="dxa"/>
            </w:tcMar>
            <w:vAlign w:val="center"/>
          </w:tcPr>
          <w:p>
            <w:pPr>
              <w:rPr>
                <w:sz w:val="22"/>
                <w:szCs w:val="22"/>
              </w:rPr>
            </w:pPr>
            <w:r>
              <w:rPr>
                <w:rFonts w:hint="eastAsia"/>
                <w:sz w:val="22"/>
                <w:szCs w:val="22"/>
              </w:rPr>
              <w:t>准确传达市委声音，推动主题媒体发声营造全市良好的宣传忿围</w:t>
            </w:r>
          </w:p>
          <w:p>
            <w:pPr>
              <w:adjustRightInd w:val="0"/>
              <w:snapToGrid w:val="0"/>
              <w:rPr>
                <w:rFonts w:cs="仿宋_GB2312"/>
                <w:spacing w:val="7"/>
                <w:szCs w:val="21"/>
              </w:rPr>
            </w:pP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30</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30</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49"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满意度</w:t>
            </w:r>
          </w:p>
          <w:p>
            <w:pPr>
              <w:adjustRightInd w:val="0"/>
              <w:snapToGrid w:val="0"/>
              <w:rPr>
                <w:rFonts w:cs="仿宋_GB2312"/>
                <w:spacing w:val="7"/>
                <w:szCs w:val="21"/>
              </w:rPr>
            </w:pPr>
            <w:r>
              <w:rPr>
                <w:rFonts w:hint="eastAsia" w:cs="仿宋_GB2312"/>
                <w:spacing w:val="7"/>
                <w:szCs w:val="21"/>
              </w:rPr>
              <w:t>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服务对象满意度指标</w:t>
            </w:r>
          </w:p>
        </w:tc>
        <w:tc>
          <w:tcPr>
            <w:tcW w:w="199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受众人员满意度</w:t>
            </w:r>
          </w:p>
        </w:tc>
        <w:tc>
          <w:tcPr>
            <w:tcW w:w="1134"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9</w:t>
            </w:r>
            <w:r>
              <w:rPr>
                <w:rFonts w:cs="仿宋_GB2312"/>
                <w:spacing w:val="7"/>
                <w:szCs w:val="21"/>
              </w:rPr>
              <w:t>0</w:t>
            </w:r>
            <w:r>
              <w:rPr>
                <w:rFonts w:hint="eastAsia" w:cs="仿宋_GB2312"/>
                <w:spacing w:val="7"/>
                <w:szCs w:val="21"/>
              </w:rPr>
              <w:t>%</w:t>
            </w:r>
          </w:p>
        </w:tc>
        <w:tc>
          <w:tcPr>
            <w:tcW w:w="198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r>
              <w:rPr>
                <w:rFonts w:cs="仿宋_GB2312"/>
                <w:spacing w:val="7"/>
                <w:szCs w:val="21"/>
              </w:rPr>
              <w:t>0</w:t>
            </w:r>
            <w:r>
              <w:rPr>
                <w:rFonts w:hint="eastAsia" w:cs="仿宋_GB2312"/>
                <w:spacing w:val="7"/>
                <w:szCs w:val="21"/>
              </w:rPr>
              <w:t>%</w:t>
            </w: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15</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w:t>
            </w:r>
            <w:r>
              <w:rPr>
                <w:rFonts w:cs="仿宋_GB2312"/>
                <w:spacing w:val="7"/>
                <w:szCs w:val="21"/>
              </w:rPr>
              <w:t>3</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7051" w:type="dxa"/>
            <w:gridSpan w:val="8"/>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p>
        </w:tc>
        <w:tc>
          <w:tcPr>
            <w:tcW w:w="42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426"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r>
              <w:rPr>
                <w:rFonts w:cs="仿宋_GB2312"/>
                <w:spacing w:val="7"/>
                <w:szCs w:val="21"/>
              </w:rPr>
              <w:t>5</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自评结论</w:t>
            </w:r>
          </w:p>
        </w:tc>
        <w:tc>
          <w:tcPr>
            <w:tcW w:w="5216" w:type="dxa"/>
            <w:gridSpan w:val="5"/>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color w:val="000000"/>
                <w:szCs w:val="21"/>
              </w:rPr>
              <w:t>优□      良□    中□    差□</w:t>
            </w:r>
          </w:p>
        </w:tc>
        <w:tc>
          <w:tcPr>
            <w:tcW w:w="1701" w:type="dxa"/>
            <w:gridSpan w:val="4"/>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color w:val="000000"/>
                <w:szCs w:val="21"/>
              </w:rPr>
              <w:t>总分高于90分（含）的结论为“优”，90～80分（含）为“良”，80～60分（含）为“中”，低于60分为“差”。</w:t>
            </w:r>
          </w:p>
        </w:tc>
      </w:tr>
    </w:tbl>
    <w:p>
      <w:pPr>
        <w:adjustRightInd w:val="0"/>
        <w:snapToGrid w:val="0"/>
        <w:jc w:val="center"/>
        <w:rPr>
          <w:rFonts w:ascii="楷体_GB2312" w:hAnsi="华文仿宋" w:eastAsia="楷体_GB2312" w:cs="方正小标宋简体"/>
          <w:spacing w:val="7"/>
          <w:sz w:val="32"/>
          <w:szCs w:val="32"/>
        </w:rPr>
      </w:pPr>
      <w:r>
        <w:rPr>
          <w:rFonts w:hint="eastAsia" w:ascii="方正小标宋简体" w:hAnsi="华文仿宋" w:eastAsia="方正小标宋简体" w:cs="方正小标宋简体"/>
          <w:spacing w:val="7"/>
          <w:sz w:val="44"/>
          <w:szCs w:val="44"/>
        </w:rPr>
        <w:t>温岭市项目支出绩效自评表</w:t>
      </w:r>
    </w:p>
    <w:p>
      <w:pPr>
        <w:adjustRightInd w:val="0"/>
        <w:snapToGrid w:val="0"/>
        <w:jc w:val="center"/>
        <w:rPr>
          <w:rFonts w:ascii="楷体_GB2312" w:hAnsi="华文仿宋" w:eastAsia="楷体_GB2312"/>
          <w:spacing w:val="7"/>
          <w:sz w:val="32"/>
          <w:szCs w:val="32"/>
        </w:rPr>
      </w:pPr>
      <w:r>
        <w:rPr>
          <w:rFonts w:hint="eastAsia" w:ascii="楷体_GB2312" w:hAnsi="华文仿宋" w:eastAsia="楷体_GB2312"/>
          <w:spacing w:val="7"/>
          <w:sz w:val="32"/>
          <w:szCs w:val="32"/>
        </w:rPr>
        <w:t xml:space="preserve">（ </w:t>
      </w:r>
      <w:r>
        <w:rPr>
          <w:rFonts w:ascii="楷体_GB2312" w:hAnsi="华文仿宋" w:eastAsia="楷体_GB2312"/>
          <w:spacing w:val="7"/>
          <w:sz w:val="32"/>
          <w:szCs w:val="32"/>
        </w:rPr>
        <w:t>2020</w:t>
      </w:r>
      <w:r>
        <w:rPr>
          <w:rFonts w:hint="eastAsia" w:ascii="华文仿宋" w:hAnsi="华文仿宋" w:eastAsia="楷体_GB2312"/>
          <w:spacing w:val="7"/>
          <w:sz w:val="32"/>
          <w:szCs w:val="32"/>
        </w:rPr>
        <w:t> </w:t>
      </w:r>
      <w:r>
        <w:rPr>
          <w:rFonts w:hint="eastAsia" w:ascii="楷体_GB2312" w:hAnsi="华文仿宋" w:eastAsia="楷体_GB2312"/>
          <w:spacing w:val="7"/>
          <w:sz w:val="32"/>
          <w:szCs w:val="32"/>
        </w:rPr>
        <w:t>年度）</w:t>
      </w:r>
    </w:p>
    <w:tbl>
      <w:tblPr>
        <w:tblStyle w:val="5"/>
        <w:tblW w:w="875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470"/>
        <w:gridCol w:w="520"/>
        <w:gridCol w:w="850"/>
        <w:gridCol w:w="1985"/>
        <w:gridCol w:w="567"/>
        <w:gridCol w:w="567"/>
        <w:gridCol w:w="56"/>
        <w:gridCol w:w="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zCs w:val="21"/>
              </w:rPr>
            </w:pPr>
            <w:r>
              <w:rPr>
                <w:rFonts w:hint="eastAsia" w:cs="仿宋_GB2312"/>
                <w:szCs w:val="21"/>
              </w:rPr>
              <w:t>项目</w:t>
            </w:r>
          </w:p>
          <w:p>
            <w:pPr>
              <w:adjustRightInd w:val="0"/>
              <w:snapToGrid w:val="0"/>
              <w:jc w:val="center"/>
              <w:rPr>
                <w:rFonts w:cs="仿宋_GB2312"/>
                <w:szCs w:val="21"/>
              </w:rPr>
            </w:pPr>
            <w:r>
              <w:rPr>
                <w:rFonts w:hint="eastAsia" w:cs="仿宋_GB2312"/>
                <w:szCs w:val="21"/>
              </w:rPr>
              <w:t>名称</w:t>
            </w:r>
          </w:p>
        </w:tc>
        <w:tc>
          <w:tcPr>
            <w:tcW w:w="7802" w:type="dxa"/>
            <w:gridSpan w:val="10"/>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广告经营专项支出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主管</w:t>
            </w:r>
          </w:p>
          <w:p>
            <w:pPr>
              <w:adjustRightInd w:val="0"/>
              <w:snapToGrid w:val="0"/>
              <w:jc w:val="center"/>
              <w:rPr>
                <w:rFonts w:cs="仿宋_GB2312"/>
                <w:spacing w:val="7"/>
                <w:szCs w:val="21"/>
              </w:rPr>
            </w:pPr>
            <w:r>
              <w:rPr>
                <w:rFonts w:hint="eastAsia" w:cs="仿宋_GB2312"/>
                <w:spacing w:val="7"/>
                <w:szCs w:val="21"/>
              </w:rPr>
              <w:t>部门</w:t>
            </w:r>
          </w:p>
        </w:tc>
        <w:tc>
          <w:tcPr>
            <w:tcW w:w="3833" w:type="dxa"/>
            <w:gridSpan w:val="5"/>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温岭广播电视台</w:t>
            </w:r>
          </w:p>
        </w:tc>
        <w:tc>
          <w:tcPr>
            <w:tcW w:w="1985"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实施单位</w:t>
            </w:r>
          </w:p>
        </w:tc>
        <w:tc>
          <w:tcPr>
            <w:tcW w:w="1984" w:type="dxa"/>
            <w:gridSpan w:val="4"/>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温岭广播电视台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4" w:hRule="exact"/>
        </w:trPr>
        <w:tc>
          <w:tcPr>
            <w:tcW w:w="950"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项目</w:t>
            </w:r>
          </w:p>
          <w:p>
            <w:pPr>
              <w:adjustRightInd w:val="0"/>
              <w:snapToGrid w:val="0"/>
              <w:jc w:val="center"/>
              <w:rPr>
                <w:rFonts w:cs="仿宋_GB2312"/>
                <w:spacing w:val="7"/>
                <w:szCs w:val="21"/>
              </w:rPr>
            </w:pPr>
            <w:r>
              <w:rPr>
                <w:rFonts w:hint="eastAsia" w:cs="仿宋_GB2312"/>
                <w:spacing w:val="7"/>
                <w:szCs w:val="21"/>
              </w:rPr>
              <w:t>资金(万元)</w:t>
            </w:r>
          </w:p>
        </w:tc>
        <w:tc>
          <w:tcPr>
            <w:tcW w:w="2463"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37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年初预算数</w:t>
            </w: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全年预算数</w:t>
            </w:r>
          </w:p>
        </w:tc>
        <w:tc>
          <w:tcPr>
            <w:tcW w:w="1190"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全年执行数</w:t>
            </w: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年度资金总额</w:t>
            </w:r>
          </w:p>
        </w:tc>
        <w:tc>
          <w:tcPr>
            <w:tcW w:w="137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90</w:t>
            </w: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90</w:t>
            </w:r>
          </w:p>
        </w:tc>
        <w:tc>
          <w:tcPr>
            <w:tcW w:w="1190"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65.6</w:t>
            </w: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73</w:t>
            </w:r>
            <w:r>
              <w:rPr>
                <w:rFonts w:hint="eastAsia" w:cs="仿宋_GB2312"/>
                <w:spacing w:val="7"/>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其中：当年财政拨款</w:t>
            </w:r>
          </w:p>
        </w:tc>
        <w:tc>
          <w:tcPr>
            <w:tcW w:w="137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190"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   上年结转资金</w:t>
            </w:r>
          </w:p>
        </w:tc>
        <w:tc>
          <w:tcPr>
            <w:tcW w:w="137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1190" w:type="dxa"/>
            <w:gridSpan w:val="3"/>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vAlign w:val="center"/>
          </w:tcPr>
          <w:p>
            <w:pPr>
              <w:adjustRightInd w:val="0"/>
              <w:snapToGrid w:val="0"/>
              <w:rPr>
                <w:rFonts w:cs="仿宋_GB2312"/>
                <w:spacing w:val="7"/>
                <w:szCs w:val="21"/>
              </w:rPr>
            </w:pPr>
          </w:p>
        </w:tc>
        <w:tc>
          <w:tcPr>
            <w:tcW w:w="2463" w:type="dxa"/>
            <w:gridSpan w:val="3"/>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其他资金</w:t>
            </w:r>
          </w:p>
        </w:tc>
        <w:tc>
          <w:tcPr>
            <w:tcW w:w="1370" w:type="dxa"/>
            <w:gridSpan w:val="2"/>
            <w:shd w:val="clear" w:color="auto" w:fill="FFFFFF"/>
            <w:tcMar>
              <w:top w:w="0" w:type="dxa"/>
              <w:left w:w="105" w:type="dxa"/>
              <w:bottom w:w="0" w:type="dxa"/>
              <w:right w:w="105" w:type="dxa"/>
            </w:tcMar>
            <w:vAlign w:val="center"/>
          </w:tcPr>
          <w:p>
            <w:pPr>
              <w:adjustRightInd w:val="0"/>
              <w:snapToGrid w:val="0"/>
              <w:jc w:val="both"/>
              <w:rPr>
                <w:rFonts w:cs="仿宋_GB2312"/>
                <w:spacing w:val="7"/>
                <w:szCs w:val="21"/>
              </w:rPr>
            </w:pPr>
            <w:r>
              <w:rPr>
                <w:rFonts w:cs="仿宋_GB2312"/>
                <w:spacing w:val="7"/>
                <w:szCs w:val="21"/>
              </w:rPr>
              <w:t>90</w:t>
            </w:r>
          </w:p>
        </w:tc>
        <w:tc>
          <w:tcPr>
            <w:tcW w:w="1985" w:type="dxa"/>
            <w:shd w:val="clear" w:color="auto" w:fill="FFFFFF"/>
            <w:tcMar>
              <w:top w:w="0" w:type="dxa"/>
              <w:left w:w="105" w:type="dxa"/>
              <w:bottom w:w="0" w:type="dxa"/>
              <w:right w:w="105" w:type="dxa"/>
            </w:tcMar>
            <w:vAlign w:val="center"/>
          </w:tcPr>
          <w:p>
            <w:pPr>
              <w:adjustRightInd w:val="0"/>
              <w:snapToGrid w:val="0"/>
              <w:jc w:val="both"/>
              <w:rPr>
                <w:rFonts w:cs="仿宋_GB2312"/>
                <w:spacing w:val="7"/>
                <w:szCs w:val="21"/>
              </w:rPr>
            </w:pPr>
            <w:r>
              <w:rPr>
                <w:rFonts w:cs="仿宋_GB2312"/>
                <w:spacing w:val="7"/>
                <w:szCs w:val="21"/>
              </w:rPr>
              <w:t>90</w:t>
            </w:r>
          </w:p>
        </w:tc>
        <w:tc>
          <w:tcPr>
            <w:tcW w:w="1190" w:type="dxa"/>
            <w:gridSpan w:val="3"/>
            <w:shd w:val="clear" w:color="auto" w:fill="FFFFFF"/>
            <w:tcMar>
              <w:top w:w="0" w:type="dxa"/>
              <w:left w:w="105" w:type="dxa"/>
              <w:bottom w:w="0" w:type="dxa"/>
              <w:right w:w="105" w:type="dxa"/>
            </w:tcMar>
            <w:vAlign w:val="center"/>
          </w:tcPr>
          <w:p>
            <w:pPr>
              <w:adjustRightInd w:val="0"/>
              <w:snapToGrid w:val="0"/>
              <w:jc w:val="both"/>
              <w:rPr>
                <w:rFonts w:cs="仿宋_GB2312"/>
                <w:spacing w:val="7"/>
                <w:szCs w:val="21"/>
              </w:rPr>
            </w:pPr>
            <w:r>
              <w:rPr>
                <w:rFonts w:cs="仿宋_GB2312"/>
                <w:spacing w:val="7"/>
                <w:szCs w:val="21"/>
              </w:rPr>
              <w:t>65.6</w:t>
            </w:r>
          </w:p>
        </w:tc>
        <w:tc>
          <w:tcPr>
            <w:tcW w:w="794"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73</w:t>
            </w:r>
            <w:r>
              <w:rPr>
                <w:rFonts w:hint="eastAsia" w:cs="仿宋_GB2312"/>
                <w:spacing w:val="7"/>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年度总体目标</w:t>
            </w:r>
          </w:p>
        </w:tc>
        <w:tc>
          <w:tcPr>
            <w:tcW w:w="3833" w:type="dxa"/>
            <w:gridSpan w:val="5"/>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预期目标</w:t>
            </w:r>
          </w:p>
        </w:tc>
        <w:tc>
          <w:tcPr>
            <w:tcW w:w="3969" w:type="dxa"/>
            <w:gridSpan w:val="5"/>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shd w:val="clear" w:color="auto" w:fill="FFFFFF"/>
            <w:vAlign w:val="center"/>
          </w:tcPr>
          <w:p>
            <w:pPr>
              <w:adjustRightInd w:val="0"/>
              <w:snapToGrid w:val="0"/>
              <w:rPr>
                <w:rFonts w:cs="仿宋_GB2312"/>
                <w:spacing w:val="7"/>
                <w:szCs w:val="21"/>
              </w:rPr>
            </w:pPr>
          </w:p>
        </w:tc>
        <w:tc>
          <w:tcPr>
            <w:tcW w:w="3833" w:type="dxa"/>
            <w:gridSpan w:val="5"/>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rPr>
              <w:t>我台年初对时政新闻频道、民生新闻频道下达的全年广告任务数，及各频道计划为完成全年广告任务成展开的各项工作。时政新闻频道实现700万元广告收入，民生新闻实现300万元广告收入。</w:t>
            </w:r>
          </w:p>
        </w:tc>
        <w:tc>
          <w:tcPr>
            <w:tcW w:w="3969" w:type="dxa"/>
            <w:gridSpan w:val="5"/>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rPr>
              <w:t>加强对专题片、晚会、合办节目创办、制作的质量把关，打出品牌与美誉度，争取高端广告商。加强公益广告制作与播出，服务于全市中心工作，提升市民文明素质。完成时政新闻频道实现7</w:t>
            </w:r>
            <w:r>
              <w:t>36</w:t>
            </w:r>
            <w:r>
              <w:rPr>
                <w:rFonts w:hint="eastAsia"/>
              </w:rPr>
              <w:t>万元广告收入，民生新闻实现300万元广告收入。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23" w:hRule="atLeast"/>
        </w:trPr>
        <w:tc>
          <w:tcPr>
            <w:tcW w:w="458" w:type="dxa"/>
            <w:vMerge w:val="restart"/>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绩效指标</w:t>
            </w:r>
          </w:p>
          <w:p>
            <w:pPr>
              <w:adjustRightInd w:val="0"/>
              <w:snapToGrid w:val="0"/>
              <w:rPr>
                <w:rFonts w:cs="仿宋_GB2312"/>
                <w:spacing w:val="7"/>
                <w:szCs w:val="21"/>
              </w:rPr>
            </w:pPr>
            <w:r>
              <w:rPr>
                <w:rFonts w:hint="eastAsia" w:cs="仿宋_GB2312"/>
                <w:spacing w:val="7"/>
                <w:szCs w:val="21"/>
              </w:rPr>
              <w:t>完成情况</w:t>
            </w:r>
          </w:p>
        </w:tc>
        <w:tc>
          <w:tcPr>
            <w:tcW w:w="492"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一级指标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二级</w:t>
            </w:r>
          </w:p>
          <w:p>
            <w:pPr>
              <w:adjustRightInd w:val="0"/>
              <w:snapToGrid w:val="0"/>
              <w:jc w:val="center"/>
              <w:rPr>
                <w:rFonts w:cs="仿宋_GB2312"/>
                <w:spacing w:val="7"/>
                <w:szCs w:val="21"/>
              </w:rPr>
            </w:pPr>
            <w:r>
              <w:rPr>
                <w:rFonts w:hint="eastAsia" w:cs="仿宋_GB2312"/>
                <w:spacing w:val="7"/>
                <w:szCs w:val="21"/>
              </w:rPr>
              <w:t>指标</w:t>
            </w:r>
          </w:p>
        </w:tc>
        <w:tc>
          <w:tcPr>
            <w:tcW w:w="199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三级</w:t>
            </w:r>
          </w:p>
          <w:p>
            <w:pPr>
              <w:adjustRightInd w:val="0"/>
              <w:snapToGrid w:val="0"/>
              <w:jc w:val="center"/>
              <w:rPr>
                <w:rFonts w:cs="仿宋_GB2312"/>
                <w:spacing w:val="7"/>
                <w:szCs w:val="21"/>
              </w:rPr>
            </w:pPr>
            <w:r>
              <w:rPr>
                <w:rFonts w:hint="eastAsia" w:cs="仿宋_GB2312"/>
                <w:spacing w:val="7"/>
                <w:szCs w:val="21"/>
              </w:rPr>
              <w:t>指标</w:t>
            </w:r>
          </w:p>
        </w:tc>
        <w:tc>
          <w:tcPr>
            <w:tcW w:w="850"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w:t>
            </w:r>
          </w:p>
          <w:p>
            <w:pPr>
              <w:adjustRightInd w:val="0"/>
              <w:snapToGrid w:val="0"/>
              <w:jc w:val="center"/>
              <w:rPr>
                <w:rFonts w:cs="仿宋_GB2312"/>
                <w:spacing w:val="7"/>
                <w:szCs w:val="21"/>
              </w:rPr>
            </w:pPr>
            <w:r>
              <w:rPr>
                <w:rFonts w:hint="eastAsia" w:cs="仿宋_GB2312"/>
                <w:spacing w:val="7"/>
                <w:szCs w:val="21"/>
              </w:rPr>
              <w:t>指标值</w:t>
            </w:r>
          </w:p>
        </w:tc>
        <w:tc>
          <w:tcPr>
            <w:tcW w:w="1985"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w:t>
            </w:r>
          </w:p>
          <w:p>
            <w:pPr>
              <w:adjustRightInd w:val="0"/>
              <w:snapToGrid w:val="0"/>
              <w:jc w:val="center"/>
              <w:rPr>
                <w:rFonts w:cs="仿宋_GB2312"/>
                <w:spacing w:val="7"/>
                <w:szCs w:val="21"/>
              </w:rPr>
            </w:pPr>
            <w:r>
              <w:rPr>
                <w:rFonts w:hint="eastAsia" w:cs="仿宋_GB2312"/>
                <w:spacing w:val="7"/>
                <w:szCs w:val="21"/>
              </w:rPr>
              <w:t>完成值</w:t>
            </w:r>
          </w:p>
        </w:tc>
        <w:tc>
          <w:tcPr>
            <w:tcW w:w="567"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权重</w:t>
            </w:r>
          </w:p>
        </w:tc>
        <w:tc>
          <w:tcPr>
            <w:tcW w:w="567"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得分</w:t>
            </w:r>
          </w:p>
        </w:tc>
        <w:tc>
          <w:tcPr>
            <w:tcW w:w="850"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724"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restart"/>
            <w:shd w:val="clear" w:color="auto" w:fill="FFFFFF"/>
            <w:vAlign w:val="center"/>
          </w:tcPr>
          <w:p>
            <w:pPr>
              <w:adjustRightInd w:val="0"/>
              <w:snapToGrid w:val="0"/>
              <w:rPr>
                <w:rFonts w:cs="仿宋_GB2312"/>
                <w:spacing w:val="7"/>
                <w:szCs w:val="21"/>
              </w:rPr>
            </w:pPr>
            <w:r>
              <w:rPr>
                <w:rFonts w:hint="eastAsia" w:cs="仿宋_GB2312"/>
                <w:spacing w:val="7"/>
                <w:szCs w:val="21"/>
              </w:rPr>
              <w:t>产出指标</w:t>
            </w:r>
          </w:p>
        </w:tc>
        <w:tc>
          <w:tcPr>
            <w:tcW w:w="993" w:type="dxa"/>
            <w:gridSpan w:val="2"/>
            <w:shd w:val="clear" w:color="auto" w:fill="FFFFFF"/>
            <w:vAlign w:val="center"/>
          </w:tcPr>
          <w:p>
            <w:pPr>
              <w:adjustRightInd w:val="0"/>
              <w:snapToGrid w:val="0"/>
              <w:jc w:val="center"/>
              <w:rPr>
                <w:rFonts w:cs="仿宋_GB2312"/>
                <w:spacing w:val="7"/>
                <w:szCs w:val="21"/>
              </w:rPr>
            </w:pPr>
            <w:r>
              <w:rPr>
                <w:rFonts w:hint="eastAsia" w:cs="仿宋_GB2312"/>
                <w:spacing w:val="7"/>
                <w:szCs w:val="21"/>
              </w:rPr>
              <w:t>数量</w:t>
            </w:r>
          </w:p>
          <w:p>
            <w:pPr>
              <w:adjustRightInd w:val="0"/>
              <w:snapToGrid w:val="0"/>
              <w:jc w:val="center"/>
              <w:rPr>
                <w:rFonts w:cs="仿宋_GB2312"/>
                <w:spacing w:val="7"/>
                <w:szCs w:val="21"/>
              </w:rPr>
            </w:pPr>
            <w:r>
              <w:rPr>
                <w:rFonts w:hint="eastAsia" w:cs="仿宋_GB2312"/>
                <w:spacing w:val="7"/>
                <w:szCs w:val="21"/>
              </w:rPr>
              <w:t>指标</w:t>
            </w:r>
          </w:p>
        </w:tc>
        <w:tc>
          <w:tcPr>
            <w:tcW w:w="1990" w:type="dxa"/>
            <w:gridSpan w:val="2"/>
            <w:shd w:val="clear" w:color="auto" w:fill="FFFFFF"/>
            <w:tcMar>
              <w:top w:w="0" w:type="dxa"/>
              <w:left w:w="105" w:type="dxa"/>
              <w:bottom w:w="0" w:type="dxa"/>
              <w:right w:w="105" w:type="dxa"/>
            </w:tcMar>
            <w:vAlign w:val="center"/>
          </w:tcPr>
          <w:p>
            <w:pPr>
              <w:rPr>
                <w:sz w:val="22"/>
                <w:szCs w:val="22"/>
              </w:rPr>
            </w:pPr>
            <w:r>
              <w:rPr>
                <w:rFonts w:hint="eastAsia"/>
                <w:sz w:val="22"/>
                <w:szCs w:val="22"/>
              </w:rPr>
              <w:t>电视栏目活动场次</w:t>
            </w:r>
          </w:p>
          <w:p>
            <w:pPr>
              <w:adjustRightInd w:val="0"/>
              <w:snapToGrid w:val="0"/>
              <w:rPr>
                <w:rFonts w:cs="仿宋_GB2312"/>
                <w:spacing w:val="7"/>
                <w:szCs w:val="21"/>
              </w:rPr>
            </w:pPr>
          </w:p>
        </w:tc>
        <w:tc>
          <w:tcPr>
            <w:tcW w:w="850"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30</w:t>
            </w:r>
            <w:r>
              <w:rPr>
                <w:rFonts w:hint="eastAsia" w:cs="仿宋_GB2312"/>
                <w:spacing w:val="7"/>
                <w:szCs w:val="21"/>
              </w:rPr>
              <w:t>场</w:t>
            </w: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全年举办大型文化活动有20场，大型蓝媒行动4场、蓝媒动态直播18场、蓝媒慢直播10多场</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20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18</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95"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rPr>
                <w:rFonts w:cs="仿宋_GB2312"/>
                <w:spacing w:val="7"/>
                <w:szCs w:val="21"/>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p>
        </w:tc>
        <w:tc>
          <w:tcPr>
            <w:tcW w:w="199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公益广告</w:t>
            </w:r>
          </w:p>
        </w:tc>
        <w:tc>
          <w:tcPr>
            <w:tcW w:w="850" w:type="dxa"/>
            <w:shd w:val="clear" w:color="auto" w:fill="FFFFFF"/>
            <w:tcMar>
              <w:top w:w="0" w:type="dxa"/>
              <w:left w:w="105" w:type="dxa"/>
              <w:bottom w:w="0" w:type="dxa"/>
              <w:right w:w="105" w:type="dxa"/>
            </w:tcMar>
            <w:vAlign w:val="center"/>
          </w:tcPr>
          <w:p>
            <w:pPr>
              <w:adjustRightInd w:val="0"/>
              <w:snapToGrid w:val="0"/>
              <w:ind w:firstLine="254" w:firstLineChars="100"/>
              <w:rPr>
                <w:rFonts w:cs="仿宋_GB2312"/>
                <w:spacing w:val="7"/>
                <w:szCs w:val="21"/>
              </w:rPr>
            </w:pPr>
            <w:r>
              <w:rPr>
                <w:rFonts w:hint="eastAsia" w:cs="仿宋_GB2312"/>
                <w:spacing w:val="7"/>
                <w:szCs w:val="21"/>
              </w:rPr>
              <w:t>≥</w:t>
            </w:r>
            <w:r>
              <w:rPr>
                <w:rFonts w:cs="仿宋_GB2312"/>
                <w:spacing w:val="7"/>
                <w:szCs w:val="21"/>
              </w:rPr>
              <w:t>2</w:t>
            </w:r>
            <w:r>
              <w:rPr>
                <w:rFonts w:hint="eastAsia" w:cs="仿宋_GB2312"/>
                <w:spacing w:val="7"/>
                <w:szCs w:val="21"/>
              </w:rPr>
              <w:t>小时/每天</w:t>
            </w: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完成</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w:t>
            </w:r>
            <w:r>
              <w:rPr>
                <w:rFonts w:cs="仿宋_GB2312"/>
                <w:spacing w:val="7"/>
                <w:szCs w:val="21"/>
              </w:rPr>
              <w:t>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w:t>
            </w:r>
            <w:r>
              <w:rPr>
                <w:rFonts w:cs="仿宋_GB2312"/>
                <w:spacing w:val="7"/>
                <w:szCs w:val="21"/>
              </w:rPr>
              <w:t>0</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35"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rPr>
                <w:rFonts w:cs="仿宋_GB2312"/>
                <w:spacing w:val="7"/>
                <w:szCs w:val="21"/>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经济效益指标</w:t>
            </w:r>
          </w:p>
        </w:tc>
        <w:tc>
          <w:tcPr>
            <w:tcW w:w="199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电视广告总收入</w:t>
            </w:r>
          </w:p>
        </w:tc>
        <w:tc>
          <w:tcPr>
            <w:tcW w:w="850"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1</w:t>
            </w:r>
            <w:r>
              <w:rPr>
                <w:rFonts w:cs="仿宋_GB2312"/>
                <w:spacing w:val="7"/>
                <w:szCs w:val="21"/>
              </w:rPr>
              <w:t>000</w:t>
            </w:r>
            <w:r>
              <w:rPr>
                <w:rFonts w:hint="eastAsia" w:cs="仿宋_GB2312"/>
                <w:spacing w:val="7"/>
                <w:szCs w:val="21"/>
              </w:rPr>
              <w:t>万</w:t>
            </w: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rPr>
              <w:t>完成时政新闻频道实现7</w:t>
            </w:r>
            <w:r>
              <w:t>36</w:t>
            </w:r>
            <w:r>
              <w:rPr>
                <w:rFonts w:hint="eastAsia"/>
              </w:rPr>
              <w:t>万元广告收入，民生新闻实现300万元广告收入。</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30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30</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48"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vMerge w:val="continue"/>
            <w:shd w:val="clear" w:color="auto" w:fill="FFFFFF"/>
            <w:vAlign w:val="center"/>
          </w:tcPr>
          <w:p>
            <w:pPr>
              <w:adjustRightInd w:val="0"/>
              <w:snapToGrid w:val="0"/>
              <w:jc w:val="center"/>
              <w:rPr>
                <w:rFonts w:cs="仿宋_GB2312"/>
                <w:spacing w:val="7"/>
                <w:szCs w:val="21"/>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社会效益指标</w:t>
            </w:r>
          </w:p>
        </w:tc>
        <w:tc>
          <w:tcPr>
            <w:tcW w:w="1990" w:type="dxa"/>
            <w:gridSpan w:val="2"/>
            <w:shd w:val="clear" w:color="auto" w:fill="FFFFFF"/>
            <w:tcMar>
              <w:top w:w="0" w:type="dxa"/>
              <w:left w:w="105" w:type="dxa"/>
              <w:bottom w:w="0" w:type="dxa"/>
              <w:right w:w="105" w:type="dxa"/>
            </w:tcMar>
            <w:vAlign w:val="center"/>
          </w:tcPr>
          <w:p>
            <w:pPr>
              <w:rPr>
                <w:sz w:val="22"/>
                <w:szCs w:val="22"/>
              </w:rPr>
            </w:pPr>
            <w:r>
              <w:rPr>
                <w:rFonts w:hint="eastAsia"/>
                <w:sz w:val="22"/>
                <w:szCs w:val="22"/>
              </w:rPr>
              <w:t>公益广告向社会传播正能量</w:t>
            </w:r>
          </w:p>
          <w:p>
            <w:pPr>
              <w:adjustRightInd w:val="0"/>
              <w:snapToGrid w:val="0"/>
              <w:rPr>
                <w:rFonts w:cs="仿宋_GB2312"/>
                <w:spacing w:val="7"/>
                <w:szCs w:val="21"/>
              </w:rPr>
            </w:pPr>
          </w:p>
        </w:tc>
        <w:tc>
          <w:tcPr>
            <w:tcW w:w="850"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传播</w:t>
            </w:r>
          </w:p>
        </w:tc>
        <w:tc>
          <w:tcPr>
            <w:tcW w:w="1985" w:type="dxa"/>
            <w:shd w:val="clear" w:color="auto" w:fill="FFFFFF"/>
            <w:tcMar>
              <w:top w:w="0" w:type="dxa"/>
              <w:left w:w="105" w:type="dxa"/>
              <w:bottom w:w="0" w:type="dxa"/>
              <w:right w:w="105" w:type="dxa"/>
            </w:tcMar>
            <w:vAlign w:val="center"/>
          </w:tcPr>
          <w:p>
            <w:pPr>
              <w:rPr>
                <w:rFonts w:cs="仿宋_GB2312"/>
                <w:spacing w:val="7"/>
                <w:szCs w:val="21"/>
              </w:rPr>
            </w:pPr>
            <w:r>
              <w:rPr>
                <w:rFonts w:hint="eastAsia" w:cs="Times New Roman"/>
              </w:rPr>
              <w:t>提升广告业务，丰富新闻、栏目的内容</w:t>
            </w:r>
            <w:r>
              <w:rPr>
                <w:rFonts w:hint="eastAsia"/>
              </w:rPr>
              <w:t>，传播正能量</w:t>
            </w:r>
            <w:r>
              <w:rPr>
                <w:rFonts w:hint="eastAsia" w:cs="Times New Roman"/>
              </w:rPr>
              <w:t>，满足人民群众的文化生活。</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20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19</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63" w:hRule="exact"/>
        </w:trPr>
        <w:tc>
          <w:tcPr>
            <w:tcW w:w="458" w:type="dxa"/>
            <w:vMerge w:val="continue"/>
            <w:shd w:val="clear" w:color="auto" w:fill="FFFFFF"/>
            <w:vAlign w:val="center"/>
          </w:tcPr>
          <w:p>
            <w:pPr>
              <w:adjustRightInd w:val="0"/>
              <w:snapToGrid w:val="0"/>
              <w:rPr>
                <w:rFonts w:cs="仿宋_GB2312"/>
                <w:spacing w:val="7"/>
                <w:szCs w:val="21"/>
              </w:rPr>
            </w:pPr>
          </w:p>
        </w:tc>
        <w:tc>
          <w:tcPr>
            <w:tcW w:w="492"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满意度</w:t>
            </w:r>
          </w:p>
          <w:p>
            <w:pPr>
              <w:adjustRightInd w:val="0"/>
              <w:snapToGrid w:val="0"/>
              <w:rPr>
                <w:rFonts w:cs="仿宋_GB2312"/>
                <w:spacing w:val="7"/>
                <w:szCs w:val="21"/>
              </w:rPr>
            </w:pPr>
            <w:r>
              <w:rPr>
                <w:rFonts w:hint="eastAsia" w:cs="仿宋_GB2312"/>
                <w:spacing w:val="7"/>
                <w:szCs w:val="21"/>
              </w:rPr>
              <w:t>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服务对象满意度指标</w:t>
            </w:r>
          </w:p>
        </w:tc>
        <w:tc>
          <w:tcPr>
            <w:tcW w:w="199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受众人员满意度</w:t>
            </w:r>
          </w:p>
        </w:tc>
        <w:tc>
          <w:tcPr>
            <w:tcW w:w="850" w:type="dxa"/>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≥9</w:t>
            </w:r>
            <w:r>
              <w:rPr>
                <w:rFonts w:cs="仿宋_GB2312"/>
                <w:spacing w:val="7"/>
                <w:szCs w:val="21"/>
              </w:rPr>
              <w:t>0</w:t>
            </w:r>
            <w:r>
              <w:rPr>
                <w:rFonts w:hint="eastAsia" w:cs="仿宋_GB2312"/>
                <w:spacing w:val="7"/>
                <w:szCs w:val="21"/>
              </w:rPr>
              <w:t>%</w:t>
            </w:r>
          </w:p>
        </w:tc>
        <w:tc>
          <w:tcPr>
            <w:tcW w:w="1985"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w:t>
            </w:r>
            <w:r>
              <w:rPr>
                <w:rFonts w:cs="仿宋_GB2312"/>
                <w:spacing w:val="7"/>
                <w:szCs w:val="21"/>
              </w:rPr>
              <w:t>80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20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18</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768" w:type="dxa"/>
            <w:gridSpan w:val="8"/>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567" w:type="dxa"/>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cs="仿宋_GB2312"/>
                <w:spacing w:val="7"/>
                <w:szCs w:val="21"/>
              </w:rPr>
              <w:t>95</w:t>
            </w:r>
          </w:p>
        </w:tc>
        <w:tc>
          <w:tcPr>
            <w:tcW w:w="850" w:type="dxa"/>
            <w:gridSpan w:val="2"/>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自评结论</w:t>
            </w:r>
          </w:p>
        </w:tc>
        <w:tc>
          <w:tcPr>
            <w:tcW w:w="4933" w:type="dxa"/>
            <w:gridSpan w:val="5"/>
            <w:shd w:val="clear" w:color="auto" w:fill="FFFFFF"/>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color w:val="000000"/>
                <w:szCs w:val="21"/>
              </w:rPr>
              <w:t>优□      良□    中□    差□</w:t>
            </w:r>
          </w:p>
        </w:tc>
        <w:tc>
          <w:tcPr>
            <w:tcW w:w="1984" w:type="dxa"/>
            <w:gridSpan w:val="4"/>
            <w:shd w:val="clear" w:color="auto" w:fill="FFFFFF"/>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color w:val="000000"/>
                <w:szCs w:val="21"/>
              </w:rPr>
              <w:t>总分高于90分（含）的结论为“优”，90～80分（含）为“良”，80～60分（含）为“中”，低于60分为“差”。</w:t>
            </w:r>
          </w:p>
        </w:tc>
      </w:tr>
    </w:tbl>
    <w:p>
      <w:pPr>
        <w:snapToGrid w:val="0"/>
        <w:spacing w:line="600" w:lineRule="atLeast"/>
        <w:ind w:firstLine="640" w:firstLineChars="200"/>
        <w:rPr>
          <w:rFonts w:ascii="仿宋" w:eastAsia="仿宋" w:cs="Arial"/>
          <w:sz w:val="32"/>
          <w:szCs w:val="32"/>
        </w:rPr>
      </w:pPr>
    </w:p>
    <w:p>
      <w:pPr>
        <w:spacing w:line="600" w:lineRule="atLeast"/>
        <w:ind w:firstLine="640"/>
        <w:jc w:val="both"/>
      </w:pPr>
      <w:r>
        <w:rPr>
          <w:rStyle w:val="7"/>
          <w:rFonts w:hint="eastAsia" w:ascii="仿宋" w:eastAsia="仿宋" w:cs="Arial"/>
          <w:sz w:val="32"/>
          <w:szCs w:val="32"/>
        </w:rPr>
        <w:t>3.财政评价项目绩效评价结果 :</w:t>
      </w:r>
      <w:r>
        <w:rPr>
          <w:rFonts w:hint="eastAsia" w:ascii="仿宋" w:eastAsia="仿宋" w:cs="Arial"/>
          <w:sz w:val="32"/>
          <w:szCs w:val="32"/>
        </w:rPr>
        <w:t>无。</w:t>
      </w:r>
    </w:p>
    <w:p>
      <w:pPr>
        <w:spacing w:line="600" w:lineRule="atLeast"/>
        <w:ind w:firstLine="640"/>
        <w:jc w:val="both"/>
      </w:pPr>
      <w:r>
        <w:rPr>
          <w:rStyle w:val="7"/>
          <w:rFonts w:hint="eastAsia" w:ascii="仿宋" w:eastAsia="仿宋" w:cs="Arial"/>
          <w:sz w:val="32"/>
          <w:szCs w:val="32"/>
        </w:rPr>
        <w:t>4.部门评价项目绩效评价结果 :无</w:t>
      </w:r>
      <w:r>
        <w:rPr>
          <w:rFonts w:hint="eastAsia" w:ascii="仿宋" w:eastAsia="仿宋" w:cs="Arial"/>
          <w:sz w:val="32"/>
          <w:szCs w:val="32"/>
        </w:rPr>
        <w:t>。</w:t>
      </w:r>
    </w:p>
    <w:p>
      <w:pPr>
        <w:spacing w:line="600" w:lineRule="atLeast"/>
        <w:ind w:firstLine="640"/>
        <w:jc w:val="both"/>
      </w:pPr>
      <w:r>
        <w:rPr>
          <w:rFonts w:hint="eastAsia" w:ascii="仿宋" w:eastAsia="仿宋" w:cs="Arial"/>
          <w:sz w:val="32"/>
          <w:szCs w:val="32"/>
        </w:rPr>
        <w:t>说明：</w:t>
      </w:r>
      <w:r>
        <w:rPr>
          <w:rStyle w:val="7"/>
          <w:rFonts w:hint="eastAsia" w:ascii="仿宋" w:eastAsia="仿宋" w:cs="Arial"/>
          <w:sz w:val="32"/>
          <w:szCs w:val="32"/>
        </w:rPr>
        <w:t>部门评价项目</w:t>
      </w:r>
      <w:r>
        <w:rPr>
          <w:rFonts w:hint="eastAsia" w:ascii="仿宋" w:eastAsia="仿宋" w:cs="Arial"/>
          <w:sz w:val="32"/>
          <w:szCs w:val="32"/>
        </w:rPr>
        <w:t>是指本部门自行开展的评价对象为本部门政策、项目、整体支出或下属单位整体支出的绩效评价；</w:t>
      </w:r>
      <w:r>
        <w:rPr>
          <w:rStyle w:val="7"/>
          <w:rFonts w:hint="eastAsia" w:ascii="仿宋" w:eastAsia="仿宋" w:cs="Arial"/>
          <w:sz w:val="32"/>
          <w:szCs w:val="32"/>
        </w:rPr>
        <w:t>财政评价项目</w:t>
      </w:r>
      <w:r>
        <w:rPr>
          <w:rFonts w:hint="eastAsia" w:ascii="仿宋" w:eastAsia="仿宋" w:cs="Arial"/>
          <w:sz w:val="32"/>
          <w:szCs w:val="32"/>
        </w:rPr>
        <w:t>是指以由财政部门开展的评价对象为本部门政策、项目或整体支出的绩效评价项目。</w:t>
      </w:r>
    </w:p>
    <w:p>
      <w:pPr>
        <w:spacing w:line="600" w:lineRule="atLeast"/>
        <w:ind w:firstLine="640"/>
        <w:jc w:val="both"/>
      </w:pPr>
      <w:r>
        <w:rPr>
          <w:rFonts w:hint="eastAsia" w:ascii="黑体" w:eastAsia="黑体" w:cs="Arial"/>
          <w:sz w:val="32"/>
          <w:szCs w:val="32"/>
        </w:rPr>
        <w:t>四、名词解释</w:t>
      </w:r>
    </w:p>
    <w:p>
      <w:pPr>
        <w:spacing w:line="600" w:lineRule="atLeast"/>
        <w:ind w:firstLine="640"/>
        <w:jc w:val="both"/>
      </w:pPr>
      <w:r>
        <w:rPr>
          <w:rFonts w:hint="eastAsia" w:ascii="仿宋" w:eastAsia="仿宋" w:cs="Arial"/>
          <w:sz w:val="32"/>
          <w:szCs w:val="32"/>
        </w:rPr>
        <w:t>1.财政拨款收入：指本级财政部门当年拨付的财政预算资金，包括一般公共预算财政拨款、政府性基金预算财政拨款和国有资本经预算财政拨款。</w:t>
      </w:r>
    </w:p>
    <w:p>
      <w:pPr>
        <w:spacing w:line="600" w:lineRule="atLeast"/>
        <w:ind w:firstLine="640"/>
        <w:jc w:val="both"/>
      </w:pPr>
      <w:r>
        <w:rPr>
          <w:rFonts w:hint="eastAsia" w:asci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eastAsia="仿宋" w:cs="Arial"/>
          <w:sz w:val="32"/>
          <w:szCs w:val="32"/>
        </w:rPr>
        <w:t>4.上级补助收入：指事业单位从主管部门和上级单位取得的非财政补助收入。</w:t>
      </w:r>
    </w:p>
    <w:p>
      <w:pPr>
        <w:spacing w:line="600" w:lineRule="atLeast"/>
        <w:ind w:firstLine="640"/>
        <w:jc w:val="both"/>
      </w:pPr>
      <w:r>
        <w:rPr>
          <w:rFonts w:hint="eastAsia" w:ascii="仿宋" w:eastAsia="仿宋" w:cs="Arial"/>
          <w:sz w:val="32"/>
          <w:szCs w:val="32"/>
        </w:rPr>
        <w:t>5.附属单位上缴收入：指事业单位附属独立核算单位按照有关规定上缴的收入。</w:t>
      </w:r>
    </w:p>
    <w:p>
      <w:pPr>
        <w:spacing w:line="600" w:lineRule="atLeast"/>
        <w:ind w:firstLine="640"/>
        <w:jc w:val="both"/>
      </w:pPr>
      <w:r>
        <w:rPr>
          <w:rFonts w:hint="eastAsia" w:ascii="仿宋" w:eastAsia="仿宋" w:cs="Arial"/>
          <w:sz w:val="32"/>
          <w:szCs w:val="32"/>
        </w:rPr>
        <w:t>6.其他收入：指预算单位在“财政拨款”、“事业收入”、“经营收入”、“上级补助收入”、“附属单位上缴收入”等之外取得的各项收入。</w:t>
      </w:r>
    </w:p>
    <w:p>
      <w:pPr>
        <w:spacing w:line="600" w:lineRule="atLeast"/>
        <w:ind w:firstLine="640"/>
        <w:jc w:val="both"/>
      </w:pPr>
      <w:r>
        <w:rPr>
          <w:rFonts w:hint="eastAsia" w:ascii="仿宋" w:eastAsia="仿宋" w:cs="Arial"/>
          <w:sz w:val="32"/>
          <w:szCs w:val="32"/>
        </w:rPr>
        <w:t>7.使用非财政拨款结余：指事业单位使用以前年度积累的非财政拨款结余弥补当年收支差额的金额。</w:t>
      </w:r>
    </w:p>
    <w:p>
      <w:pPr>
        <w:spacing w:line="600" w:lineRule="atLeast"/>
        <w:ind w:firstLine="640"/>
        <w:jc w:val="both"/>
      </w:pPr>
      <w:r>
        <w:rPr>
          <w:rFonts w:hint="eastAsia" w:ascii="仿宋" w:eastAsia="仿宋" w:cs="Arial"/>
          <w:sz w:val="32"/>
          <w:szCs w:val="32"/>
        </w:rPr>
        <w:t>8.年初结转和结余：指预算单位以前年度尚未完成、结转到本年仍按原规定用途继续使用的资金。</w:t>
      </w:r>
    </w:p>
    <w:p>
      <w:pPr>
        <w:spacing w:line="600" w:lineRule="atLeast"/>
        <w:ind w:firstLine="640"/>
        <w:jc w:val="both"/>
      </w:pPr>
      <w:r>
        <w:rPr>
          <w:rFonts w:hint="eastAsia" w:ascii="仿宋" w:eastAsia="仿宋" w:cs="Arial"/>
          <w:sz w:val="32"/>
          <w:szCs w:val="32"/>
        </w:rPr>
        <w:t>9.年末结转和结余：指单位按有关规定结转到下年或以后年度继续使用的资金。</w:t>
      </w:r>
    </w:p>
    <w:p>
      <w:pPr>
        <w:spacing w:line="600" w:lineRule="atLeast"/>
        <w:ind w:firstLine="640"/>
        <w:jc w:val="both"/>
      </w:pPr>
      <w:r>
        <w:rPr>
          <w:rFonts w:hint="eastAsia" w:ascii="仿宋" w:eastAsia="仿宋" w:cs="Arial"/>
          <w:sz w:val="32"/>
          <w:szCs w:val="32"/>
        </w:rPr>
        <w:t>10.基本支出：指预算单位为保障其正常运转，完成日常工作任务所发生的支出，包括人员经费支出和日常公用经费支出。</w:t>
      </w:r>
    </w:p>
    <w:p>
      <w:pPr>
        <w:spacing w:line="600" w:lineRule="atLeast"/>
        <w:ind w:firstLine="640"/>
        <w:jc w:val="both"/>
      </w:pPr>
      <w:r>
        <w:rPr>
          <w:rFonts w:hint="eastAsia" w:ascii="仿宋" w:eastAsia="仿宋" w:cs="Arial"/>
          <w:sz w:val="32"/>
          <w:szCs w:val="32"/>
        </w:rPr>
        <w:t>11.项目支出：指预算单位为完成其特定的行政工作任务或事业发展目标所发生的支出。</w:t>
      </w:r>
    </w:p>
    <w:p>
      <w:pPr>
        <w:spacing w:line="600" w:lineRule="atLeast"/>
        <w:ind w:firstLine="640"/>
        <w:jc w:val="both"/>
      </w:pPr>
      <w:r>
        <w:rPr>
          <w:rFonts w:hint="eastAsia" w:ascii="仿宋" w:eastAsia="仿宋" w:cs="Arial"/>
          <w:sz w:val="32"/>
          <w:szCs w:val="32"/>
        </w:rPr>
        <w:t>12.上缴上级支出：填列事业单位按照财政部门和主管部门的规定上缴上级单位的支出。</w:t>
      </w:r>
    </w:p>
    <w:p>
      <w:pPr>
        <w:spacing w:line="600" w:lineRule="atLeast"/>
        <w:ind w:firstLine="640"/>
        <w:jc w:val="both"/>
      </w:pPr>
      <w:r>
        <w:rPr>
          <w:rFonts w:hint="eastAsia" w:ascii="仿宋" w:eastAsia="仿宋" w:cs="Arial"/>
          <w:sz w:val="32"/>
          <w:szCs w:val="32"/>
        </w:rPr>
        <w:t>13.经营支出：指事业单位在专业业务活动及其辅助活动之外开展非独立核算经营活动发生的支出。</w:t>
      </w:r>
    </w:p>
    <w:p>
      <w:pPr>
        <w:spacing w:line="600" w:lineRule="atLeast"/>
        <w:ind w:firstLine="640"/>
        <w:jc w:val="both"/>
      </w:pPr>
      <w:r>
        <w:rPr>
          <w:rFonts w:hint="eastAsia" w:ascii="仿宋" w:eastAsia="仿宋" w:cs="Arial"/>
          <w:sz w:val="32"/>
          <w:szCs w:val="32"/>
        </w:rPr>
        <w:t>14.附属单位补助支出：填列事业单位用财政补助收入之外的收入对附属单位补助发生的支出。</w:t>
      </w:r>
    </w:p>
    <w:p>
      <w:pPr>
        <w:spacing w:line="600" w:lineRule="atLeast"/>
        <w:ind w:firstLine="640"/>
        <w:jc w:val="both"/>
      </w:pPr>
      <w:r>
        <w:rPr>
          <w:rFonts w:hint="eastAsia" w:ascii="仿宋" w:eastAsia="仿宋" w:cs="Arial"/>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eastAsia="仿宋" w:cs="Arial"/>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pPr>
      <w:r>
        <w:rPr>
          <w:rFonts w:hint="eastAsia" w:ascii="仿宋" w:hAnsi="仿宋" w:eastAsia="仿宋" w:cs="Arial"/>
          <w:sz w:val="32"/>
          <w:szCs w:val="32"/>
        </w:rPr>
        <w:t>17.</w:t>
      </w:r>
      <w:r>
        <w:rPr>
          <w:rFonts w:hint="eastAsia"/>
        </w:rPr>
        <w:t xml:space="preserve"> </w:t>
      </w:r>
      <w:r>
        <w:rPr>
          <w:rFonts w:hint="eastAsia" w:ascii="仿宋" w:hAnsi="仿宋" w:eastAsia="仿宋" w:cs="Arial"/>
          <w:sz w:val="32"/>
          <w:szCs w:val="32"/>
        </w:rPr>
        <w:t>文化旅游体育与传媒支出（类）广播电视（款）其他广播电视支出（项）：指反映除上述项目以外其他用于广播电视方面的支出。</w:t>
      </w:r>
    </w:p>
    <w:p>
      <w:pPr>
        <w:spacing w:line="600" w:lineRule="atLeast"/>
        <w:ind w:firstLine="640"/>
        <w:jc w:val="both"/>
      </w:pPr>
      <w:r>
        <w:rPr>
          <w:rFonts w:hint="eastAsia" w:ascii="仿宋" w:hAnsi="仿宋" w:eastAsia="仿宋" w:cs="Arial"/>
          <w:sz w:val="32"/>
          <w:szCs w:val="32"/>
        </w:rPr>
        <w:t>18. 文化旅游体育与传媒支出（类）其他文化旅游体育与传媒支出（款）其他文化旅游体育与传媒支出（项）：指反映除上述项目以外其他用于文化旅游体育与传媒方面的支出。</w:t>
      </w:r>
    </w:p>
    <w:p>
      <w:pPr>
        <w:spacing w:line="600" w:lineRule="atLeast"/>
        <w:ind w:firstLine="640"/>
        <w:jc w:val="both"/>
      </w:pPr>
    </w:p>
    <w:sectPr>
      <w:footerReference r:id="rId3" w:type="default"/>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43805"/>
      <w:docPartObj>
        <w:docPartGallery w:val="autotext"/>
      </w:docPartObj>
    </w:sdtPr>
    <w:sdtContent>
      <w:p>
        <w:pPr>
          <w:pStyle w:val="2"/>
        </w:pPr>
        <w:r>
          <w:ptab w:relativeTo="margin" w:alignment="center" w:leader="none"/>
        </w:r>
        <w:r>
          <w:fldChar w:fldCharType="begin"/>
        </w:r>
        <w:r>
          <w:instrText xml:space="preserve"> PAGE   \* MERGEFORMAT </w:instrText>
        </w:r>
        <w:r>
          <w:fldChar w:fldCharType="separate"/>
        </w:r>
        <w:r>
          <w:rPr>
            <w:lang w:val="zh-CN"/>
          </w:rPr>
          <w:t>20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B"/>
    <w:rsid w:val="00033A38"/>
    <w:rsid w:val="00045E3F"/>
    <w:rsid w:val="000A0F4A"/>
    <w:rsid w:val="000A7441"/>
    <w:rsid w:val="000E3560"/>
    <w:rsid w:val="001518BD"/>
    <w:rsid w:val="001B7903"/>
    <w:rsid w:val="001D2A2B"/>
    <w:rsid w:val="001F15B5"/>
    <w:rsid w:val="002159AA"/>
    <w:rsid w:val="00247451"/>
    <w:rsid w:val="002B4250"/>
    <w:rsid w:val="002B6593"/>
    <w:rsid w:val="002D1984"/>
    <w:rsid w:val="002D3EF2"/>
    <w:rsid w:val="0030120B"/>
    <w:rsid w:val="0031001D"/>
    <w:rsid w:val="00351FBC"/>
    <w:rsid w:val="0035640D"/>
    <w:rsid w:val="00360F4E"/>
    <w:rsid w:val="0044649D"/>
    <w:rsid w:val="004E4EE6"/>
    <w:rsid w:val="00511507"/>
    <w:rsid w:val="0052132D"/>
    <w:rsid w:val="005B6D41"/>
    <w:rsid w:val="00625B1C"/>
    <w:rsid w:val="00675939"/>
    <w:rsid w:val="0068740E"/>
    <w:rsid w:val="006957C4"/>
    <w:rsid w:val="00714EC0"/>
    <w:rsid w:val="007C673D"/>
    <w:rsid w:val="0087683C"/>
    <w:rsid w:val="008A3D92"/>
    <w:rsid w:val="008A5A22"/>
    <w:rsid w:val="008E1429"/>
    <w:rsid w:val="008F3895"/>
    <w:rsid w:val="00907827"/>
    <w:rsid w:val="009C4276"/>
    <w:rsid w:val="009E2923"/>
    <w:rsid w:val="00A01124"/>
    <w:rsid w:val="00A33551"/>
    <w:rsid w:val="00A3504E"/>
    <w:rsid w:val="00A83099"/>
    <w:rsid w:val="00AB5828"/>
    <w:rsid w:val="00AD563D"/>
    <w:rsid w:val="00BB65A3"/>
    <w:rsid w:val="00C33959"/>
    <w:rsid w:val="00CF01BD"/>
    <w:rsid w:val="00D046A5"/>
    <w:rsid w:val="00D05A48"/>
    <w:rsid w:val="00D12402"/>
    <w:rsid w:val="00D231D2"/>
    <w:rsid w:val="00D25D9E"/>
    <w:rsid w:val="00D80B9A"/>
    <w:rsid w:val="00DA508E"/>
    <w:rsid w:val="00DE5222"/>
    <w:rsid w:val="00EB5A15"/>
    <w:rsid w:val="00F472B6"/>
    <w:rsid w:val="00F6725D"/>
    <w:rsid w:val="00F953E3"/>
    <w:rsid w:val="00FB0A37"/>
    <w:rsid w:val="01F91842"/>
    <w:rsid w:val="256A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qFormat/>
    <w:uiPriority w:val="99"/>
    <w:rPr>
      <w:rFonts w:ascii="宋体" w:hAnsi="宋体" w:eastAsia="宋体" w:cs="宋体"/>
      <w:sz w:val="18"/>
      <w:szCs w:val="18"/>
    </w:rPr>
  </w:style>
  <w:style w:type="character" w:customStyle="1" w:styleId="9">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formulas xmlns="http://www.yonyou.com/formula"/>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FCCF1-1469-44D4-9202-60893B5CB375}">
  <ds:schemaRefs/>
</ds:datastoreItem>
</file>

<file path=customXml/itemProps3.xml><?xml version="1.0" encoding="utf-8"?>
<ds:datastoreItem xmlns:ds="http://schemas.openxmlformats.org/officeDocument/2006/customXml" ds:itemID="{00FB0581-6BFB-4DC4-97E3-4B5A3719A3BA}">
  <ds:schemaRefs/>
</ds:datastoreItem>
</file>

<file path=customXml/itemProps4.xml><?xml version="1.0" encoding="utf-8"?>
<ds:datastoreItem xmlns:ds="http://schemas.openxmlformats.org/officeDocument/2006/customXml" ds:itemID="{864B98A9-70EC-4BB3-AF86-52BED29FDAAE}">
  <ds:schemaRefs/>
</ds:datastoreItem>
</file>

<file path=docProps/app.xml><?xml version="1.0" encoding="utf-8"?>
<Properties xmlns="http://schemas.openxmlformats.org/officeDocument/2006/extended-properties" xmlns:vt="http://schemas.openxmlformats.org/officeDocument/2006/docPropsVTypes">
  <Template>Normal</Template>
  <Pages>20</Pages>
  <Words>1684</Words>
  <Characters>9599</Characters>
  <Lines>79</Lines>
  <Paragraphs>22</Paragraphs>
  <TotalTime>103</TotalTime>
  <ScaleCrop>false</ScaleCrop>
  <LinksUpToDate>false</LinksUpToDate>
  <CharactersWithSpaces>11261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2021-09-18T07:59:00Z</dcterms:created>
  <dc:creator>Administrator</dc:creator>
  <cp:lastModifiedBy>浙江台温律师事务所</cp:lastModifiedBy>
  <dcterms:modified xsi:type="dcterms:W3CDTF">2022-09-14T08:07:33Z</dcterms:modified>
  <dc:title>DWZDM</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