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Style w:val="7"/>
          <w:rFonts w:hint="eastAsia" w:ascii="黑体" w:hAnsi="黑体" w:eastAsia="黑体"/>
          <w:sz w:val="44"/>
          <w:szCs w:val="44"/>
        </w:rPr>
        <w:t xml:space="preserve">台州市温岭市轨道交通建设办公室2019年度部门决算 </w:t>
      </w:r>
    </w:p>
    <w:p>
      <w:pPr>
        <w:pStyle w:val="4"/>
      </w:pPr>
      <w:r>
        <w:t> </w:t>
      </w:r>
    </w:p>
    <w:p>
      <w:pPr>
        <w:pStyle w:val="4"/>
      </w:pPr>
      <w:r>
        <w:t> </w:t>
      </w:r>
    </w:p>
    <w:p>
      <w:pPr>
        <w:spacing w:line="600" w:lineRule="atLeast"/>
        <w:ind w:firstLine="640"/>
        <w:jc w:val="both"/>
      </w:pPr>
      <w:r>
        <w:rPr>
          <w:rStyle w:val="7"/>
          <w:rFonts w:hint="eastAsia" w:ascii="黑体" w:hAnsi="黑体" w:eastAsia="黑体" w:cs="Arial"/>
          <w:sz w:val="32"/>
          <w:szCs w:val="32"/>
        </w:rPr>
        <w:t>一、台州市温岭市轨道交通建设办公室概况</w:t>
      </w:r>
    </w:p>
    <w:p>
      <w:pPr>
        <w:spacing w:line="600" w:lineRule="atLeast"/>
        <w:ind w:firstLine="640"/>
        <w:jc w:val="both"/>
      </w:pPr>
      <w:r>
        <w:rPr>
          <w:rStyle w:val="7"/>
          <w:rFonts w:hint="eastAsia" w:ascii="楷体" w:hAnsi="楷体" w:eastAsia="楷体" w:cs="Arial"/>
          <w:sz w:val="32"/>
          <w:szCs w:val="32"/>
        </w:rPr>
        <w:t>（一）部门职责</w:t>
      </w:r>
    </w:p>
    <w:p>
      <w:pPr>
        <w:ind w:firstLine="640" w:firstLineChars="200"/>
        <w:rPr>
          <w:rFonts w:ascii="仿宋" w:hAnsi="仿宋" w:eastAsia="仿宋" w:cs="Arial"/>
          <w:sz w:val="32"/>
          <w:szCs w:val="32"/>
        </w:rPr>
      </w:pPr>
      <w:r>
        <w:rPr>
          <w:rFonts w:ascii="仿宋" w:hAnsi="仿宋" w:eastAsia="仿宋" w:cs="Arial"/>
          <w:sz w:val="32"/>
          <w:szCs w:val="32"/>
        </w:rPr>
        <w:t>温岭市轨道交通建设办公室成立于2016年11月，经市委、市政府授权，负责高铁、市域铁路及城市轨道交通项目建设工作；组织落实上级工作精神，做好上下联络沟通工作；承担轨道交通建设政策处理、协调督查、运营监管、</w:t>
      </w:r>
      <w:r>
        <w:rPr>
          <w:rFonts w:hint="eastAsia" w:ascii="仿宋" w:hAnsi="仿宋" w:eastAsia="仿宋" w:cs="Arial"/>
          <w:sz w:val="32"/>
          <w:szCs w:val="32"/>
        </w:rPr>
        <w:t>轨道交通建设资金引进、沿线土地综合开发利用</w:t>
      </w:r>
      <w:r>
        <w:rPr>
          <w:rFonts w:ascii="仿宋" w:hAnsi="仿宋" w:eastAsia="仿宋" w:cs="Arial"/>
          <w:sz w:val="32"/>
          <w:szCs w:val="32"/>
        </w:rPr>
        <w:t>等工作职能，为温岭市政府设立的全额拨款事业单位</w:t>
      </w:r>
      <w:r>
        <w:rPr>
          <w:rFonts w:hint="eastAsia" w:ascii="仿宋" w:hAnsi="仿宋" w:eastAsia="仿宋" w:cs="Arial"/>
          <w:sz w:val="32"/>
          <w:szCs w:val="32"/>
        </w:rPr>
        <w:t>。</w:t>
      </w:r>
    </w:p>
    <w:p>
      <w:pPr>
        <w:spacing w:line="600" w:lineRule="atLeast"/>
        <w:ind w:firstLine="640"/>
        <w:jc w:val="both"/>
      </w:pPr>
      <w:r>
        <w:rPr>
          <w:rStyle w:val="7"/>
          <w:rFonts w:hint="eastAsia" w:ascii="楷体" w:hAnsi="楷体" w:eastAsia="楷体" w:cs="Arial"/>
          <w:sz w:val="32"/>
          <w:szCs w:val="32"/>
        </w:rPr>
        <w:t>（二）机构设置</w:t>
      </w:r>
    </w:p>
    <w:p>
      <w:pPr>
        <w:ind w:firstLine="640" w:firstLineChars="200"/>
        <w:rPr>
          <w:rFonts w:ascii="仿宋" w:hAnsi="仿宋" w:eastAsia="仿宋" w:cs="Arial"/>
          <w:sz w:val="32"/>
          <w:szCs w:val="32"/>
        </w:rPr>
      </w:pPr>
      <w:r>
        <w:rPr>
          <w:rFonts w:hint="eastAsia" w:ascii="仿宋" w:hAnsi="仿宋" w:eastAsia="仿宋" w:cs="Arial"/>
          <w:sz w:val="32"/>
          <w:szCs w:val="32"/>
        </w:rPr>
        <w:t>从预算单位构成看，台州市温岭市轨道交通建设办公室部门决算包括：局本级决算。 人员编制有3人,现实际在职人数有3人。</w:t>
      </w:r>
    </w:p>
    <w:p>
      <w:pPr>
        <w:spacing w:line="600" w:lineRule="atLeast"/>
        <w:ind w:firstLine="640"/>
        <w:jc w:val="both"/>
      </w:pPr>
      <w:r>
        <w:rPr>
          <w:rFonts w:hint="eastAsia" w:ascii="仿宋" w:hAnsi="仿宋" w:eastAsia="仿宋" w:cs="Arial"/>
          <w:sz w:val="32"/>
          <w:szCs w:val="32"/>
        </w:rPr>
        <w:t>纳入台州市温岭市轨道交通建设办公室2019年度部门决算编制范围的二级预算单位包括：</w:t>
      </w:r>
    </w:p>
    <w:p>
      <w:pPr>
        <w:spacing w:line="600" w:lineRule="atLeast"/>
        <w:ind w:firstLine="640"/>
        <w:jc w:val="both"/>
      </w:pPr>
      <w:r>
        <w:rPr>
          <w:rFonts w:hint="eastAsia" w:ascii="仿宋" w:hAnsi="仿宋" w:eastAsia="仿宋" w:cs="Arial"/>
          <w:sz w:val="32"/>
          <w:szCs w:val="32"/>
        </w:rPr>
        <w:t>1. 没有</w:t>
      </w:r>
    </w:p>
    <w:p>
      <w:pPr>
        <w:spacing w:line="600" w:lineRule="atLeast"/>
        <w:ind w:firstLine="640"/>
        <w:jc w:val="both"/>
      </w:pPr>
      <w:r>
        <w:rPr>
          <w:rStyle w:val="7"/>
          <w:rFonts w:hint="eastAsia" w:ascii="黑体" w:hAnsi="黑体" w:eastAsia="黑体" w:cs="Arial"/>
          <w:sz w:val="32"/>
          <w:szCs w:val="32"/>
        </w:rPr>
        <w:t>二、台州市温岭市轨道交通建设办公室2019年度部门决算公开表</w:t>
      </w:r>
    </w:p>
    <w:p>
      <w:pPr>
        <w:spacing w:line="600" w:lineRule="atLeast"/>
        <w:ind w:firstLine="640"/>
        <w:jc w:val="both"/>
      </w:pPr>
      <w:r>
        <w:rPr>
          <w:rFonts w:hint="eastAsia" w:ascii="仿宋" w:hAnsi="仿宋" w:eastAsia="仿宋" w:cs="Arial"/>
          <w:sz w:val="32"/>
          <w:szCs w:val="32"/>
        </w:rPr>
        <w:t>详见附表。</w:t>
      </w:r>
    </w:p>
    <w:p>
      <w:pPr>
        <w:spacing w:line="600" w:lineRule="atLeast"/>
        <w:ind w:firstLine="640"/>
        <w:jc w:val="both"/>
      </w:pPr>
      <w:r>
        <w:rPr>
          <w:rStyle w:val="7"/>
          <w:rFonts w:hint="eastAsia" w:ascii="黑体" w:hAnsi="黑体" w:eastAsia="黑体" w:cs="Arial"/>
          <w:sz w:val="32"/>
          <w:szCs w:val="32"/>
        </w:rPr>
        <w:t>三、台州市温岭市轨道交通建设办公室2019年度部门决算情况说明</w:t>
      </w:r>
    </w:p>
    <w:p>
      <w:pPr>
        <w:spacing w:line="600" w:lineRule="atLeast"/>
        <w:ind w:firstLine="640"/>
        <w:jc w:val="both"/>
      </w:pPr>
      <w:r>
        <w:rPr>
          <w:rStyle w:val="7"/>
          <w:rFonts w:hint="eastAsia" w:ascii="楷体" w:hAnsi="楷体" w:eastAsia="楷体" w:cs="Arial"/>
          <w:sz w:val="32"/>
          <w:szCs w:val="32"/>
        </w:rPr>
        <w:t>（一）收入支出决算总体情况说明</w:t>
      </w:r>
    </w:p>
    <w:p>
      <w:pPr>
        <w:spacing w:line="600" w:lineRule="atLeast"/>
        <w:ind w:firstLine="640"/>
        <w:jc w:val="both"/>
      </w:pPr>
      <w:r>
        <w:rPr>
          <w:rFonts w:hint="eastAsia" w:ascii="仿宋" w:hAnsi="仿宋" w:eastAsia="仿宋" w:cs="Arial"/>
          <w:sz w:val="32"/>
          <w:szCs w:val="32"/>
        </w:rPr>
        <w:t>2019年度收、支总计519.91万元，与2018年度相比，收、支总计增加407.86万元，增长364%。主要原因是：1、增加了国开基金借款利息204.4万元，2、单轨示范线前期可研结算款207.3万元。</w:t>
      </w:r>
    </w:p>
    <w:p>
      <w:pPr>
        <w:spacing w:line="600" w:lineRule="atLeast"/>
        <w:ind w:firstLine="640"/>
        <w:jc w:val="both"/>
      </w:pPr>
      <w:r>
        <w:rPr>
          <w:rStyle w:val="7"/>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518.65万元；包括财政拨款收入518.65万元（其中，一般公共预算314.25万元，政府性基金预算204.40万元），占收入合计100.00%；上级补助收入0万元，占收入合计0%；事业收入0万元，占收入合计0%；经营收入0万元，占收入合计0%。附属单位上缴收入0万元，占收入合计0%。其他收入0万元，占收入合计0%。</w:t>
      </w:r>
    </w:p>
    <w:p>
      <w:pPr>
        <w:spacing w:line="600" w:lineRule="atLeast"/>
        <w:ind w:firstLine="640"/>
        <w:jc w:val="both"/>
      </w:pPr>
      <w:r>
        <w:rPr>
          <w:rStyle w:val="7"/>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本年支出合计518.65万元，其中基本支出79.65万元，占15.36%；项目支出439.00万元，占84.64%；上缴上级支出0万元，占0%；经营支出0万元，占0%；对附属单位补助支出0万元，占0%。</w:t>
      </w:r>
    </w:p>
    <w:p>
      <w:pPr>
        <w:spacing w:line="600" w:lineRule="atLeast"/>
        <w:ind w:firstLine="640"/>
        <w:jc w:val="both"/>
      </w:pPr>
      <w:r>
        <w:rPr>
          <w:rStyle w:val="7"/>
          <w:rFonts w:hint="eastAsia" w:ascii="楷体" w:hAnsi="楷体" w:eastAsia="楷体" w:cs="Arial"/>
          <w:sz w:val="32"/>
          <w:szCs w:val="32"/>
        </w:rPr>
        <w:t>（四）财政拨款收入支出决算总体情况说明</w:t>
      </w:r>
    </w:p>
    <w:p>
      <w:pPr>
        <w:spacing w:line="600" w:lineRule="atLeast"/>
        <w:ind w:firstLine="640"/>
        <w:jc w:val="both"/>
      </w:pPr>
      <w:r>
        <w:rPr>
          <w:rFonts w:hint="eastAsia" w:ascii="仿宋" w:hAnsi="仿宋" w:eastAsia="仿宋" w:cs="Arial"/>
          <w:sz w:val="32"/>
          <w:szCs w:val="32"/>
        </w:rPr>
        <w:t>2019年度财政拨款收、支总计518.65万元，与2018年度相比，收、支总计增加407.86万元，增长364%。主要原因是：1、增加了国开基金借款利息204.4万元，2、单轨示范线前期可研结算款207.3万元。</w:t>
      </w:r>
    </w:p>
    <w:p>
      <w:pPr>
        <w:spacing w:line="600" w:lineRule="atLeast"/>
        <w:ind w:firstLine="640"/>
        <w:jc w:val="both"/>
      </w:pPr>
      <w:r>
        <w:rPr>
          <w:rStyle w:val="7"/>
          <w:rFonts w:hint="eastAsia" w:ascii="楷体" w:hAnsi="楷体" w:eastAsia="楷体" w:cs="Arial"/>
          <w:sz w:val="32"/>
          <w:szCs w:val="32"/>
        </w:rPr>
        <w:t>（五）一般公共预算财政拨款支出决算情况说明</w:t>
      </w:r>
    </w:p>
    <w:p>
      <w:pPr>
        <w:spacing w:line="600" w:lineRule="atLeast"/>
        <w:ind w:firstLine="640"/>
        <w:jc w:val="both"/>
      </w:pPr>
      <w:r>
        <w:rPr>
          <w:rStyle w:val="7"/>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2019年度一般公共预算财政拨款支出314.25万元，占本年支出合计的60.59%。与2018年相比，一般公共预算财政拨款支出增加203.43万元，增长183.56%。主要原因是：增加了单轨示范线前期可研结算款207.3万元。</w:t>
      </w:r>
    </w:p>
    <w:p>
      <w:pPr>
        <w:spacing w:line="600" w:lineRule="atLeast"/>
        <w:ind w:firstLine="640"/>
        <w:jc w:val="both"/>
      </w:pPr>
      <w:r>
        <w:rPr>
          <w:rStyle w:val="7"/>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2019年度一般公共预算财政拨款支出314.25万元，主要用于以下方面：一般公共服务（类）支出207.30万元，占65.97%；国防（类）支出0万元,占0%；公共安全（类）支出0万元,占0%；教育（类）支出0万元,占0%；科学技术（类）支出0万元,占0%；文化旅游体育与传媒（类）支出0万元,占0%；社会保障和就业（类）支出7.77万元,占2.47%；卫生健康（类）支出0万元,占0%；节能环保（类）支出0万元,占0%；城乡社区（类）支出99.18万元,占31.56%；农林水（类）支出0万元,占0%；交通运输（类）支出0万元,占0%；资源勘探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line="600" w:lineRule="atLeast"/>
        <w:ind w:firstLine="640"/>
        <w:jc w:val="both"/>
      </w:pPr>
      <w:r>
        <w:rPr>
          <w:rStyle w:val="7"/>
          <w:rFonts w:hint="eastAsia" w:ascii="仿宋" w:hAnsi="仿宋" w:eastAsia="仿宋" w:cs="Arial"/>
          <w:sz w:val="32"/>
          <w:szCs w:val="32"/>
        </w:rPr>
        <w:t>3.一般公共预算财政拨款支出决算具体情况。</w:t>
      </w:r>
    </w:p>
    <w:p>
      <w:pPr>
        <w:spacing w:line="600" w:lineRule="atLeast"/>
        <w:ind w:firstLine="640"/>
        <w:jc w:val="both"/>
      </w:pPr>
      <w:r>
        <w:rPr>
          <w:rFonts w:hint="eastAsia" w:ascii="仿宋" w:hAnsi="仿宋" w:eastAsia="仿宋" w:cs="Arial"/>
          <w:sz w:val="32"/>
          <w:szCs w:val="32"/>
        </w:rPr>
        <w:t>2019年度一般公共预算财政拨款支出年初预算为91.5万元，支出决算为314.25万元,完成年初预算的343.44%，主要原因是增加了单轨示范线前期可研结算款207.3万元。及人员工资调资等增加。</w:t>
      </w:r>
    </w:p>
    <w:p>
      <w:pPr>
        <w:spacing w:line="600" w:lineRule="atLeast"/>
        <w:ind w:firstLine="640"/>
        <w:jc w:val="both"/>
      </w:pPr>
      <w:r>
        <w:rPr>
          <w:rFonts w:hint="eastAsia" w:ascii="仿宋" w:hAnsi="仿宋" w:eastAsia="仿宋" w:cs="Arial"/>
          <w:sz w:val="32"/>
          <w:szCs w:val="32"/>
        </w:rPr>
        <w:t>一般公共服务支出（类）其他一般公共服务支出（款）其他一般公共服务支出（项）。年初预算为0万元，支出决算为207.3万元，完成年初预算的207.3%，决算数大于预算数的主要原因增加了单轨示范线前期可研结算款207.3万元。</w:t>
      </w:r>
    </w:p>
    <w:p>
      <w:pPr>
        <w:spacing w:line="600" w:lineRule="atLeast"/>
        <w:ind w:firstLine="640"/>
        <w:jc w:val="both"/>
      </w:pPr>
      <w:r>
        <w:rPr>
          <w:rFonts w:hint="eastAsia" w:ascii="仿宋" w:hAnsi="仿宋" w:eastAsia="仿宋" w:cs="Arial"/>
          <w:sz w:val="32"/>
          <w:szCs w:val="32"/>
        </w:rPr>
        <w:t>社会保障和就业支出（类）行政事业单位离退休（款）机关事业单位基本养老保险缴费支出（项）及机关事业单位职业年金缴费支出（项）。年初预算为8.55万元，支出决算为7.77万元，完成年初预算的90.8%，决算数小于预算数的主要原因社保基金由公务卡当月扣款下月还,年末还款发生跨年。</w:t>
      </w:r>
    </w:p>
    <w:p>
      <w:pPr>
        <w:spacing w:line="600" w:lineRule="atLeast"/>
        <w:ind w:firstLine="640"/>
        <w:jc w:val="both"/>
      </w:pPr>
      <w:r>
        <w:rPr>
          <w:rFonts w:hint="eastAsia" w:ascii="仿宋" w:hAnsi="仿宋" w:eastAsia="仿宋" w:cs="Arial"/>
          <w:sz w:val="32"/>
          <w:szCs w:val="32"/>
        </w:rPr>
        <w:t>城乡社区支出（类）城乡社区管理事务（款）其他城乡社区管理事务支出（项）。年初预算为83.72万元，支出决算为99.18万元，完成年初预算的1.18%，决算数大于预算数的主要原因:本年除了市域铁路S1线和杭绍台铁路(温岭段)项目正常推进另外绍台铁路(温玉线)项目也相续起动,顺着项目的开展而增加的工作经费支出。</w:t>
      </w:r>
    </w:p>
    <w:p>
      <w:pPr>
        <w:spacing w:line="600" w:lineRule="atLeast"/>
        <w:ind w:firstLine="640"/>
        <w:jc w:val="both"/>
      </w:pPr>
      <w:r>
        <w:rPr>
          <w:rFonts w:hint="eastAsia" w:ascii="仿宋" w:hAnsi="仿宋" w:eastAsia="仿宋" w:cs="Arial"/>
          <w:sz w:val="32"/>
          <w:szCs w:val="32"/>
        </w:rPr>
        <w:t>城乡社区支出（类）国有土地使用权出让收入及对应专项债务收入安排的支出（款）其他国有土地使用权出让收入安排的支出（项）。年初预算为204.4万元，支出决算为204.4万元，完成年初预算的100%，决算数等于年初预算数的主要原因是严格安排预算计划安排支出。</w:t>
      </w:r>
    </w:p>
    <w:p>
      <w:pPr>
        <w:spacing w:line="600" w:lineRule="atLeast"/>
        <w:ind w:firstLine="640"/>
        <w:jc w:val="both"/>
      </w:pPr>
    </w:p>
    <w:p>
      <w:pPr>
        <w:spacing w:line="600" w:lineRule="atLeast"/>
        <w:ind w:firstLine="640"/>
        <w:jc w:val="both"/>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2019年度一般公共预算财政拨款基本支出79.65万元，其中：</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人员经费74.19万元，主要包括：基本工资12.83万元、奖金19.31万元、绩效工资19.61万元、养老医疗等社保费10.91万元、住房公积金6.49万元、其他工资福利5.04万元。</w:t>
      </w:r>
    </w:p>
    <w:p>
      <w:pPr>
        <w:spacing w:line="600" w:lineRule="atLeast"/>
        <w:ind w:firstLine="640"/>
        <w:jc w:val="both"/>
      </w:pPr>
      <w:r>
        <w:rPr>
          <w:rFonts w:hint="eastAsia" w:ascii="仿宋" w:hAnsi="仿宋" w:eastAsia="仿宋" w:cs="Arial"/>
          <w:sz w:val="32"/>
          <w:szCs w:val="32"/>
        </w:rPr>
        <w:t>公用经费5.47万元，主要包括：办公费0.77万元、印刷费0.061万元、水电费0.33万元、邮电费0.058万元、物业管理费1.12万元、差旅费0.15万元、劳务费0.93万元、工会经费0.48万元、福利费1.29万元、委托业务费0.28万元。</w:t>
      </w:r>
    </w:p>
    <w:p>
      <w:pPr>
        <w:spacing w:line="600" w:lineRule="atLeast"/>
        <w:ind w:firstLine="640"/>
        <w:jc w:val="both"/>
      </w:pPr>
      <w:r>
        <w:rPr>
          <w:rStyle w:val="7"/>
          <w:rFonts w:hint="eastAsia" w:ascii="楷体" w:hAnsi="楷体" w:eastAsia="楷体" w:cs="Arial"/>
          <w:sz w:val="32"/>
          <w:szCs w:val="32"/>
        </w:rPr>
        <w:t>（七）政府性基金预算财政拨款支出决算总体情况</w:t>
      </w:r>
    </w:p>
    <w:p>
      <w:pPr>
        <w:spacing w:line="600" w:lineRule="atLeast"/>
        <w:ind w:firstLine="640"/>
        <w:jc w:val="both"/>
      </w:pPr>
      <w:r>
        <w:rPr>
          <w:rStyle w:val="7"/>
          <w:rFonts w:hint="eastAsia" w:ascii="仿宋" w:hAnsi="仿宋" w:eastAsia="仿宋" w:cs="Arial"/>
          <w:sz w:val="32"/>
          <w:szCs w:val="32"/>
        </w:rPr>
        <w:t>1.政府性基金预算财政拨款支出决算总体情况。</w:t>
      </w:r>
    </w:p>
    <w:p>
      <w:pPr>
        <w:spacing w:line="600" w:lineRule="atLeast"/>
        <w:ind w:firstLine="640"/>
        <w:jc w:val="both"/>
      </w:pPr>
      <w:r>
        <w:rPr>
          <w:rFonts w:hint="eastAsia" w:ascii="仿宋" w:hAnsi="仿宋" w:eastAsia="仿宋" w:cs="Arial"/>
          <w:sz w:val="32"/>
          <w:szCs w:val="32"/>
        </w:rPr>
        <w:t>2019年度政府性基金预算财政拨款支出204.40万元，占本年支出合计的39.41%。与2018年相比，政府性基金预算财政拨款支出增加204.4万元，增长204%。主要原因是：增加了国开基金借款利息204.4万元。</w:t>
      </w:r>
    </w:p>
    <w:p>
      <w:pPr>
        <w:spacing w:line="600" w:lineRule="atLeast"/>
        <w:ind w:firstLine="640"/>
        <w:jc w:val="both"/>
      </w:pPr>
      <w:r>
        <w:rPr>
          <w:rStyle w:val="7"/>
          <w:rFonts w:hint="eastAsia" w:ascii="仿宋" w:hAnsi="仿宋" w:eastAsia="仿宋" w:cs="Arial"/>
          <w:sz w:val="32"/>
          <w:szCs w:val="32"/>
        </w:rPr>
        <w:t>2.政府性基金预算财政拨款支出决算结构情况。</w:t>
      </w:r>
    </w:p>
    <w:p>
      <w:pPr>
        <w:spacing w:line="600" w:lineRule="atLeast"/>
        <w:ind w:firstLine="640"/>
        <w:jc w:val="both"/>
      </w:pPr>
      <w:r>
        <w:rPr>
          <w:rFonts w:hint="eastAsia" w:ascii="仿宋" w:hAnsi="仿宋" w:eastAsia="仿宋" w:cs="Arial"/>
          <w:sz w:val="32"/>
          <w:szCs w:val="32"/>
        </w:rPr>
        <w:t>2019年度政府性基金预算财政拨款支出204.40万元，主要用于以下方面：科学技术（类）支出0万元,占0%；文化旅游体育与传媒（类）支出0万元,占0%；社会保障和就业（类）支出0万元,占0%；节能环保（类）支出0万元,占0%；城乡社区（类）支出204.40万元,占100.00%；农林水（类）支出0万元,占0%；交通运输（类）支出0万元,占0%；资源勘探信息等（类）支出0万元,占0%；金融（类）支出0万元,占0%；其他（类）支出0万元,占0%；债务付息（类）支出0万元,占0%。</w:t>
      </w:r>
    </w:p>
    <w:p>
      <w:pPr>
        <w:spacing w:line="600" w:lineRule="atLeast"/>
        <w:ind w:firstLine="640"/>
        <w:jc w:val="both"/>
      </w:pPr>
      <w:r>
        <w:rPr>
          <w:rStyle w:val="7"/>
          <w:rFonts w:hint="eastAsia" w:ascii="仿宋" w:hAnsi="仿宋" w:eastAsia="仿宋" w:cs="Arial"/>
          <w:sz w:val="32"/>
          <w:szCs w:val="32"/>
        </w:rPr>
        <w:t>3.政府性基金预算财政拨款支出决算具体情况。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2019年度政府性基金预算财政拨款支出年初预算为204.4万元，支出决算为204.40万元,完成年初预算的100%，决算数等于预算数的主要原因是严格按照预算计划安排支出。</w:t>
      </w:r>
    </w:p>
    <w:p>
      <w:pPr>
        <w:spacing w:line="600" w:lineRule="atLeast"/>
        <w:ind w:firstLine="640"/>
        <w:jc w:val="both"/>
      </w:pPr>
      <w:r>
        <w:rPr>
          <w:rFonts w:hint="eastAsia" w:ascii="仿宋" w:hAnsi="仿宋" w:eastAsia="仿宋" w:cs="Arial"/>
          <w:sz w:val="32"/>
          <w:szCs w:val="32"/>
        </w:rPr>
        <w:t>城乡社区支出（类）国有土地使用权出让收入及对应专项债务收入安排的支出（款）其他国有土地使用权出让收入安排的支出（项）。年初预算为204.4万元，支出决算为204.4万元，完成年初预算的100%，决算数等于预算数的主要原因是严格按照预算计划安排支出。</w:t>
      </w:r>
    </w:p>
    <w:p>
      <w:pPr>
        <w:spacing w:line="600" w:lineRule="atLeast"/>
        <w:ind w:firstLine="640"/>
        <w:jc w:val="both"/>
      </w:pPr>
      <w:r>
        <w:rPr>
          <w:rStyle w:val="7"/>
          <w:rFonts w:hint="eastAsia" w:ascii="楷体" w:hAnsi="楷体" w:eastAsia="楷体" w:cs="Arial"/>
          <w:sz w:val="32"/>
          <w:szCs w:val="32"/>
        </w:rPr>
        <w:t>（八）2019年度一般公共预算财政拨款“三公”经费支出决算情况说明</w:t>
      </w:r>
    </w:p>
    <w:p>
      <w:pPr>
        <w:spacing w:line="600" w:lineRule="atLeast"/>
        <w:ind w:firstLine="640"/>
        <w:jc w:val="both"/>
      </w:pPr>
      <w:r>
        <w:rPr>
          <w:rStyle w:val="7"/>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rPr>
          <w:rFonts w:eastAsia="仿宋"/>
        </w:rPr>
      </w:pPr>
      <w:r>
        <w:rPr>
          <w:rFonts w:hint="eastAsia" w:ascii="仿宋" w:hAnsi="仿宋" w:eastAsia="仿宋" w:cs="Arial"/>
          <w:sz w:val="32"/>
          <w:szCs w:val="32"/>
        </w:rPr>
        <w:t>2019年度“三公”经费一般公共预算财政拨款支出预算为0万元，支出决算为0万元，完成预算的0%,2019年度“三公”经费支出决算数等于预算数的主要原因是无出国境安排、无公务用车、无公务接待。</w:t>
      </w:r>
    </w:p>
    <w:p>
      <w:pPr>
        <w:spacing w:line="600" w:lineRule="atLeast"/>
        <w:ind w:firstLine="640"/>
        <w:jc w:val="both"/>
      </w:pPr>
      <w:r>
        <w:rPr>
          <w:rStyle w:val="7"/>
          <w:rFonts w:hint="eastAsia" w:ascii="仿宋" w:hAnsi="仿宋" w:eastAsia="仿宋" w:cs="Arial"/>
          <w:sz w:val="32"/>
          <w:szCs w:val="32"/>
        </w:rPr>
        <w:t>2.“三公”经费一般公共预算财政拨款支出决算具体情况说明。</w:t>
      </w:r>
    </w:p>
    <w:p>
      <w:pPr>
        <w:spacing w:line="600" w:lineRule="atLeast"/>
        <w:ind w:firstLine="640"/>
        <w:jc w:val="both"/>
      </w:pPr>
      <w:r>
        <w:rPr>
          <w:rFonts w:hint="eastAsia" w:ascii="仿宋" w:hAnsi="仿宋" w:eastAsia="仿宋" w:cs="Arial"/>
          <w:sz w:val="32"/>
          <w:szCs w:val="32"/>
        </w:rPr>
        <w:t>2019年度“三公”经费一般公共预算财政拨款支出决算中，因公出国（境）费用支出决算为0万元，占0%，与2018年度相比，增加0万元，增长0%，主要原因是均无出国境计划安排；公务用车购置及运行维护费支出决算为0万元，占0%，与2018年度相比，增加0万元，增长0%，主要原因是无公务用车；公务接待费支出决算为0万元，占0%，与2018年度相比，增加0万元，增长0%，主要原因是无公务接待。具体情况如下：</w:t>
      </w:r>
    </w:p>
    <w:p>
      <w:pPr>
        <w:spacing w:line="600" w:lineRule="atLeast"/>
        <w:ind w:firstLine="640"/>
        <w:jc w:val="both"/>
      </w:pPr>
      <w:r>
        <w:rPr>
          <w:rStyle w:val="7"/>
          <w:rFonts w:hint="eastAsia" w:ascii="仿宋" w:hAnsi="仿宋" w:eastAsia="仿宋" w:cs="Arial"/>
          <w:sz w:val="32"/>
          <w:szCs w:val="32"/>
        </w:rPr>
        <w:t>（1）因公出国（境）费</w:t>
      </w:r>
      <w:r>
        <w:rPr>
          <w:rFonts w:hint="eastAsia" w:ascii="仿宋" w:hAnsi="仿宋" w:eastAsia="仿宋" w:cs="Arial"/>
          <w:sz w:val="32"/>
          <w:szCs w:val="32"/>
        </w:rPr>
        <w:t>预算数为0万元，支出决算为0万元。完成预算的0%。主要用于机关及下属预算单位人员等公务出国（境）的住宿费、国际旅费、培训费、公杂费等支出。决算数等于预算数的主要原因是无出国境安排。</w:t>
      </w:r>
    </w:p>
    <w:p>
      <w:pPr>
        <w:spacing w:line="600" w:lineRule="atLeast"/>
        <w:ind w:firstLine="640"/>
        <w:jc w:val="both"/>
      </w:pPr>
      <w:r>
        <w:rPr>
          <w:rFonts w:hint="eastAsia" w:ascii="仿宋" w:hAnsi="仿宋" w:eastAsia="仿宋" w:cs="Arial"/>
          <w:sz w:val="32"/>
          <w:szCs w:val="32"/>
        </w:rPr>
        <w:t>其中，全年使用一般公共预算财政拨款本单位组织因公出国(境)团组0个；本单位全年因公出国(境)累计0人次。</w:t>
      </w:r>
    </w:p>
    <w:p>
      <w:pPr>
        <w:spacing w:line="600" w:lineRule="atLeast"/>
        <w:ind w:firstLine="640"/>
        <w:jc w:val="both"/>
      </w:pPr>
      <w:r>
        <w:rPr>
          <w:rStyle w:val="7"/>
          <w:rFonts w:hint="eastAsia" w:ascii="仿宋" w:hAnsi="仿宋" w:eastAsia="仿宋" w:cs="Arial"/>
          <w:sz w:val="32"/>
          <w:szCs w:val="32"/>
        </w:rPr>
        <w:t>（2）公务用车购置及运行维护费</w:t>
      </w:r>
      <w:r>
        <w:rPr>
          <w:rFonts w:hint="eastAsia" w:ascii="仿宋" w:hAnsi="仿宋" w:eastAsia="仿宋" w:cs="Arial"/>
          <w:sz w:val="32"/>
          <w:szCs w:val="32"/>
        </w:rPr>
        <w:t>预算数为0万元，支出决算为0万元，完成预算的0%。决算数等于预算数的主要原因是无公务用车。</w:t>
      </w:r>
    </w:p>
    <w:p>
      <w:pPr>
        <w:spacing w:line="600" w:lineRule="atLeast"/>
        <w:ind w:firstLine="640"/>
        <w:jc w:val="both"/>
      </w:pPr>
      <w:r>
        <w:rPr>
          <w:rStyle w:val="7"/>
          <w:rFonts w:hint="eastAsia" w:ascii="仿宋" w:hAnsi="仿宋" w:eastAsia="仿宋" w:cs="Arial"/>
          <w:sz w:val="32"/>
          <w:szCs w:val="32"/>
        </w:rPr>
        <w:t>公务用车购置</w:t>
      </w:r>
      <w:r>
        <w:rPr>
          <w:rFonts w:hint="eastAsia" w:ascii="仿宋" w:hAnsi="仿宋" w:eastAsia="仿宋" w:cs="Arial"/>
          <w:sz w:val="32"/>
          <w:szCs w:val="32"/>
        </w:rPr>
        <w:t>支出0万元（含购置税等附加费用），主要用于经批准购置的0辆公务用车；</w:t>
      </w:r>
    </w:p>
    <w:p>
      <w:pPr>
        <w:spacing w:line="600" w:lineRule="atLeast"/>
        <w:ind w:firstLine="640"/>
        <w:jc w:val="both"/>
      </w:pPr>
      <w:r>
        <w:rPr>
          <w:rStyle w:val="7"/>
          <w:rFonts w:hint="eastAsia" w:ascii="仿宋" w:hAnsi="仿宋" w:eastAsia="仿宋" w:cs="Arial"/>
          <w:sz w:val="32"/>
          <w:szCs w:val="32"/>
        </w:rPr>
        <w:t>公务用车运行维护费</w:t>
      </w:r>
      <w:r>
        <w:rPr>
          <w:rFonts w:hint="eastAsia" w:ascii="仿宋" w:hAnsi="仿宋" w:eastAsia="仿宋" w:cs="Arial"/>
          <w:sz w:val="32"/>
          <w:szCs w:val="32"/>
        </w:rPr>
        <w:t>支出0万元，主要用于所需的公务用车燃料费、维修费、过路过桥费、保险费、安全奖励费用等支出；2019年度，本级及所属单位开支一般公共预算财政拨款的公务用车保有量为0辆。</w:t>
      </w:r>
    </w:p>
    <w:p>
      <w:pPr>
        <w:spacing w:line="600" w:lineRule="atLeast"/>
        <w:ind w:firstLine="640"/>
        <w:jc w:val="both"/>
      </w:pPr>
      <w:r>
        <w:rPr>
          <w:rStyle w:val="7"/>
          <w:rFonts w:hint="eastAsia" w:ascii="仿宋" w:hAnsi="仿宋" w:eastAsia="仿宋" w:cs="Arial"/>
          <w:sz w:val="32"/>
          <w:szCs w:val="32"/>
        </w:rPr>
        <w:t>（3）公务接待费</w:t>
      </w:r>
      <w:r>
        <w:rPr>
          <w:rFonts w:hint="eastAsia" w:ascii="仿宋" w:hAnsi="仿宋" w:eastAsia="仿宋" w:cs="Arial"/>
          <w:sz w:val="32"/>
          <w:szCs w:val="32"/>
        </w:rPr>
        <w:t>预算数为0万元，支出决算为0万元，完成预算的0%。主要用于接待等支出。决算数等于预算数的主要原因是无公务接待。全年使用一般公共预算财政拨款国内公务接待0批次，累计0人次。</w:t>
      </w:r>
    </w:p>
    <w:p>
      <w:pPr>
        <w:spacing w:line="600" w:lineRule="atLeast"/>
        <w:ind w:firstLine="640"/>
        <w:jc w:val="both"/>
      </w:pPr>
      <w:r>
        <w:rPr>
          <w:rStyle w:val="7"/>
          <w:rFonts w:hint="eastAsia" w:ascii="仿宋" w:hAnsi="仿宋" w:eastAsia="仿宋" w:cs="Arial"/>
          <w:sz w:val="32"/>
          <w:szCs w:val="32"/>
        </w:rPr>
        <w:t>外宾接待</w:t>
      </w:r>
      <w:r>
        <w:rPr>
          <w:rFonts w:hint="eastAsia" w:ascii="仿宋" w:hAnsi="仿宋" w:eastAsia="仿宋" w:cs="Arial"/>
          <w:sz w:val="32"/>
          <w:szCs w:val="32"/>
        </w:rPr>
        <w:t>支出0万元，主要用于外事接待；接待0人次，0批次。</w:t>
      </w:r>
    </w:p>
    <w:p>
      <w:pPr>
        <w:spacing w:line="600" w:lineRule="atLeast"/>
        <w:ind w:firstLine="640"/>
        <w:jc w:val="both"/>
      </w:pPr>
      <w:r>
        <w:rPr>
          <w:rStyle w:val="7"/>
          <w:rFonts w:hint="eastAsia" w:ascii="仿宋" w:hAnsi="仿宋" w:eastAsia="仿宋" w:cs="Arial"/>
          <w:sz w:val="32"/>
          <w:szCs w:val="32"/>
        </w:rPr>
        <w:t>其他国内公务接待</w:t>
      </w:r>
      <w:r>
        <w:rPr>
          <w:rFonts w:hint="eastAsia" w:ascii="仿宋" w:hAnsi="仿宋" w:eastAsia="仿宋" w:cs="Arial"/>
          <w:sz w:val="32"/>
          <w:szCs w:val="32"/>
        </w:rPr>
        <w:t>支出0万元，主要用于公务接待。接待0人次，0批次。</w:t>
      </w:r>
    </w:p>
    <w:p>
      <w:pPr>
        <w:spacing w:line="600" w:lineRule="atLeast"/>
        <w:ind w:firstLine="640"/>
        <w:jc w:val="both"/>
      </w:pPr>
      <w:r>
        <w:rPr>
          <w:rStyle w:val="7"/>
          <w:rFonts w:hint="eastAsia" w:ascii="楷体" w:hAnsi="楷体" w:eastAsia="楷体" w:cs="Arial"/>
          <w:sz w:val="32"/>
          <w:szCs w:val="32"/>
        </w:rPr>
        <w:t>（九）部门预算绩效情况说明</w:t>
      </w:r>
    </w:p>
    <w:p>
      <w:pPr>
        <w:spacing w:line="600" w:lineRule="atLeast"/>
        <w:ind w:firstLine="640"/>
        <w:jc w:val="both"/>
      </w:pPr>
      <w:r>
        <w:rPr>
          <w:rStyle w:val="7"/>
          <w:rFonts w:hint="eastAsia" w:ascii="仿宋" w:hAnsi="仿宋" w:eastAsia="仿宋" w:cs="Arial"/>
          <w:sz w:val="32"/>
          <w:szCs w:val="32"/>
        </w:rPr>
        <w:t>1.预算绩效管理工作开展情况。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根据预算绩效管理要求，</w:t>
      </w:r>
      <w:r>
        <w:rPr>
          <w:rFonts w:ascii="仿宋" w:hAnsi="仿宋" w:eastAsia="仿宋" w:cs="Arial"/>
          <w:sz w:val="32"/>
          <w:szCs w:val="32"/>
        </w:rPr>
        <w:t>温岭市轨道交通建设办公室</w:t>
      </w:r>
      <w:bookmarkStart w:id="0" w:name="_GoBack"/>
      <w:bookmarkEnd w:id="0"/>
      <w:r>
        <w:rPr>
          <w:rFonts w:hint="eastAsia" w:ascii="仿宋" w:hAnsi="仿宋" w:eastAsia="仿宋" w:cs="Arial"/>
          <w:sz w:val="32"/>
          <w:szCs w:val="32"/>
        </w:rPr>
        <w:t>组织对2019年度一般公共预算项目支出全面开展绩效自评，其中，一级项目2个，共涉及资金234.6万元，占一般公共预算项目支出总额的74.65%。组织对2019年度1个政府性基金预算项目支出开展绩效自评，共涉及资金204.4万元，占政府性基金预算项目支出总额的100%。</w:t>
      </w:r>
    </w:p>
    <w:p>
      <w:pPr>
        <w:spacing w:line="600" w:lineRule="atLeast"/>
        <w:ind w:firstLine="640"/>
        <w:jc w:val="both"/>
      </w:pPr>
      <w:r>
        <w:rPr>
          <w:rFonts w:hint="eastAsia" w:ascii="仿宋" w:hAnsi="仿宋" w:eastAsia="仿宋" w:cs="仿宋"/>
          <w:sz w:val="32"/>
          <w:szCs w:val="32"/>
        </w:rPr>
        <w:t>组织对</w:t>
      </w:r>
      <w:r>
        <w:rPr>
          <w:rFonts w:hint="eastAsia" w:ascii="仿宋" w:hAnsi="仿宋" w:eastAsia="仿宋" w:cs="Arial"/>
          <w:sz w:val="32"/>
          <w:szCs w:val="32"/>
        </w:rPr>
        <w:t>“轨道交通工作经费项目”“国开基金借款利息项目”等3</w:t>
      </w:r>
      <w:r>
        <w:rPr>
          <w:rFonts w:hint="eastAsia" w:ascii="仿宋" w:hAnsi="仿宋" w:eastAsia="仿宋" w:cs="仿宋"/>
          <w:sz w:val="32"/>
          <w:szCs w:val="32"/>
        </w:rPr>
        <w:t>个项目开展了部门评价，涉及一般公共预算支出</w:t>
      </w:r>
      <w:r>
        <w:rPr>
          <w:rFonts w:hint="eastAsia" w:ascii="仿宋" w:hAnsi="仿宋" w:eastAsia="仿宋" w:cs="Arial"/>
          <w:sz w:val="32"/>
          <w:szCs w:val="32"/>
        </w:rPr>
        <w:t>234.6</w:t>
      </w:r>
      <w:r>
        <w:rPr>
          <w:rFonts w:hint="eastAsia" w:ascii="仿宋" w:hAnsi="仿宋" w:eastAsia="仿宋" w:cs="仿宋"/>
          <w:sz w:val="32"/>
          <w:szCs w:val="32"/>
        </w:rPr>
        <w:t>万元，政府性基金预算支出</w:t>
      </w:r>
      <w:r>
        <w:rPr>
          <w:rFonts w:hint="eastAsia" w:ascii="仿宋" w:hAnsi="仿宋" w:eastAsia="仿宋" w:cs="Arial"/>
          <w:sz w:val="32"/>
          <w:szCs w:val="32"/>
        </w:rPr>
        <w:t>204.4</w:t>
      </w:r>
      <w:r>
        <w:rPr>
          <w:rFonts w:hint="eastAsia" w:ascii="仿宋" w:hAnsi="仿宋" w:eastAsia="仿宋" w:cs="仿宋"/>
          <w:sz w:val="32"/>
          <w:szCs w:val="32"/>
        </w:rPr>
        <w:t>万元。没有第三方机构（或局内评审机构）开展绩效评价。从评价情况来看，整体良好。</w:t>
      </w:r>
    </w:p>
    <w:p>
      <w:pPr>
        <w:spacing w:line="600" w:lineRule="atLeast"/>
        <w:ind w:firstLine="640"/>
        <w:jc w:val="both"/>
        <w:rPr>
          <w:rFonts w:ascii="仿宋" w:hAnsi="仿宋" w:eastAsia="仿宋" w:cs="Arial"/>
          <w:sz w:val="32"/>
          <w:szCs w:val="32"/>
        </w:rPr>
      </w:pPr>
      <w:r>
        <w:rPr>
          <w:rFonts w:hint="eastAsia" w:ascii="仿宋" w:hAnsi="仿宋" w:eastAsia="仿宋" w:cs="仿宋"/>
          <w:sz w:val="32"/>
          <w:szCs w:val="32"/>
        </w:rPr>
        <w:t>没有开展整体支出绩效评价试点。</w:t>
      </w:r>
    </w:p>
    <w:p>
      <w:pPr>
        <w:spacing w:line="600" w:lineRule="atLeast"/>
        <w:ind w:firstLine="640"/>
        <w:jc w:val="both"/>
        <w:rPr>
          <w:rStyle w:val="7"/>
          <w:rFonts w:ascii="仿宋" w:hAnsi="仿宋" w:eastAsia="仿宋" w:cs="Arial"/>
          <w:sz w:val="32"/>
          <w:szCs w:val="32"/>
        </w:rPr>
      </w:pPr>
      <w:r>
        <w:rPr>
          <w:rStyle w:val="7"/>
          <w:rFonts w:hint="eastAsia" w:ascii="仿宋" w:hAnsi="仿宋" w:eastAsia="仿宋" w:cs="Arial"/>
          <w:sz w:val="32"/>
          <w:szCs w:val="32"/>
        </w:rPr>
        <w:t>2.部门决算中项目绩效自评结果（至少公开2个项目绩效自评结果，附绩效自评表）</w:t>
      </w:r>
    </w:p>
    <w:p>
      <w:pPr>
        <w:spacing w:line="600" w:lineRule="atLeast"/>
        <w:ind w:firstLine="640"/>
        <w:jc w:val="both"/>
      </w:pPr>
      <w:r>
        <w:rPr>
          <w:rFonts w:hint="eastAsia" w:ascii="仿宋" w:hAnsi="仿宋" w:eastAsia="仿宋" w:cs="Arial"/>
          <w:sz w:val="32"/>
          <w:szCs w:val="32"/>
        </w:rPr>
        <w:t>台州市温岭市轨道交通建设办公室在2019年度部门决算中反映轨道交通工作经费项目、单轨示范线前期可研结算款项目及国开基金借款利息项目绩效自评结果。</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轨道交通工作经费项目绩效自评综述：根据年初设定的绩效目标，项目自评得分100分，自评结论为“好”。项目全年预算数为27.3万元，执行数为27.29万元，完成预算的100%。主要产出和效果：一是确保本单位全体同志的日常办公环境，为各项工作的正常展开提供了有力的保障；二是及时对日常办公中出现的问题进行了处理，确保工作的正常运作。</w:t>
      </w:r>
    </w:p>
    <w:p>
      <w:pPr>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温岭市财政支出项目绩效自评报告</w:t>
      </w:r>
    </w:p>
    <w:p>
      <w:pPr>
        <w:snapToGrid w:val="0"/>
        <w:spacing w:line="560" w:lineRule="exact"/>
        <w:jc w:val="center"/>
        <w:rPr>
          <w:rFonts w:ascii="仿宋_GB2312" w:eastAsia="仿宋_GB2312"/>
          <w:sz w:val="32"/>
          <w:szCs w:val="32"/>
        </w:rPr>
      </w:pPr>
      <w:r>
        <w:rPr>
          <w:rFonts w:hint="eastAsia" w:ascii="仿宋_GB2312" w:eastAsia="仿宋_GB2312"/>
          <w:sz w:val="32"/>
          <w:szCs w:val="32"/>
        </w:rPr>
        <w:t>（简化版）</w:t>
      </w:r>
    </w:p>
    <w:p>
      <w:pPr>
        <w:snapToGrid w:val="0"/>
        <w:spacing w:line="240" w:lineRule="exact"/>
        <w:jc w:val="center"/>
        <w:rPr>
          <w:rFonts w:ascii="黑体" w:eastAsia="黑体"/>
          <w:color w:val="3D3D3D"/>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05"/>
        <w:gridCol w:w="123"/>
        <w:gridCol w:w="362"/>
        <w:gridCol w:w="824"/>
        <w:gridCol w:w="1193"/>
        <w:gridCol w:w="535"/>
        <w:gridCol w:w="1089"/>
        <w:gridCol w:w="991"/>
        <w:gridCol w:w="112"/>
        <w:gridCol w:w="365"/>
        <w:gridCol w:w="73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项目实施单位(盖章)</w:t>
            </w:r>
          </w:p>
        </w:tc>
        <w:tc>
          <w:tcPr>
            <w:tcW w:w="5968"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温岭市轨道交通建设办公室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项目名称</w:t>
            </w:r>
          </w:p>
        </w:tc>
        <w:tc>
          <w:tcPr>
            <w:tcW w:w="5968"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轨道交通工作经费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项目负责人</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项目起止时间</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2019.01～2019.12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项目实施的</w:t>
            </w:r>
          </w:p>
          <w:p>
            <w:pPr>
              <w:spacing w:line="240" w:lineRule="exact"/>
              <w:jc w:val="center"/>
              <w:rPr>
                <w:kern w:val="2"/>
                <w:sz w:val="21"/>
                <w:szCs w:val="21"/>
              </w:rPr>
            </w:pPr>
            <w:r>
              <w:rPr>
                <w:rFonts w:hint="eastAsia"/>
                <w:kern w:val="2"/>
                <w:sz w:val="21"/>
                <w:szCs w:val="21"/>
              </w:rPr>
              <w:t>主要内容</w:t>
            </w:r>
          </w:p>
        </w:tc>
        <w:tc>
          <w:tcPr>
            <w:tcW w:w="5968"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r>
              <w:rPr>
                <w:rFonts w:hint="eastAsia"/>
                <w:kern w:val="2"/>
                <w:sz w:val="21"/>
                <w:szCs w:val="21"/>
              </w:rPr>
              <w:t>1、办公费</w:t>
            </w:r>
          </w:p>
          <w:p>
            <w:pPr>
              <w:spacing w:line="240" w:lineRule="exact"/>
              <w:jc w:val="center"/>
              <w:rPr>
                <w:kern w:val="2"/>
                <w:sz w:val="21"/>
                <w:szCs w:val="21"/>
              </w:rPr>
            </w:pPr>
            <w:r>
              <w:rPr>
                <w:rFonts w:hint="eastAsia"/>
                <w:kern w:val="2"/>
                <w:sz w:val="21"/>
                <w:szCs w:val="21"/>
              </w:rPr>
              <w:t>2、水电费</w:t>
            </w:r>
          </w:p>
          <w:p>
            <w:pPr>
              <w:spacing w:line="240" w:lineRule="exact"/>
              <w:jc w:val="center"/>
              <w:rPr>
                <w:kern w:val="2"/>
                <w:sz w:val="21"/>
                <w:szCs w:val="21"/>
              </w:rPr>
            </w:pPr>
            <w:r>
              <w:rPr>
                <w:rFonts w:hint="eastAsia"/>
                <w:kern w:val="2"/>
                <w:sz w:val="21"/>
                <w:szCs w:val="21"/>
              </w:rPr>
              <w:t>3、差旅费</w:t>
            </w:r>
          </w:p>
          <w:p>
            <w:pPr>
              <w:spacing w:line="240" w:lineRule="exact"/>
              <w:jc w:val="center"/>
              <w:rPr>
                <w:kern w:val="2"/>
                <w:sz w:val="21"/>
                <w:szCs w:val="21"/>
              </w:rPr>
            </w:pPr>
            <w:r>
              <w:rPr>
                <w:rFonts w:hint="eastAsia"/>
                <w:kern w:val="2"/>
                <w:sz w:val="21"/>
                <w:szCs w:val="21"/>
              </w:rPr>
              <w:t>4、劳务费</w:t>
            </w:r>
          </w:p>
          <w:p>
            <w:pPr>
              <w:spacing w:line="240" w:lineRule="exact"/>
              <w:jc w:val="center"/>
              <w:rPr>
                <w:kern w:val="2"/>
                <w:sz w:val="21"/>
                <w:szCs w:val="21"/>
              </w:rPr>
            </w:pPr>
            <w:r>
              <w:rPr>
                <w:rFonts w:hint="eastAsia"/>
                <w:kern w:val="2"/>
                <w:sz w:val="21"/>
                <w:szCs w:val="21"/>
              </w:rPr>
              <w:t xml:space="preserve">    5、委托宣传费</w:t>
            </w:r>
          </w:p>
          <w:p>
            <w:pPr>
              <w:spacing w:line="240" w:lineRule="exact"/>
              <w:jc w:val="center"/>
              <w:rPr>
                <w:kern w:val="2"/>
                <w:sz w:val="21"/>
                <w:szCs w:val="21"/>
              </w:rPr>
            </w:pPr>
          </w:p>
          <w:p>
            <w:pPr>
              <w:spacing w:line="240" w:lineRule="exact"/>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绩效评价人员</w:t>
            </w:r>
          </w:p>
        </w:tc>
        <w:tc>
          <w:tcPr>
            <w:tcW w:w="5968"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洪智军、陈伯明、赵玮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292"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资金实际使用情况</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kern w:val="2"/>
                <w:sz w:val="21"/>
                <w:szCs w:val="21"/>
              </w:rPr>
            </w:pPr>
            <w:r>
              <w:rPr>
                <w:rFonts w:hint="eastAsia"/>
                <w:kern w:val="2"/>
                <w:sz w:val="21"/>
                <w:szCs w:val="21"/>
              </w:rPr>
              <w:t>预算使用数</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27.29万元</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kern w:val="2"/>
                <w:sz w:val="21"/>
                <w:szCs w:val="21"/>
              </w:rPr>
            </w:pPr>
            <w:r>
              <w:rPr>
                <w:rFonts w:hint="eastAsia"/>
                <w:kern w:val="2"/>
                <w:sz w:val="21"/>
                <w:szCs w:val="21"/>
              </w:rPr>
              <w:t>预算安排数</w:t>
            </w:r>
          </w:p>
        </w:tc>
        <w:tc>
          <w:tcPr>
            <w:tcW w:w="168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kern w:val="2"/>
                <w:sz w:val="21"/>
                <w:szCs w:val="21"/>
              </w:rPr>
            </w:pPr>
            <w:r>
              <w:rPr>
                <w:rFonts w:hint="eastAsia"/>
                <w:kern w:val="2"/>
                <w:sz w:val="21"/>
                <w:szCs w:val="21"/>
              </w:rPr>
              <w:t>其中：财政资金</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27.29万元</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kern w:val="2"/>
                <w:sz w:val="21"/>
                <w:szCs w:val="21"/>
              </w:rPr>
            </w:pPr>
            <w:r>
              <w:rPr>
                <w:rFonts w:hint="eastAsia"/>
                <w:kern w:val="2"/>
                <w:sz w:val="21"/>
                <w:szCs w:val="21"/>
              </w:rPr>
              <w:t>其中：财政资金</w:t>
            </w:r>
          </w:p>
        </w:tc>
        <w:tc>
          <w:tcPr>
            <w:tcW w:w="168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rPr>
                <w:kern w:val="2"/>
                <w:sz w:val="21"/>
                <w:szCs w:val="21"/>
              </w:rPr>
            </w:pPr>
            <w:r>
              <w:rPr>
                <w:rFonts w:hint="eastAsia"/>
                <w:kern w:val="2"/>
                <w:sz w:val="21"/>
                <w:szCs w:val="21"/>
              </w:rPr>
              <w:t>其他资金</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kern w:val="2"/>
                <w:sz w:val="21"/>
                <w:szCs w:val="21"/>
              </w:rPr>
            </w:pPr>
            <w:r>
              <w:rPr>
                <w:rFonts w:hint="eastAsia"/>
                <w:kern w:val="2"/>
                <w:sz w:val="21"/>
                <w:szCs w:val="21"/>
              </w:rPr>
              <w:t>其他资金</w:t>
            </w:r>
          </w:p>
        </w:tc>
        <w:tc>
          <w:tcPr>
            <w:tcW w:w="168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支出内容（按经济科目详列）</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实际支出数</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项目预算细化的计划支出数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办公费</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5.93万元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水电费</w:t>
            </w:r>
          </w:p>
          <w:p>
            <w:pPr>
              <w:spacing w:line="240" w:lineRule="exact"/>
              <w:jc w:val="center"/>
              <w:rPr>
                <w:kern w:val="2"/>
                <w:sz w:val="21"/>
                <w:szCs w:val="21"/>
              </w:rPr>
            </w:pP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2.63万元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差旅费</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2.53万元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劳务费</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9.27万元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委托宣传费</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6.93万元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支出合计</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27.29万元</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66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评价内容</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2019年底绩效目标实现效果</w:t>
            </w:r>
          </w:p>
        </w:tc>
        <w:tc>
          <w:tcPr>
            <w:tcW w:w="11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权重</w:t>
            </w:r>
          </w:p>
        </w:tc>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自评</w:t>
            </w:r>
          </w:p>
          <w:p>
            <w:pPr>
              <w:spacing w:line="240" w:lineRule="exact"/>
              <w:jc w:val="center"/>
              <w:rPr>
                <w:kern w:val="2"/>
                <w:sz w:val="21"/>
                <w:szCs w:val="21"/>
              </w:rPr>
            </w:pPr>
            <w:r>
              <w:rPr>
                <w:rFonts w:hint="eastAsia"/>
                <w:kern w:val="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366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（1）项目内部控制（项目责任是否明确,有无设立相关经办人及风险点）</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项目管理制度和人员建设健全并落实到实处</w:t>
            </w:r>
          </w:p>
        </w:tc>
        <w:tc>
          <w:tcPr>
            <w:tcW w:w="11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61" w:type="dxa"/>
            <w:vMerge w:val="restart"/>
            <w:tcBorders>
              <w:top w:val="single" w:color="auto" w:sz="4" w:space="0"/>
              <w:left w:val="single" w:color="auto" w:sz="4" w:space="0"/>
              <w:bottom w:val="single" w:color="auto" w:sz="4" w:space="0"/>
              <w:right w:val="single" w:color="auto" w:sz="4" w:space="0"/>
            </w:tcBorders>
            <w:vAlign w:val="center"/>
          </w:tcPr>
          <w:p>
            <w:pPr>
              <w:rPr>
                <w:kern w:val="2"/>
                <w:sz w:val="21"/>
                <w:szCs w:val="21"/>
              </w:rPr>
            </w:pPr>
            <w:r>
              <w:rPr>
                <w:rFonts w:hint="eastAsia"/>
                <w:kern w:val="2"/>
                <w:sz w:val="21"/>
                <w:szCs w:val="21"/>
              </w:rPr>
              <w:t>（2）2019</w:t>
            </w:r>
          </w:p>
          <w:p>
            <w:pPr>
              <w:rPr>
                <w:kern w:val="2"/>
                <w:sz w:val="21"/>
                <w:szCs w:val="21"/>
              </w:rPr>
            </w:pPr>
            <w:r>
              <w:rPr>
                <w:rFonts w:hint="eastAsia"/>
                <w:kern w:val="2"/>
                <w:sz w:val="21"/>
                <w:szCs w:val="21"/>
              </w:rPr>
              <w:t>年度预算绩效目标设定情况</w:t>
            </w: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rPr>
                <w:kern w:val="2"/>
                <w:sz w:val="21"/>
                <w:szCs w:val="21"/>
              </w:rPr>
            </w:pPr>
            <w:r>
              <w:rPr>
                <w:rFonts w:hint="eastAsia"/>
                <w:kern w:val="2"/>
                <w:sz w:val="21"/>
                <w:szCs w:val="21"/>
              </w:rPr>
              <w:t>产出目标</w:t>
            </w: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数量</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服务对象人</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确保本单位全体同志的日常办公环境，为各项工作的正常展开提供了有力的保障。</w:t>
            </w:r>
          </w:p>
        </w:tc>
        <w:tc>
          <w:tcPr>
            <w:tcW w:w="11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质量</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是否保障有效</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及时对日常办公中出现的问题进行了处理，确保工作的正常运作。</w:t>
            </w:r>
          </w:p>
        </w:tc>
        <w:tc>
          <w:tcPr>
            <w:tcW w:w="1103" w:type="dxa"/>
            <w:gridSpan w:val="2"/>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rPr>
                <w:kern w:val="2"/>
                <w:sz w:val="21"/>
                <w:szCs w:val="21"/>
              </w:rPr>
            </w:pPr>
            <w:r>
              <w:rPr>
                <w:rFonts w:hint="eastAsia"/>
                <w:kern w:val="2"/>
                <w:sz w:val="21"/>
                <w:szCs w:val="21"/>
              </w:rPr>
              <w:t>效益目标</w:t>
            </w: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经济效益</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建设轨道交通对温岭具有较大的经济效益</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1.促进</w:t>
            </w:r>
            <w:r>
              <w:rPr>
                <w:rFonts w:hint="eastAsia"/>
                <w:sz w:val="21"/>
                <w:szCs w:val="21"/>
                <w:shd w:val="clear" w:color="auto" w:fill="FFFFFF"/>
              </w:rPr>
              <w:t>城市经济增长；2.土地增值效益；3.促进其他产业发展；4降低城市居民出行费用；</w:t>
            </w:r>
            <w:r>
              <w:rPr>
                <w:rFonts w:hint="eastAsia"/>
                <w:kern w:val="2"/>
                <w:sz w:val="21"/>
                <w:szCs w:val="21"/>
              </w:rPr>
              <w:t>5.提高出行距离，促进人们经济活动范围；6.创造就业机会、增加社会需求；</w:t>
            </w:r>
          </w:p>
        </w:tc>
        <w:tc>
          <w:tcPr>
            <w:tcW w:w="110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社会效益</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建设轨道交通对温岭具有较大的社会效益</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1.解决主城区交通出行压力、改善出行质量；2.促进城市合理布局；3.支撑城市发展轴线、优化城市功能和促进沿线组团快速发展；</w:t>
            </w:r>
          </w:p>
        </w:tc>
        <w:tc>
          <w:tcPr>
            <w:tcW w:w="1103" w:type="dxa"/>
            <w:gridSpan w:val="2"/>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66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（3）执行率</w:t>
            </w:r>
          </w:p>
        </w:tc>
        <w:tc>
          <w:tcPr>
            <w:tcW w:w="27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w:t>
            </w:r>
          </w:p>
        </w:tc>
        <w:tc>
          <w:tcPr>
            <w:tcW w:w="11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395"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合计</w:t>
            </w:r>
          </w:p>
        </w:tc>
        <w:tc>
          <w:tcPr>
            <w:tcW w:w="11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497"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评价等级</w:t>
            </w:r>
          </w:p>
          <w:p>
            <w:pPr>
              <w:spacing w:line="240" w:lineRule="exact"/>
              <w:jc w:val="center"/>
              <w:rPr>
                <w:kern w:val="2"/>
                <w:sz w:val="21"/>
                <w:szCs w:val="21"/>
              </w:rPr>
            </w:pPr>
            <w:r>
              <w:rPr>
                <w:rFonts w:hint="eastAsia"/>
                <w:kern w:val="2"/>
                <w:sz w:val="21"/>
                <w:szCs w:val="21"/>
              </w:rPr>
              <w:t>[ 好（S≥95）、较好（95＞S≥85）、一般（85＞S≥60）、差（S＜60）]</w:t>
            </w:r>
          </w:p>
        </w:tc>
        <w:tc>
          <w:tcPr>
            <w:tcW w:w="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28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存</w:t>
            </w:r>
          </w:p>
          <w:p>
            <w:pPr>
              <w:spacing w:line="240" w:lineRule="exact"/>
              <w:jc w:val="center"/>
              <w:rPr>
                <w:kern w:val="2"/>
                <w:sz w:val="21"/>
                <w:szCs w:val="21"/>
              </w:rPr>
            </w:pPr>
            <w:r>
              <w:rPr>
                <w:rFonts w:hint="eastAsia"/>
                <w:kern w:val="2"/>
                <w:sz w:val="21"/>
                <w:szCs w:val="21"/>
              </w:rPr>
              <w:t>在</w:t>
            </w:r>
          </w:p>
          <w:p>
            <w:pPr>
              <w:spacing w:line="240" w:lineRule="exact"/>
              <w:jc w:val="center"/>
              <w:rPr>
                <w:kern w:val="2"/>
                <w:sz w:val="21"/>
                <w:szCs w:val="21"/>
              </w:rPr>
            </w:pPr>
            <w:r>
              <w:rPr>
                <w:rFonts w:hint="eastAsia"/>
                <w:kern w:val="2"/>
                <w:sz w:val="21"/>
                <w:szCs w:val="21"/>
              </w:rPr>
              <w:t>的</w:t>
            </w:r>
          </w:p>
          <w:p>
            <w:pPr>
              <w:spacing w:line="240" w:lineRule="exact"/>
              <w:jc w:val="center"/>
              <w:rPr>
                <w:kern w:val="2"/>
                <w:sz w:val="21"/>
                <w:szCs w:val="21"/>
              </w:rPr>
            </w:pPr>
            <w:r>
              <w:rPr>
                <w:rFonts w:hint="eastAsia"/>
                <w:kern w:val="2"/>
                <w:sz w:val="21"/>
                <w:szCs w:val="21"/>
              </w:rPr>
              <w:t>问</w:t>
            </w:r>
          </w:p>
          <w:p>
            <w:pPr>
              <w:spacing w:line="240" w:lineRule="exact"/>
              <w:jc w:val="center"/>
              <w:rPr>
                <w:kern w:val="2"/>
                <w:sz w:val="21"/>
                <w:szCs w:val="21"/>
              </w:rPr>
            </w:pPr>
            <w:r>
              <w:rPr>
                <w:rFonts w:hint="eastAsia"/>
                <w:kern w:val="2"/>
                <w:sz w:val="21"/>
                <w:szCs w:val="21"/>
              </w:rPr>
              <w:t xml:space="preserve">题 </w:t>
            </w:r>
          </w:p>
        </w:tc>
        <w:tc>
          <w:tcPr>
            <w:tcW w:w="7154"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kern w:val="2"/>
                <w:sz w:val="21"/>
                <w:szCs w:val="21"/>
              </w:rPr>
            </w:pPr>
          </w:p>
          <w:p>
            <w:pPr>
              <w:spacing w:line="600" w:lineRule="exact"/>
              <w:ind w:firstLine="315" w:firstLineChars="150"/>
              <w:rPr>
                <w:kern w:val="2"/>
                <w:sz w:val="21"/>
                <w:szCs w:val="21"/>
              </w:rPr>
            </w:pPr>
            <w:r>
              <w:rPr>
                <w:rFonts w:hint="eastAsia"/>
                <w:kern w:val="2"/>
                <w:sz w:val="21"/>
                <w:szCs w:val="21"/>
              </w:rPr>
              <w:t>轨道办按照年初工作经费预算计划，通盘考虑、严格执行、执行率100%。</w:t>
            </w:r>
          </w:p>
          <w:p>
            <w:pPr>
              <w:spacing w:line="240" w:lineRule="exact"/>
              <w:jc w:val="both"/>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28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整</w:t>
            </w:r>
          </w:p>
          <w:p>
            <w:pPr>
              <w:spacing w:line="240" w:lineRule="exact"/>
              <w:jc w:val="center"/>
              <w:rPr>
                <w:kern w:val="2"/>
                <w:sz w:val="21"/>
                <w:szCs w:val="21"/>
              </w:rPr>
            </w:pPr>
            <w:r>
              <w:rPr>
                <w:rFonts w:hint="eastAsia"/>
                <w:kern w:val="2"/>
                <w:sz w:val="21"/>
                <w:szCs w:val="21"/>
              </w:rPr>
              <w:t>改</w:t>
            </w:r>
          </w:p>
          <w:p>
            <w:pPr>
              <w:spacing w:line="240" w:lineRule="exact"/>
              <w:jc w:val="center"/>
              <w:rPr>
                <w:kern w:val="2"/>
                <w:sz w:val="21"/>
                <w:szCs w:val="21"/>
              </w:rPr>
            </w:pPr>
            <w:r>
              <w:rPr>
                <w:rFonts w:hint="eastAsia"/>
                <w:kern w:val="2"/>
                <w:sz w:val="21"/>
                <w:szCs w:val="21"/>
              </w:rPr>
              <w:t>措</w:t>
            </w:r>
          </w:p>
          <w:p>
            <w:pPr>
              <w:spacing w:line="240" w:lineRule="exact"/>
              <w:jc w:val="center"/>
              <w:rPr>
                <w:kern w:val="2"/>
                <w:sz w:val="21"/>
                <w:szCs w:val="21"/>
              </w:rPr>
            </w:pPr>
            <w:r>
              <w:rPr>
                <w:rFonts w:hint="eastAsia"/>
                <w:kern w:val="2"/>
                <w:sz w:val="21"/>
                <w:szCs w:val="21"/>
              </w:rPr>
              <w:t xml:space="preserve">施   </w:t>
            </w:r>
          </w:p>
        </w:tc>
        <w:tc>
          <w:tcPr>
            <w:tcW w:w="7154"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both"/>
              <w:rPr>
                <w:kern w:val="2"/>
                <w:sz w:val="21"/>
                <w:szCs w:val="21"/>
              </w:rPr>
            </w:pPr>
          </w:p>
          <w:p>
            <w:pPr>
              <w:spacing w:line="240" w:lineRule="exact"/>
              <w:jc w:val="center"/>
              <w:rPr>
                <w:kern w:val="2"/>
                <w:sz w:val="21"/>
                <w:szCs w:val="21"/>
              </w:rPr>
            </w:pPr>
            <w:r>
              <w:rPr>
                <w:rFonts w:hint="eastAsia"/>
                <w:kern w:val="2"/>
                <w:sz w:val="21"/>
                <w:szCs w:val="21"/>
              </w:rPr>
              <w:t xml:space="preserve">无 </w:t>
            </w:r>
          </w:p>
          <w:p>
            <w:pPr>
              <w:spacing w:line="240" w:lineRule="exact"/>
              <w:jc w:val="center"/>
              <w:rPr>
                <w:kern w:val="2"/>
                <w:sz w:val="21"/>
                <w:szCs w:val="21"/>
              </w:rPr>
            </w:pPr>
          </w:p>
        </w:tc>
      </w:tr>
    </w:tbl>
    <w:p>
      <w:pPr>
        <w:spacing w:line="600" w:lineRule="atLeast"/>
        <w:ind w:firstLine="640"/>
        <w:jc w:val="both"/>
        <w:rPr>
          <w:rFonts w:ascii="仿宋" w:hAnsi="仿宋" w:eastAsia="仿宋" w:cs="Arial"/>
          <w:sz w:val="32"/>
          <w:szCs w:val="32"/>
        </w:rPr>
      </w:pP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轨道交通单轨示范线前期可研结算款项目绩效自评综述：根据年初设定的绩效目标项目自评得分100分，自评结论为“好”。项目全年预算数为207.3万元，执行数为207.3万元，完成预算的100%。主要产出和效果：根据市内轨道交通发展的实际情况，市委常委会和市长办公会议明确了该项目终止实施。市委常委会和市长办公会议明确该项目终止实施，并确定了结算方案、及时支付了结算余款。</w:t>
      </w:r>
    </w:p>
    <w:p>
      <w:pPr>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温岭市财政支出项目绩效自评报告</w:t>
      </w:r>
    </w:p>
    <w:p>
      <w:pPr>
        <w:snapToGrid w:val="0"/>
        <w:spacing w:line="560" w:lineRule="exact"/>
        <w:jc w:val="center"/>
        <w:rPr>
          <w:rFonts w:ascii="仿宋_GB2312" w:eastAsia="仿宋_GB2312"/>
          <w:sz w:val="32"/>
          <w:szCs w:val="32"/>
        </w:rPr>
      </w:pPr>
      <w:r>
        <w:rPr>
          <w:rFonts w:hint="eastAsia" w:ascii="仿宋_GB2312" w:eastAsia="仿宋_GB2312"/>
          <w:sz w:val="32"/>
          <w:szCs w:val="32"/>
        </w:rPr>
        <w:t>（简化版）</w:t>
      </w:r>
    </w:p>
    <w:p>
      <w:pPr>
        <w:snapToGrid w:val="0"/>
        <w:spacing w:line="240" w:lineRule="exact"/>
        <w:jc w:val="center"/>
        <w:rPr>
          <w:rFonts w:ascii="黑体" w:eastAsia="黑体"/>
          <w:color w:val="3D3D3D"/>
        </w:rPr>
      </w:pPr>
    </w:p>
    <w:tbl>
      <w:tblPr>
        <w:tblStyle w:val="5"/>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06"/>
        <w:gridCol w:w="125"/>
        <w:gridCol w:w="362"/>
        <w:gridCol w:w="828"/>
        <w:gridCol w:w="1197"/>
        <w:gridCol w:w="538"/>
        <w:gridCol w:w="1092"/>
        <w:gridCol w:w="996"/>
        <w:gridCol w:w="111"/>
        <w:gridCol w:w="365"/>
        <w:gridCol w:w="742"/>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项目实施单位(盖章)</w:t>
            </w:r>
          </w:p>
        </w:tc>
        <w:tc>
          <w:tcPr>
            <w:tcW w:w="598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温岭市轨道交通建设办公室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项目名称</w:t>
            </w:r>
          </w:p>
        </w:tc>
        <w:tc>
          <w:tcPr>
            <w:tcW w:w="598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单轨示范线前期可研报告费用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项目负责人</w:t>
            </w:r>
          </w:p>
        </w:tc>
        <w:tc>
          <w:tcPr>
            <w:tcW w:w="17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项目起止时间</w:t>
            </w:r>
          </w:p>
        </w:tc>
        <w:tc>
          <w:tcPr>
            <w:tcW w:w="216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2019.01～2019.12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项目实施的</w:t>
            </w:r>
          </w:p>
          <w:p>
            <w:pPr>
              <w:spacing w:line="240" w:lineRule="exact"/>
              <w:jc w:val="center"/>
              <w:rPr>
                <w:kern w:val="2"/>
                <w:sz w:val="21"/>
                <w:szCs w:val="21"/>
              </w:rPr>
            </w:pPr>
            <w:r>
              <w:rPr>
                <w:rFonts w:hint="eastAsia"/>
                <w:kern w:val="2"/>
                <w:sz w:val="21"/>
                <w:szCs w:val="21"/>
              </w:rPr>
              <w:t>主要内容</w:t>
            </w:r>
          </w:p>
        </w:tc>
        <w:tc>
          <w:tcPr>
            <w:tcW w:w="598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p>
            <w:pPr>
              <w:spacing w:line="240" w:lineRule="exact"/>
              <w:ind w:firstLine="1680" w:firstLineChars="800"/>
              <w:jc w:val="both"/>
              <w:rPr>
                <w:kern w:val="2"/>
                <w:sz w:val="21"/>
                <w:szCs w:val="21"/>
              </w:rPr>
            </w:pPr>
            <w:r>
              <w:rPr>
                <w:rFonts w:hint="eastAsia"/>
                <w:kern w:val="2"/>
                <w:sz w:val="21"/>
                <w:szCs w:val="21"/>
              </w:rPr>
              <w:t>支付单轨示范线前期可研报告余款</w:t>
            </w: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绩效评价人员</w:t>
            </w:r>
          </w:p>
        </w:tc>
        <w:tc>
          <w:tcPr>
            <w:tcW w:w="598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洪智军、陈伯明、赵玮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31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资金实际使用情况</w:t>
            </w: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预算使用数</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c>
          <w:tcPr>
            <w:tcW w:w="14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预算安排数</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其中：财政资金</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c>
          <w:tcPr>
            <w:tcW w:w="14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其中：财政资金</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jc w:val="center"/>
              <w:rPr>
                <w:kern w:val="2"/>
                <w:sz w:val="21"/>
                <w:szCs w:val="21"/>
              </w:rPr>
            </w:pPr>
            <w:r>
              <w:rPr>
                <w:rFonts w:hint="eastAsia"/>
                <w:kern w:val="2"/>
                <w:sz w:val="21"/>
                <w:szCs w:val="21"/>
              </w:rPr>
              <w:t>其他资金</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14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center"/>
              <w:rPr>
                <w:kern w:val="2"/>
                <w:sz w:val="21"/>
                <w:szCs w:val="21"/>
              </w:rPr>
            </w:pPr>
            <w:r>
              <w:rPr>
                <w:rFonts w:hint="eastAsia"/>
                <w:kern w:val="2"/>
                <w:sz w:val="21"/>
                <w:szCs w:val="21"/>
              </w:rPr>
              <w:t>其他资金</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支出内容（按经济科目详列）</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实际支出数</w:t>
            </w: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项目预算细化的计划支出数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单轨示范线前期可研报告余款</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单轨示范线前期可研报告余款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8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支出合计</w:t>
            </w:r>
          </w:p>
        </w:tc>
        <w:tc>
          <w:tcPr>
            <w:tcW w:w="282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207.3万元</w:t>
            </w:r>
          </w:p>
        </w:tc>
        <w:tc>
          <w:tcPr>
            <w:tcW w:w="31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68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评价内容</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2019年底绩效目标实现效果</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权重</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自评</w:t>
            </w:r>
          </w:p>
          <w:p>
            <w:pPr>
              <w:spacing w:line="240" w:lineRule="exact"/>
              <w:jc w:val="center"/>
              <w:rPr>
                <w:kern w:val="2"/>
                <w:sz w:val="21"/>
                <w:szCs w:val="21"/>
              </w:rPr>
            </w:pPr>
            <w:r>
              <w:rPr>
                <w:rFonts w:hint="eastAsia"/>
                <w:kern w:val="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68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（1）项目内部控制（项目责任是否明确,有无设立相关经办人及风险点）</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项目管理制度和人员建设健全并落实到实处</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10分</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黑体" w:eastAsia="仿宋_GB2312"/>
                <w:kern w:val="2"/>
                <w:sz w:val="21"/>
                <w:szCs w:val="21"/>
              </w:rPr>
            </w:pPr>
            <w:r>
              <w:rPr>
                <w:rFonts w:hint="eastAsia"/>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63"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（2）2019</w:t>
            </w:r>
          </w:p>
          <w:p>
            <w:pPr>
              <w:jc w:val="center"/>
              <w:rPr>
                <w:kern w:val="2"/>
                <w:sz w:val="21"/>
                <w:szCs w:val="21"/>
              </w:rPr>
            </w:pPr>
            <w:r>
              <w:rPr>
                <w:rFonts w:hint="eastAsia"/>
                <w:kern w:val="2"/>
                <w:sz w:val="21"/>
                <w:szCs w:val="21"/>
              </w:rPr>
              <w:t>年度预算绩效目标设定情况</w:t>
            </w:r>
          </w:p>
        </w:tc>
        <w:tc>
          <w:tcPr>
            <w:tcW w:w="406"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产出目标</w:t>
            </w:r>
          </w:p>
        </w:tc>
        <w:tc>
          <w:tcPr>
            <w:tcW w:w="48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数量</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服务对象人</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单轨示范线前期可研报告编制单位</w:t>
            </w:r>
          </w:p>
        </w:tc>
        <w:tc>
          <w:tcPr>
            <w:tcW w:w="110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质量</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是否保障有效</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市委常委会和市长办公会议明确该项目终止实施，并确定了结算方案、及时支付了结算余款。</w:t>
            </w:r>
          </w:p>
        </w:tc>
        <w:tc>
          <w:tcPr>
            <w:tcW w:w="110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6"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效益目标</w:t>
            </w:r>
          </w:p>
        </w:tc>
        <w:tc>
          <w:tcPr>
            <w:tcW w:w="48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经济效益</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建设轨道交通对温岭具有较大的经济效益</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根据市内轨道交通发展的实际情况，市委常委会和市长办公会议明确了该项目终止实施。</w:t>
            </w:r>
          </w:p>
        </w:tc>
        <w:tc>
          <w:tcPr>
            <w:tcW w:w="110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社会效益</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建设轨道交通对温岭具有较大的社会效益</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根据市内轨道交通发展的实际情况，市委常委会和市长办公会议明确了该项目终止实施。</w:t>
            </w:r>
          </w:p>
        </w:tc>
        <w:tc>
          <w:tcPr>
            <w:tcW w:w="110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8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（3）执行率</w:t>
            </w:r>
          </w:p>
        </w:tc>
        <w:tc>
          <w:tcPr>
            <w:tcW w:w="273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418"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合计</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25"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评价等级</w:t>
            </w:r>
          </w:p>
          <w:p>
            <w:pPr>
              <w:spacing w:line="240" w:lineRule="exact"/>
              <w:jc w:val="center"/>
              <w:rPr>
                <w:kern w:val="2"/>
                <w:sz w:val="21"/>
                <w:szCs w:val="21"/>
              </w:rPr>
            </w:pPr>
            <w:r>
              <w:rPr>
                <w:rFonts w:hint="eastAsia"/>
                <w:kern w:val="2"/>
                <w:sz w:val="21"/>
                <w:szCs w:val="21"/>
              </w:rPr>
              <w:t>[ 好（S≥95）、较好（95＞S≥85）、一般（85＞S≥60）、差（S＜60）]</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存</w:t>
            </w:r>
          </w:p>
          <w:p>
            <w:pPr>
              <w:spacing w:line="240" w:lineRule="exact"/>
              <w:jc w:val="center"/>
              <w:rPr>
                <w:kern w:val="2"/>
                <w:sz w:val="21"/>
                <w:szCs w:val="21"/>
              </w:rPr>
            </w:pPr>
            <w:r>
              <w:rPr>
                <w:rFonts w:hint="eastAsia"/>
                <w:kern w:val="2"/>
                <w:sz w:val="21"/>
                <w:szCs w:val="21"/>
              </w:rPr>
              <w:t>在</w:t>
            </w:r>
          </w:p>
          <w:p>
            <w:pPr>
              <w:spacing w:line="240" w:lineRule="exact"/>
              <w:jc w:val="center"/>
              <w:rPr>
                <w:kern w:val="2"/>
                <w:sz w:val="21"/>
                <w:szCs w:val="21"/>
              </w:rPr>
            </w:pPr>
            <w:r>
              <w:rPr>
                <w:rFonts w:hint="eastAsia"/>
                <w:kern w:val="2"/>
                <w:sz w:val="21"/>
                <w:szCs w:val="21"/>
              </w:rPr>
              <w:t>的</w:t>
            </w:r>
          </w:p>
          <w:p>
            <w:pPr>
              <w:spacing w:line="240" w:lineRule="exact"/>
              <w:jc w:val="center"/>
              <w:rPr>
                <w:kern w:val="2"/>
                <w:sz w:val="21"/>
                <w:szCs w:val="21"/>
              </w:rPr>
            </w:pPr>
            <w:r>
              <w:rPr>
                <w:rFonts w:hint="eastAsia"/>
                <w:kern w:val="2"/>
                <w:sz w:val="21"/>
                <w:szCs w:val="21"/>
              </w:rPr>
              <w:t>问</w:t>
            </w:r>
          </w:p>
          <w:p>
            <w:pPr>
              <w:spacing w:line="240" w:lineRule="exact"/>
              <w:jc w:val="center"/>
              <w:rPr>
                <w:color w:val="3D3D3D"/>
                <w:kern w:val="2"/>
                <w:sz w:val="21"/>
                <w:szCs w:val="21"/>
              </w:rPr>
            </w:pPr>
            <w:r>
              <w:rPr>
                <w:rFonts w:hint="eastAsia"/>
                <w:kern w:val="2"/>
                <w:sz w:val="21"/>
                <w:szCs w:val="21"/>
              </w:rPr>
              <w:t>题</w:t>
            </w:r>
          </w:p>
        </w:tc>
        <w:tc>
          <w:tcPr>
            <w:tcW w:w="7179"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both"/>
              <w:rPr>
                <w:kern w:val="2"/>
                <w:sz w:val="21"/>
                <w:szCs w:val="21"/>
              </w:rPr>
            </w:pPr>
          </w:p>
          <w:p>
            <w:pPr>
              <w:spacing w:line="240" w:lineRule="exact"/>
              <w:ind w:firstLine="3570" w:firstLineChars="1700"/>
              <w:jc w:val="both"/>
              <w:rPr>
                <w:kern w:val="2"/>
                <w:sz w:val="21"/>
                <w:szCs w:val="21"/>
              </w:rPr>
            </w:pPr>
            <w:r>
              <w:rPr>
                <w:rFonts w:hint="eastAsia"/>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29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整</w:t>
            </w:r>
          </w:p>
          <w:p>
            <w:pPr>
              <w:spacing w:line="240" w:lineRule="exact"/>
              <w:jc w:val="center"/>
              <w:rPr>
                <w:kern w:val="2"/>
                <w:sz w:val="21"/>
                <w:szCs w:val="21"/>
              </w:rPr>
            </w:pPr>
            <w:r>
              <w:rPr>
                <w:rFonts w:hint="eastAsia"/>
                <w:kern w:val="2"/>
                <w:sz w:val="21"/>
                <w:szCs w:val="21"/>
              </w:rPr>
              <w:t>改</w:t>
            </w:r>
          </w:p>
          <w:p>
            <w:pPr>
              <w:spacing w:line="240" w:lineRule="exact"/>
              <w:jc w:val="center"/>
              <w:rPr>
                <w:kern w:val="2"/>
                <w:sz w:val="21"/>
                <w:szCs w:val="21"/>
              </w:rPr>
            </w:pPr>
            <w:r>
              <w:rPr>
                <w:rFonts w:hint="eastAsia"/>
                <w:kern w:val="2"/>
                <w:sz w:val="21"/>
                <w:szCs w:val="21"/>
              </w:rPr>
              <w:t>措</w:t>
            </w:r>
          </w:p>
          <w:p>
            <w:pPr>
              <w:spacing w:line="240" w:lineRule="exact"/>
              <w:jc w:val="center"/>
              <w:rPr>
                <w:color w:val="3D3D3D"/>
                <w:kern w:val="2"/>
                <w:sz w:val="21"/>
                <w:szCs w:val="21"/>
              </w:rPr>
            </w:pPr>
            <w:r>
              <w:rPr>
                <w:rFonts w:hint="eastAsia"/>
                <w:kern w:val="2"/>
                <w:sz w:val="21"/>
                <w:szCs w:val="21"/>
              </w:rPr>
              <w:t>施</w:t>
            </w:r>
          </w:p>
        </w:tc>
        <w:tc>
          <w:tcPr>
            <w:tcW w:w="7179" w:type="dxa"/>
            <w:gridSpan w:val="10"/>
            <w:tcBorders>
              <w:top w:val="single" w:color="auto" w:sz="4" w:space="0"/>
              <w:left w:val="single" w:color="auto" w:sz="4" w:space="0"/>
              <w:bottom w:val="single" w:color="auto" w:sz="4" w:space="0"/>
              <w:right w:val="single" w:color="auto" w:sz="4" w:space="0"/>
            </w:tcBorders>
            <w:vAlign w:val="center"/>
          </w:tcPr>
          <w:p>
            <w:pPr>
              <w:tabs>
                <w:tab w:val="left" w:pos="2002"/>
              </w:tabs>
              <w:spacing w:line="240" w:lineRule="exact"/>
              <w:jc w:val="both"/>
              <w:rPr>
                <w:kern w:val="2"/>
                <w:sz w:val="21"/>
                <w:szCs w:val="21"/>
              </w:rPr>
            </w:pPr>
          </w:p>
          <w:p>
            <w:pPr>
              <w:spacing w:line="240" w:lineRule="exact"/>
              <w:ind w:firstLine="3570" w:firstLineChars="1700"/>
              <w:jc w:val="both"/>
              <w:rPr>
                <w:kern w:val="2"/>
                <w:sz w:val="21"/>
                <w:szCs w:val="21"/>
              </w:rPr>
            </w:pPr>
          </w:p>
          <w:p>
            <w:pPr>
              <w:spacing w:line="240" w:lineRule="exact"/>
              <w:ind w:firstLine="3570" w:firstLineChars="1700"/>
              <w:jc w:val="both"/>
              <w:rPr>
                <w:kern w:val="2"/>
                <w:sz w:val="21"/>
                <w:szCs w:val="21"/>
              </w:rPr>
            </w:pPr>
            <w:r>
              <w:rPr>
                <w:rFonts w:hint="eastAsia"/>
                <w:kern w:val="2"/>
                <w:sz w:val="21"/>
                <w:szCs w:val="21"/>
              </w:rPr>
              <w:t>无</w:t>
            </w:r>
          </w:p>
          <w:p>
            <w:pPr>
              <w:spacing w:line="240" w:lineRule="exact"/>
              <w:jc w:val="both"/>
              <w:rPr>
                <w:kern w:val="2"/>
                <w:sz w:val="21"/>
                <w:szCs w:val="21"/>
              </w:rPr>
            </w:pPr>
          </w:p>
          <w:p>
            <w:pPr>
              <w:spacing w:line="240" w:lineRule="exact"/>
              <w:jc w:val="center"/>
              <w:rPr>
                <w:kern w:val="2"/>
                <w:sz w:val="21"/>
                <w:szCs w:val="21"/>
              </w:rPr>
            </w:pPr>
          </w:p>
          <w:p>
            <w:pPr>
              <w:spacing w:line="240" w:lineRule="exact"/>
              <w:jc w:val="center"/>
              <w:rPr>
                <w:kern w:val="2"/>
                <w:sz w:val="21"/>
                <w:szCs w:val="21"/>
              </w:rPr>
            </w:pPr>
          </w:p>
        </w:tc>
      </w:tr>
    </w:tbl>
    <w:p>
      <w:pPr>
        <w:spacing w:line="600" w:lineRule="atLeast"/>
        <w:jc w:val="both"/>
        <w:rPr>
          <w:rFonts w:ascii="仿宋" w:hAnsi="仿宋" w:eastAsia="仿宋" w:cs="Arial"/>
          <w:sz w:val="32"/>
          <w:szCs w:val="32"/>
        </w:rPr>
      </w:pPr>
    </w:p>
    <w:p>
      <w:pPr>
        <w:spacing w:line="600" w:lineRule="atLeast"/>
        <w:ind w:firstLine="640" w:firstLineChars="200"/>
        <w:jc w:val="both"/>
        <w:rPr>
          <w:rFonts w:ascii="仿宋" w:hAnsi="仿宋" w:eastAsia="仿宋" w:cs="Arial"/>
          <w:sz w:val="32"/>
          <w:szCs w:val="32"/>
        </w:rPr>
      </w:pPr>
      <w:r>
        <w:rPr>
          <w:rFonts w:hint="eastAsia" w:ascii="仿宋" w:hAnsi="仿宋" w:eastAsia="仿宋" w:cs="Arial"/>
          <w:sz w:val="32"/>
          <w:szCs w:val="32"/>
        </w:rPr>
        <w:t>国开基金借款利息项目绩效自评综述：根据年初设定的绩效目标项目自评得分100分，自评结论为“好”。项目全年预算数为204.4万元，执行数为204.4万元，完成预算的100%。主要产出和效果：严格按照国开基金借款约定的时间支付利息。1.促进城市经济增长；2.土地增值效益；3.促进其他产业发展；4降低城市居民出行费用；5.提高出行距离，促进人们经济活动范围；6.创造就业机会、增加社会需求。</w:t>
      </w:r>
    </w:p>
    <w:p>
      <w:pPr>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温岭市财政支出项目绩效自评报告</w:t>
      </w:r>
    </w:p>
    <w:p>
      <w:pPr>
        <w:snapToGrid w:val="0"/>
        <w:spacing w:line="560" w:lineRule="exact"/>
        <w:jc w:val="center"/>
        <w:rPr>
          <w:rFonts w:ascii="仿宋_GB2312" w:eastAsia="仿宋_GB2312"/>
          <w:sz w:val="32"/>
          <w:szCs w:val="32"/>
        </w:rPr>
      </w:pPr>
      <w:r>
        <w:rPr>
          <w:rFonts w:hint="eastAsia" w:ascii="仿宋_GB2312" w:eastAsia="仿宋_GB2312"/>
          <w:sz w:val="32"/>
          <w:szCs w:val="32"/>
        </w:rPr>
        <w:t>（简化版）</w:t>
      </w:r>
    </w:p>
    <w:p>
      <w:pPr>
        <w:snapToGrid w:val="0"/>
        <w:spacing w:line="240" w:lineRule="exact"/>
        <w:jc w:val="center"/>
        <w:rPr>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405"/>
        <w:gridCol w:w="123"/>
        <w:gridCol w:w="361"/>
        <w:gridCol w:w="823"/>
        <w:gridCol w:w="1190"/>
        <w:gridCol w:w="535"/>
        <w:gridCol w:w="1087"/>
        <w:gridCol w:w="989"/>
        <w:gridCol w:w="111"/>
        <w:gridCol w:w="365"/>
        <w:gridCol w:w="736"/>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项目实施单位(盖章)</w:t>
            </w:r>
          </w:p>
        </w:tc>
        <w:tc>
          <w:tcPr>
            <w:tcW w:w="595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温岭市轨道交通建设办公室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项目名称</w:t>
            </w:r>
          </w:p>
        </w:tc>
        <w:tc>
          <w:tcPr>
            <w:tcW w:w="595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国开基金借款利息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项目负责人</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项目起止时间</w:t>
            </w:r>
          </w:p>
        </w:tc>
        <w:tc>
          <w:tcPr>
            <w:tcW w:w="215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2019.01～2019.12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项目实施的</w:t>
            </w:r>
          </w:p>
          <w:p>
            <w:pPr>
              <w:spacing w:line="240" w:lineRule="exact"/>
              <w:jc w:val="center"/>
              <w:rPr>
                <w:kern w:val="2"/>
                <w:sz w:val="21"/>
                <w:szCs w:val="21"/>
              </w:rPr>
            </w:pPr>
            <w:r>
              <w:rPr>
                <w:rFonts w:hint="eastAsia"/>
                <w:kern w:val="2"/>
                <w:sz w:val="21"/>
                <w:szCs w:val="21"/>
              </w:rPr>
              <w:t>主要内容</w:t>
            </w:r>
          </w:p>
        </w:tc>
        <w:tc>
          <w:tcPr>
            <w:tcW w:w="595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ind w:firstLine="3150" w:firstLineChars="1500"/>
              <w:jc w:val="center"/>
              <w:rPr>
                <w:kern w:val="2"/>
                <w:sz w:val="21"/>
                <w:szCs w:val="21"/>
              </w:rPr>
            </w:pPr>
          </w:p>
          <w:p>
            <w:pPr>
              <w:spacing w:line="240" w:lineRule="exact"/>
              <w:ind w:firstLine="3150" w:firstLineChars="1500"/>
              <w:jc w:val="center"/>
              <w:rPr>
                <w:kern w:val="2"/>
                <w:sz w:val="21"/>
                <w:szCs w:val="21"/>
              </w:rPr>
            </w:pPr>
          </w:p>
          <w:p>
            <w:pPr>
              <w:spacing w:line="240" w:lineRule="exact"/>
              <w:ind w:firstLine="3150" w:firstLineChars="1500"/>
              <w:jc w:val="center"/>
              <w:rPr>
                <w:kern w:val="2"/>
                <w:sz w:val="21"/>
                <w:szCs w:val="21"/>
              </w:rPr>
            </w:pPr>
          </w:p>
          <w:p>
            <w:pPr>
              <w:spacing w:line="240" w:lineRule="exact"/>
              <w:ind w:firstLine="3150" w:firstLineChars="1500"/>
              <w:jc w:val="center"/>
              <w:rPr>
                <w:kern w:val="2"/>
                <w:sz w:val="21"/>
                <w:szCs w:val="21"/>
              </w:rPr>
            </w:pPr>
          </w:p>
          <w:p>
            <w:pPr>
              <w:spacing w:line="240" w:lineRule="exact"/>
              <w:ind w:firstLine="3150" w:firstLineChars="1500"/>
              <w:jc w:val="center"/>
              <w:rPr>
                <w:kern w:val="2"/>
                <w:sz w:val="21"/>
                <w:szCs w:val="21"/>
              </w:rPr>
            </w:pPr>
          </w:p>
          <w:p>
            <w:pPr>
              <w:spacing w:line="240" w:lineRule="exact"/>
              <w:ind w:firstLine="2310" w:firstLineChars="1100"/>
              <w:jc w:val="both"/>
              <w:rPr>
                <w:kern w:val="2"/>
                <w:sz w:val="21"/>
                <w:szCs w:val="21"/>
              </w:rPr>
            </w:pPr>
            <w:r>
              <w:rPr>
                <w:rFonts w:hint="eastAsia"/>
                <w:kern w:val="2"/>
                <w:sz w:val="21"/>
                <w:szCs w:val="21"/>
              </w:rPr>
              <w:t>国开基金借款利息</w:t>
            </w: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绩效评价人员</w:t>
            </w:r>
          </w:p>
        </w:tc>
        <w:tc>
          <w:tcPr>
            <w:tcW w:w="5957"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洪智军、陈伯明、赵玮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283"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资金实际使用情况</w:t>
            </w: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预算使用数</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预算安排数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其中：财政资金</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其中：财政资金</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630" w:firstLineChars="300"/>
              <w:jc w:val="center"/>
              <w:rPr>
                <w:kern w:val="2"/>
                <w:sz w:val="21"/>
                <w:szCs w:val="21"/>
              </w:rPr>
            </w:pPr>
            <w:r>
              <w:rPr>
                <w:rFonts w:hint="eastAsia"/>
                <w:kern w:val="2"/>
                <w:sz w:val="21"/>
                <w:szCs w:val="21"/>
              </w:rPr>
              <w:t>其他资金</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jc w:val="center"/>
              <w:rPr>
                <w:kern w:val="2"/>
                <w:sz w:val="21"/>
                <w:szCs w:val="21"/>
              </w:rPr>
            </w:pPr>
            <w:r>
              <w:rPr>
                <w:rFonts w:hint="eastAsia"/>
                <w:kern w:val="2"/>
                <w:sz w:val="21"/>
                <w:szCs w:val="21"/>
              </w:rPr>
              <w:t>其他资金</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支出内容（按经济科目详列）</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实际支出数</w:t>
            </w: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项目预算细化的计划支出数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支付国开基金借款利息</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7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支出合计</w:t>
            </w:r>
          </w:p>
        </w:tc>
        <w:tc>
          <w:tcPr>
            <w:tcW w:w="281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c>
          <w:tcPr>
            <w:tcW w:w="314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6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评价内容</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2019年底绩效目标实现效果</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权重</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自评</w:t>
            </w:r>
          </w:p>
          <w:p>
            <w:pPr>
              <w:spacing w:line="240" w:lineRule="exact"/>
              <w:jc w:val="center"/>
              <w:rPr>
                <w:kern w:val="2"/>
                <w:sz w:val="21"/>
                <w:szCs w:val="21"/>
              </w:rPr>
            </w:pPr>
            <w:r>
              <w:rPr>
                <w:rFonts w:hint="eastAsia"/>
                <w:kern w:val="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6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（1）项目内部控制（项目责任是否明确,有无设立相关经办人及风险点）</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项目管理制度和人员建设健全并落实到实处</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10分</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（2）2019</w:t>
            </w:r>
          </w:p>
          <w:p>
            <w:pPr>
              <w:jc w:val="center"/>
              <w:rPr>
                <w:kern w:val="2"/>
                <w:sz w:val="21"/>
                <w:szCs w:val="21"/>
              </w:rPr>
            </w:pPr>
            <w:r>
              <w:rPr>
                <w:rFonts w:hint="eastAsia"/>
                <w:kern w:val="2"/>
                <w:sz w:val="21"/>
                <w:szCs w:val="21"/>
              </w:rPr>
              <w:t>年度预算绩效目标设定情况</w:t>
            </w: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产出目标</w:t>
            </w:r>
          </w:p>
        </w:tc>
        <w:tc>
          <w:tcPr>
            <w:tcW w:w="4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数量</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服务对象人</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国开发展基金有限公司</w:t>
            </w:r>
          </w:p>
        </w:tc>
        <w:tc>
          <w:tcPr>
            <w:tcW w:w="11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质量</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是否保障有效</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严格按照国开基金借款约定的时间支付利息。</w:t>
            </w:r>
          </w:p>
        </w:tc>
        <w:tc>
          <w:tcPr>
            <w:tcW w:w="110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r>
              <w:rPr>
                <w:rFonts w:hint="eastAsia"/>
                <w:kern w:val="2"/>
                <w:sz w:val="21"/>
                <w:szCs w:val="21"/>
              </w:rPr>
              <w:t>效益目标</w:t>
            </w:r>
          </w:p>
        </w:tc>
        <w:tc>
          <w:tcPr>
            <w:tcW w:w="4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经济效益</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建设轨道交通对温岭具有较大的经济效益</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1.促进</w:t>
            </w:r>
            <w:r>
              <w:rPr>
                <w:rFonts w:hint="eastAsia"/>
                <w:sz w:val="21"/>
                <w:szCs w:val="21"/>
                <w:shd w:val="clear" w:color="auto" w:fill="FFFFFF"/>
              </w:rPr>
              <w:t>城市经济增长；2.土地增值效益；3.促进其他产业发展；4降低城市居民出行费用；</w:t>
            </w:r>
            <w:r>
              <w:rPr>
                <w:rFonts w:hint="eastAsia"/>
                <w:kern w:val="2"/>
                <w:sz w:val="21"/>
                <w:szCs w:val="21"/>
              </w:rPr>
              <w:t>5.提高出行距离，促进人们经济活动范围；6.创造就业机会、增加社会需求；</w:t>
            </w:r>
          </w:p>
        </w:tc>
        <w:tc>
          <w:tcPr>
            <w:tcW w:w="11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75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社会效益</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建设轨道交通对温岭具有较大的社会效益</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1.解决主城区交通出行压力、改善出行质量；2.促进城市合理布局；3.支撑城市发展轴线、优化城市功能和促进沿线组团快速发展；</w:t>
            </w:r>
          </w:p>
        </w:tc>
        <w:tc>
          <w:tcPr>
            <w:tcW w:w="110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6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（3）执行率</w:t>
            </w:r>
          </w:p>
        </w:tc>
        <w:tc>
          <w:tcPr>
            <w:tcW w:w="272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83"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合计</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484"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评价等级</w:t>
            </w:r>
          </w:p>
          <w:p>
            <w:pPr>
              <w:spacing w:line="240" w:lineRule="exact"/>
              <w:jc w:val="center"/>
              <w:rPr>
                <w:kern w:val="2"/>
                <w:sz w:val="21"/>
                <w:szCs w:val="21"/>
              </w:rPr>
            </w:pPr>
            <w:r>
              <w:rPr>
                <w:rFonts w:hint="eastAsia"/>
                <w:kern w:val="2"/>
                <w:sz w:val="21"/>
                <w:szCs w:val="21"/>
              </w:rPr>
              <w:t>[ 好（S≥95）、较好（95＞S≥85）、一般（85＞S≥60）、差（S＜60）]</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2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存</w:t>
            </w:r>
          </w:p>
          <w:p>
            <w:pPr>
              <w:spacing w:line="240" w:lineRule="exact"/>
              <w:jc w:val="center"/>
              <w:rPr>
                <w:kern w:val="2"/>
                <w:sz w:val="21"/>
                <w:szCs w:val="21"/>
              </w:rPr>
            </w:pPr>
            <w:r>
              <w:rPr>
                <w:rFonts w:hint="eastAsia"/>
                <w:kern w:val="2"/>
                <w:sz w:val="21"/>
                <w:szCs w:val="21"/>
              </w:rPr>
              <w:t>在</w:t>
            </w:r>
          </w:p>
          <w:p>
            <w:pPr>
              <w:spacing w:line="240" w:lineRule="exact"/>
              <w:jc w:val="center"/>
              <w:rPr>
                <w:kern w:val="2"/>
                <w:sz w:val="21"/>
                <w:szCs w:val="21"/>
              </w:rPr>
            </w:pPr>
            <w:r>
              <w:rPr>
                <w:rFonts w:hint="eastAsia"/>
                <w:kern w:val="2"/>
                <w:sz w:val="21"/>
                <w:szCs w:val="21"/>
              </w:rPr>
              <w:t>的</w:t>
            </w:r>
          </w:p>
          <w:p>
            <w:pPr>
              <w:spacing w:line="240" w:lineRule="exact"/>
              <w:jc w:val="center"/>
              <w:rPr>
                <w:kern w:val="2"/>
                <w:sz w:val="21"/>
                <w:szCs w:val="21"/>
              </w:rPr>
            </w:pPr>
            <w:r>
              <w:rPr>
                <w:rFonts w:hint="eastAsia"/>
                <w:kern w:val="2"/>
                <w:sz w:val="21"/>
                <w:szCs w:val="21"/>
              </w:rPr>
              <w:t>问</w:t>
            </w:r>
          </w:p>
          <w:p>
            <w:pPr>
              <w:spacing w:line="240" w:lineRule="exact"/>
              <w:jc w:val="center"/>
              <w:rPr>
                <w:kern w:val="2"/>
                <w:sz w:val="21"/>
                <w:szCs w:val="21"/>
              </w:rPr>
            </w:pPr>
            <w:r>
              <w:rPr>
                <w:rFonts w:hint="eastAsia"/>
                <w:kern w:val="2"/>
                <w:sz w:val="21"/>
                <w:szCs w:val="21"/>
              </w:rPr>
              <w:t>题</w:t>
            </w:r>
          </w:p>
        </w:tc>
        <w:tc>
          <w:tcPr>
            <w:tcW w:w="7141"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p>
          <w:p>
            <w:pPr>
              <w:spacing w:line="240" w:lineRule="exact"/>
              <w:jc w:val="center"/>
              <w:rPr>
                <w:kern w:val="2"/>
                <w:sz w:val="21"/>
                <w:szCs w:val="21"/>
              </w:rPr>
            </w:pPr>
          </w:p>
          <w:p>
            <w:pPr>
              <w:spacing w:line="240" w:lineRule="exact"/>
              <w:jc w:val="center"/>
              <w:rPr>
                <w:kern w:val="2"/>
                <w:sz w:val="21"/>
                <w:szCs w:val="21"/>
              </w:rPr>
            </w:pPr>
            <w:r>
              <w:rPr>
                <w:rFonts w:hint="eastAsia"/>
                <w:kern w:val="2"/>
                <w:sz w:val="21"/>
                <w:szCs w:val="21"/>
              </w:rPr>
              <w:t>无</w:t>
            </w:r>
          </w:p>
          <w:p>
            <w:pPr>
              <w:spacing w:line="240" w:lineRule="exact"/>
              <w:jc w:val="center"/>
              <w:rPr>
                <w:kern w:val="2"/>
                <w:sz w:val="21"/>
                <w:szCs w:val="21"/>
              </w:rPr>
            </w:pPr>
          </w:p>
          <w:p>
            <w:pPr>
              <w:spacing w:line="240" w:lineRule="exact"/>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2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kern w:val="2"/>
                <w:sz w:val="21"/>
                <w:szCs w:val="21"/>
              </w:rPr>
            </w:pPr>
            <w:r>
              <w:rPr>
                <w:rFonts w:hint="eastAsia"/>
                <w:kern w:val="2"/>
                <w:sz w:val="21"/>
                <w:szCs w:val="21"/>
              </w:rPr>
              <w:t>整</w:t>
            </w:r>
          </w:p>
          <w:p>
            <w:pPr>
              <w:spacing w:line="240" w:lineRule="exact"/>
              <w:jc w:val="center"/>
              <w:rPr>
                <w:kern w:val="2"/>
                <w:sz w:val="21"/>
                <w:szCs w:val="21"/>
              </w:rPr>
            </w:pPr>
            <w:r>
              <w:rPr>
                <w:rFonts w:hint="eastAsia"/>
                <w:kern w:val="2"/>
                <w:sz w:val="21"/>
                <w:szCs w:val="21"/>
              </w:rPr>
              <w:t>改</w:t>
            </w:r>
          </w:p>
          <w:p>
            <w:pPr>
              <w:spacing w:line="240" w:lineRule="exact"/>
              <w:jc w:val="center"/>
              <w:rPr>
                <w:kern w:val="2"/>
                <w:sz w:val="21"/>
                <w:szCs w:val="21"/>
              </w:rPr>
            </w:pPr>
            <w:r>
              <w:rPr>
                <w:rFonts w:hint="eastAsia"/>
                <w:kern w:val="2"/>
                <w:sz w:val="21"/>
                <w:szCs w:val="21"/>
              </w:rPr>
              <w:t>措</w:t>
            </w:r>
          </w:p>
          <w:p>
            <w:pPr>
              <w:spacing w:line="240" w:lineRule="exact"/>
              <w:jc w:val="center"/>
              <w:rPr>
                <w:kern w:val="2"/>
                <w:sz w:val="21"/>
                <w:szCs w:val="21"/>
              </w:rPr>
            </w:pPr>
            <w:r>
              <w:rPr>
                <w:rFonts w:hint="eastAsia"/>
                <w:kern w:val="2"/>
                <w:sz w:val="21"/>
                <w:szCs w:val="21"/>
              </w:rPr>
              <w:t>施</w:t>
            </w:r>
          </w:p>
        </w:tc>
        <w:tc>
          <w:tcPr>
            <w:tcW w:w="7141"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both"/>
              <w:rPr>
                <w:kern w:val="2"/>
                <w:sz w:val="21"/>
                <w:szCs w:val="21"/>
              </w:rPr>
            </w:pPr>
          </w:p>
          <w:p>
            <w:pPr>
              <w:spacing w:line="240" w:lineRule="exact"/>
              <w:jc w:val="center"/>
              <w:rPr>
                <w:kern w:val="2"/>
                <w:sz w:val="21"/>
                <w:szCs w:val="21"/>
              </w:rPr>
            </w:pPr>
            <w:r>
              <w:rPr>
                <w:rFonts w:hint="eastAsia"/>
                <w:kern w:val="2"/>
                <w:sz w:val="21"/>
                <w:szCs w:val="21"/>
              </w:rPr>
              <w:t>无</w:t>
            </w:r>
          </w:p>
          <w:p>
            <w:pPr>
              <w:spacing w:line="240" w:lineRule="exact"/>
              <w:jc w:val="center"/>
              <w:rPr>
                <w:kern w:val="2"/>
                <w:sz w:val="21"/>
                <w:szCs w:val="21"/>
              </w:rPr>
            </w:pPr>
          </w:p>
          <w:p>
            <w:pPr>
              <w:spacing w:line="240" w:lineRule="exact"/>
              <w:jc w:val="center"/>
              <w:rPr>
                <w:kern w:val="2"/>
                <w:sz w:val="21"/>
                <w:szCs w:val="21"/>
              </w:rPr>
            </w:pPr>
          </w:p>
        </w:tc>
      </w:tr>
    </w:tbl>
    <w:p>
      <w:pPr>
        <w:spacing w:line="600" w:lineRule="atLeast"/>
        <w:ind w:firstLine="640" w:firstLineChars="200"/>
        <w:jc w:val="both"/>
        <w:rPr>
          <w:rFonts w:ascii="仿宋" w:hAnsi="仿宋" w:eastAsia="仿宋" w:cs="Arial"/>
          <w:sz w:val="32"/>
          <w:szCs w:val="32"/>
        </w:rPr>
      </w:pPr>
    </w:p>
    <w:p>
      <w:pPr>
        <w:spacing w:line="600" w:lineRule="atLeast"/>
        <w:ind w:left="0" w:firstLine="640"/>
        <w:jc w:val="both"/>
        <w:rPr>
          <w:rFonts w:hint="eastAsia" w:ascii="仿宋" w:hAnsi="仿宋" w:eastAsia="仿宋" w:cs="Arial"/>
          <w:kern w:val="0"/>
          <w:sz w:val="32"/>
          <w:szCs w:val="32"/>
        </w:rPr>
      </w:pPr>
      <w:r>
        <w:rPr>
          <w:rStyle w:val="10"/>
          <w:rFonts w:hint="eastAsia" w:ascii="仿宋" w:hAnsi="宋体" w:eastAsia="仿宋" w:cs="Arial"/>
          <w:b/>
          <w:sz w:val="32"/>
          <w:szCs w:val="32"/>
        </w:rPr>
        <w:t>3.</w:t>
      </w:r>
      <w:r>
        <w:rPr>
          <w:rStyle w:val="10"/>
          <w:rFonts w:hint="eastAsia" w:ascii="仿宋" w:hAnsi="仿宋" w:eastAsia="仿宋" w:cs="仿宋"/>
          <w:b/>
          <w:sz w:val="32"/>
          <w:szCs w:val="32"/>
        </w:rPr>
        <w:t>财政评价项目绩效评价结果。</w:t>
      </w:r>
    </w:p>
    <w:p>
      <w:pPr>
        <w:spacing w:line="600" w:lineRule="atLeast"/>
        <w:ind w:left="0" w:firstLine="640"/>
        <w:jc w:val="both"/>
        <w:rPr>
          <w:rFonts w:hint="eastAsia" w:ascii="宋体" w:hAnsi="宋体" w:eastAsia="宋体" w:cs="宋体"/>
          <w:kern w:val="0"/>
          <w:sz w:val="24"/>
          <w:szCs w:val="24"/>
        </w:rPr>
      </w:pPr>
      <w:r>
        <w:rPr>
          <w:rFonts w:hint="eastAsia" w:ascii="仿宋" w:hAnsi="仿宋" w:eastAsia="仿宋" w:cs="仿宋"/>
          <w:kern w:val="0"/>
          <w:sz w:val="32"/>
          <w:szCs w:val="32"/>
        </w:rPr>
        <w:t>没有以财政部门为主体开展的重点绩效评价。</w:t>
      </w:r>
    </w:p>
    <w:p>
      <w:pPr>
        <w:spacing w:line="600" w:lineRule="atLeast"/>
        <w:ind w:left="0" w:firstLine="640"/>
        <w:jc w:val="both"/>
        <w:rPr>
          <w:rFonts w:hint="eastAsia" w:ascii="仿宋" w:hAnsi="宋体" w:eastAsia="仿宋" w:cs="Arial"/>
          <w:kern w:val="0"/>
          <w:sz w:val="32"/>
          <w:szCs w:val="32"/>
        </w:rPr>
      </w:pPr>
      <w:r>
        <w:rPr>
          <w:rStyle w:val="10"/>
          <w:rFonts w:hint="eastAsia" w:ascii="仿宋" w:hAnsi="宋体" w:eastAsia="仿宋" w:cs="Arial"/>
          <w:b/>
          <w:sz w:val="32"/>
          <w:szCs w:val="32"/>
        </w:rPr>
        <w:t>4.</w:t>
      </w:r>
      <w:r>
        <w:rPr>
          <w:rStyle w:val="10"/>
          <w:rFonts w:hint="eastAsia" w:ascii="仿宋" w:hAnsi="仿宋" w:eastAsia="仿宋" w:cs="仿宋"/>
          <w:b/>
          <w:sz w:val="32"/>
          <w:szCs w:val="32"/>
        </w:rPr>
        <w:t>部门评价项目绩效评价结果。</w:t>
      </w:r>
    </w:p>
    <w:p>
      <w:pPr>
        <w:spacing w:line="600" w:lineRule="atLeast"/>
        <w:ind w:left="0" w:firstLine="640"/>
        <w:jc w:val="both"/>
        <w:rPr>
          <w:rFonts w:hint="eastAsia" w:ascii="仿宋" w:hAnsi="仿宋" w:eastAsia="仿宋" w:cs="Arial"/>
          <w:kern w:val="0"/>
          <w:sz w:val="32"/>
          <w:szCs w:val="32"/>
        </w:rPr>
      </w:pPr>
      <w:r>
        <w:rPr>
          <w:rFonts w:hint="eastAsia" w:ascii="仿宋" w:hAnsi="仿宋" w:eastAsia="仿宋" w:cs="仿宋"/>
          <w:kern w:val="0"/>
          <w:sz w:val="32"/>
          <w:szCs w:val="32"/>
        </w:rPr>
        <w:t>没有以部门为主体开展的重点绩效评价。</w:t>
      </w:r>
    </w:p>
    <w:p>
      <w:pPr>
        <w:spacing w:line="600" w:lineRule="atLeast"/>
        <w:ind w:left="0" w:firstLine="640"/>
        <w:jc w:val="both"/>
      </w:pPr>
      <w:r>
        <w:rPr>
          <w:rFonts w:hint="eastAsia" w:ascii="仿宋" w:hAnsi="仿宋" w:eastAsia="仿宋" w:cs="仿宋"/>
          <w:kern w:val="0"/>
          <w:sz w:val="32"/>
          <w:szCs w:val="32"/>
        </w:rPr>
        <w:t>说明：部门评价是指以部门为主体开展的重点绩效评价；财政评价是指以财政部门为主体开展的重点绩效评价。</w:t>
      </w:r>
      <w:r>
        <w:rPr>
          <w:rFonts w:hint="eastAsia" w:ascii="宋体" w:hAnsi="宋体" w:eastAsia="宋体" w:cs="宋体"/>
          <w:kern w:val="0"/>
          <w:sz w:val="24"/>
          <w:szCs w:val="24"/>
        </w:rPr>
        <w:t xml:space="preserve"> </w:t>
      </w:r>
    </w:p>
    <w:p>
      <w:pPr>
        <w:spacing w:line="600" w:lineRule="atLeast"/>
        <w:ind w:firstLine="640"/>
        <w:jc w:val="both"/>
      </w:pPr>
      <w:r>
        <w:rPr>
          <w:rStyle w:val="7"/>
          <w:rFonts w:hint="eastAsia" w:ascii="楷体" w:hAnsi="楷体" w:eastAsia="楷体" w:cs="Arial"/>
          <w:sz w:val="32"/>
          <w:szCs w:val="32"/>
        </w:rPr>
        <w:t>（十）其他重要事项的情况说明</w:t>
      </w:r>
    </w:p>
    <w:p>
      <w:pPr>
        <w:spacing w:line="600" w:lineRule="atLeast"/>
        <w:ind w:firstLine="640"/>
        <w:jc w:val="both"/>
      </w:pPr>
      <w:r>
        <w:rPr>
          <w:rStyle w:val="7"/>
          <w:rFonts w:hint="eastAsia" w:ascii="仿宋" w:hAnsi="仿宋" w:eastAsia="仿宋" w:cs="Arial"/>
          <w:sz w:val="32"/>
          <w:szCs w:val="32"/>
        </w:rPr>
        <w:t>1.机关运行经费支出情况。</w:t>
      </w:r>
    </w:p>
    <w:p>
      <w:pPr>
        <w:spacing w:line="600" w:lineRule="atLeast"/>
        <w:ind w:firstLine="640"/>
        <w:jc w:val="both"/>
      </w:pPr>
      <w:r>
        <w:rPr>
          <w:rFonts w:hint="eastAsia" w:ascii="仿宋" w:hAnsi="仿宋" w:eastAsia="仿宋" w:cs="Arial"/>
          <w:sz w:val="32"/>
          <w:szCs w:val="32"/>
        </w:rPr>
        <w:t>2019年度机关运行经费支出0万元，比年初预算数增加0万元，增长0%，主要原因是本单位是事业单位，无机关运行经费安排。</w:t>
      </w:r>
    </w:p>
    <w:p>
      <w:pPr>
        <w:spacing w:line="600" w:lineRule="atLeast"/>
        <w:ind w:firstLine="640"/>
        <w:jc w:val="both"/>
      </w:pPr>
      <w:r>
        <w:rPr>
          <w:rStyle w:val="7"/>
          <w:rFonts w:hint="eastAsia" w:ascii="仿宋" w:hAnsi="仿宋" w:eastAsia="仿宋" w:cs="Arial"/>
          <w:sz w:val="32"/>
          <w:szCs w:val="32"/>
        </w:rPr>
        <w:t>2.政府采购支出情况。</w:t>
      </w:r>
    </w:p>
    <w:p>
      <w:pPr>
        <w:spacing w:line="600" w:lineRule="atLeast"/>
        <w:ind w:firstLine="640"/>
        <w:jc w:val="both"/>
      </w:pPr>
      <w:r>
        <w:rPr>
          <w:rFonts w:hint="eastAsia" w:ascii="仿宋" w:hAnsi="仿宋" w:eastAsia="仿宋" w:cs="Arial"/>
          <w:sz w:val="32"/>
          <w:szCs w:val="32"/>
        </w:rPr>
        <w:t>2019年度政府采购支出总额1.60万元，其中：政府采购货物支出1.60万元、政府采购工程支出0万元、政府采购服务支出0万元。授予中小企业合同金额1.60万元，占政府采购支出总额的100.00%。其中，授予小微企业合同金额1.60万元，占政府采购支出总额的100.00%。</w:t>
      </w:r>
    </w:p>
    <w:p>
      <w:pPr>
        <w:spacing w:line="600" w:lineRule="atLeast"/>
        <w:ind w:firstLine="640"/>
        <w:jc w:val="both"/>
      </w:pPr>
      <w:r>
        <w:rPr>
          <w:rStyle w:val="7"/>
          <w:rFonts w:hint="eastAsia" w:ascii="仿宋" w:hAnsi="仿宋" w:eastAsia="仿宋" w:cs="Arial"/>
          <w:sz w:val="32"/>
          <w:szCs w:val="32"/>
        </w:rPr>
        <w:t>3.国有资产占有使用情况。</w:t>
      </w:r>
    </w:p>
    <w:p>
      <w:pPr>
        <w:spacing w:line="600" w:lineRule="atLeast"/>
        <w:ind w:firstLine="640"/>
        <w:jc w:val="both"/>
      </w:pPr>
      <w:r>
        <w:rPr>
          <w:rFonts w:hint="eastAsia" w:ascii="仿宋" w:hAnsi="仿宋" w:eastAsia="仿宋" w:cs="Arial"/>
          <w:sz w:val="32"/>
          <w:szCs w:val="32"/>
        </w:rPr>
        <w:t xml:space="preserve">截至2019年12月31日，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spacing w:line="600" w:lineRule="atLeast"/>
        <w:ind w:firstLine="640"/>
        <w:jc w:val="both"/>
      </w:pPr>
      <w:r>
        <w:rPr>
          <w:rStyle w:val="7"/>
          <w:rFonts w:hint="eastAsia" w:ascii="黑体" w:hAns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hAns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hAns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7.用事业基金弥补收支差额：指事业单位动用非财政拨款结余弥补收支差额的金额。</w:t>
      </w:r>
    </w:p>
    <w:p>
      <w:pPr>
        <w:spacing w:line="600" w:lineRule="atLeast"/>
        <w:ind w:firstLine="640"/>
        <w:jc w:val="both"/>
      </w:pPr>
      <w:r>
        <w:rPr>
          <w:rFonts w:hint="eastAsia" w:ascii="仿宋" w:hAns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12.经营支出：指事业单位在专业业务活动及其辅助活动之外开展非独立核算经营活动发生的支出。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r>
        <w:rPr>
          <w:rFonts w:hint="eastAsia" w:ascii="仿宋" w:hAnsi="仿宋" w:eastAsia="仿宋" w:cs="Arial"/>
          <w:sz w:val="32"/>
          <w:szCs w:val="32"/>
        </w:rPr>
        <w:t>15. 一般公共服务支出（类）其他一般公共服务支出（款）其他一般公共服务支出（项）。指除上述项目以外用于其他一般公共服务支出。</w:t>
      </w:r>
    </w:p>
    <w:p>
      <w:pPr>
        <w:spacing w:line="600" w:lineRule="atLeast"/>
        <w:ind w:firstLine="640"/>
        <w:jc w:val="both"/>
      </w:pPr>
      <w:r>
        <w:rPr>
          <w:rFonts w:hint="eastAsia" w:ascii="仿宋" w:hAnsi="仿宋" w:eastAsia="仿宋" w:cs="Arial"/>
          <w:sz w:val="32"/>
          <w:szCs w:val="32"/>
        </w:rPr>
        <w:t>16.社会保障和就业支出（类）行政事业单位离退休（款）机关事业单位基本养老保险缴费支出（项）及机关事业单位职业年金缴费支出（项）。指机关事业单位实施养老保险制度由单位实际缴纳的职业年金支出。</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17.城乡社区支出（类）城乡社区管理事务（款）其他城乡社区管理事务支出（项）。指除上述项目以外用于其他城乡社区管理事务支出。</w:t>
      </w:r>
    </w:p>
    <w:p>
      <w:pPr>
        <w:spacing w:line="600" w:lineRule="atLeast"/>
        <w:ind w:firstLine="640"/>
        <w:jc w:val="both"/>
      </w:pPr>
      <w:r>
        <w:rPr>
          <w:rFonts w:hint="eastAsia" w:ascii="仿宋" w:hAnsi="仿宋" w:eastAsia="仿宋" w:cs="Arial"/>
          <w:sz w:val="32"/>
          <w:szCs w:val="32"/>
        </w:rPr>
        <w:t>18.城乡社区支出（类）其他城乡社区支出（款）其他城乡社区支出（项）。指除上述项目以外用于其他城乡社区支出。</w:t>
      </w:r>
    </w:p>
    <w:p>
      <w:pPr>
        <w:spacing w:line="600" w:lineRule="atLeast"/>
        <w:ind w:firstLine="640"/>
        <w:jc w:val="both"/>
      </w:pPr>
      <w:r>
        <w:rPr>
          <w:rFonts w:hint="eastAsia" w:ascii="仿宋" w:hAnsi="仿宋" w:eastAsia="仿宋" w:cs="Arial"/>
          <w:sz w:val="32"/>
          <w:szCs w:val="32"/>
        </w:rPr>
        <w:t>19.城乡社区支出（类）其他城乡社区支出（款）其他城乡社区支出（项）。指除上述项目以外用于其他城乡社区支出。</w:t>
      </w:r>
    </w:p>
    <w:p>
      <w:pPr>
        <w:spacing w:line="600" w:lineRule="atLeast"/>
        <w:ind w:firstLine="640"/>
        <w:jc w:val="both"/>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8566A0"/>
    <w:rsid w:val="00035E40"/>
    <w:rsid w:val="00047F29"/>
    <w:rsid w:val="0005327A"/>
    <w:rsid w:val="0005354B"/>
    <w:rsid w:val="000549F5"/>
    <w:rsid w:val="000A2793"/>
    <w:rsid w:val="0017762E"/>
    <w:rsid w:val="001A606D"/>
    <w:rsid w:val="002D1B1D"/>
    <w:rsid w:val="002E5CAD"/>
    <w:rsid w:val="00317939"/>
    <w:rsid w:val="003C7A6F"/>
    <w:rsid w:val="00423A8D"/>
    <w:rsid w:val="0047504C"/>
    <w:rsid w:val="004B3170"/>
    <w:rsid w:val="004F72EC"/>
    <w:rsid w:val="00507FF9"/>
    <w:rsid w:val="00571EA3"/>
    <w:rsid w:val="005B2577"/>
    <w:rsid w:val="005C01C5"/>
    <w:rsid w:val="00633541"/>
    <w:rsid w:val="006575F0"/>
    <w:rsid w:val="00683BF5"/>
    <w:rsid w:val="007010F2"/>
    <w:rsid w:val="00762208"/>
    <w:rsid w:val="00811EE6"/>
    <w:rsid w:val="008566A0"/>
    <w:rsid w:val="0086776E"/>
    <w:rsid w:val="008D535A"/>
    <w:rsid w:val="008E79D5"/>
    <w:rsid w:val="009E5C05"/>
    <w:rsid w:val="00A01A32"/>
    <w:rsid w:val="00AB59D3"/>
    <w:rsid w:val="00AE43C6"/>
    <w:rsid w:val="00B25FA0"/>
    <w:rsid w:val="00C7094C"/>
    <w:rsid w:val="00CA4393"/>
    <w:rsid w:val="00CB49F4"/>
    <w:rsid w:val="00E12FFA"/>
    <w:rsid w:val="00EF063B"/>
    <w:rsid w:val="00EF5887"/>
    <w:rsid w:val="2FB277CB"/>
    <w:rsid w:val="446517B3"/>
    <w:rsid w:val="49BA09CD"/>
    <w:rsid w:val="76AA62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 w:type="character" w:customStyle="1" w:styleId="10">
    <w:name w:val="19"/>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7934</Words>
  <Characters>1430</Characters>
  <Lines>11</Lines>
  <Paragraphs>18</Paragraphs>
  <TotalTime>1</TotalTime>
  <ScaleCrop>false</ScaleCrop>
  <LinksUpToDate>false</LinksUpToDate>
  <CharactersWithSpaces>9346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2020-09-21T03:47:00Z</dcterms:created>
  <dc:creator>Windows 用户</dc:creator>
  <cp:lastModifiedBy>张立志</cp:lastModifiedBy>
  <dcterms:modified xsi:type="dcterms:W3CDTF">2021-05-18T09:17:29Z</dcterms:modified>
  <dc:title>DWZDM</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